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rawings/drawing2.xml" ContentType="application/vnd.openxmlformats-officedocument.drawingml.chartshap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7961" w14:textId="77777777" w:rsidR="003B594D" w:rsidRPr="00A05BFD" w:rsidRDefault="008F7B94" w:rsidP="007C66E7">
      <w:pPr>
        <w:tabs>
          <w:tab w:val="left" w:pos="0"/>
        </w:tabs>
        <w:spacing w:after="0"/>
        <w:jc w:val="center"/>
        <w:rPr>
          <w:noProof/>
        </w:rPr>
      </w:pPr>
      <w:r w:rsidRPr="00A05BFD">
        <w:rPr>
          <w:noProof/>
        </w:rPr>
        <w:drawing>
          <wp:inline distT="0" distB="0" distL="0" distR="0" wp14:anchorId="3E42F3A2" wp14:editId="271BA198">
            <wp:extent cx="723900" cy="676275"/>
            <wp:effectExtent l="0" t="0" r="0" b="0"/>
            <wp:docPr id="1" name="Εικόνα 2"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thire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676275"/>
                    </a:xfrm>
                    <a:prstGeom prst="rect">
                      <a:avLst/>
                    </a:prstGeom>
                    <a:noFill/>
                    <a:ln>
                      <a:noFill/>
                    </a:ln>
                  </pic:spPr>
                </pic:pic>
              </a:graphicData>
            </a:graphic>
          </wp:inline>
        </w:drawing>
      </w:r>
    </w:p>
    <w:p w14:paraId="67694FFC" w14:textId="77777777" w:rsidR="007A2BF5" w:rsidRPr="00C31A98" w:rsidRDefault="007A2BF5" w:rsidP="00CB5550">
      <w:pPr>
        <w:spacing w:after="60" w:line="240" w:lineRule="exact"/>
        <w:jc w:val="center"/>
        <w:rPr>
          <w:rFonts w:cs="Arial"/>
          <w:b/>
          <w:color w:val="1F3864"/>
          <w:sz w:val="22"/>
          <w:szCs w:val="22"/>
        </w:rPr>
      </w:pPr>
      <w:r w:rsidRPr="00C31A98">
        <w:rPr>
          <w:rFonts w:cs="Arial"/>
          <w:b/>
          <w:color w:val="1F3864"/>
          <w:sz w:val="22"/>
          <w:szCs w:val="22"/>
        </w:rPr>
        <w:t>ΕΛΛΗΝΙΚΗ ΔΗΜΟΚΡΑΤΙΑ</w:t>
      </w:r>
    </w:p>
    <w:p w14:paraId="4E2E56E7" w14:textId="77777777" w:rsidR="0047015E" w:rsidRPr="00C31A98" w:rsidRDefault="007A2BF5" w:rsidP="007C66E7">
      <w:pPr>
        <w:tabs>
          <w:tab w:val="left" w:pos="0"/>
        </w:tabs>
        <w:spacing w:after="0" w:line="240" w:lineRule="exact"/>
        <w:ind w:right="57"/>
        <w:jc w:val="center"/>
        <w:rPr>
          <w:rFonts w:cs="Arial"/>
          <w:color w:val="1F3864"/>
        </w:rPr>
      </w:pPr>
      <w:r w:rsidRPr="00C31A98">
        <w:rPr>
          <w:rFonts w:cs="Arial"/>
          <w:b/>
          <w:color w:val="1F3864"/>
          <w:sz w:val="22"/>
          <w:szCs w:val="22"/>
        </w:rPr>
        <w:t>ΥΠΟΥΡΓΕΙΟ ΕΘΝΙΚΗΣ ΟΙΚΟΝΟΜΙΑΣ ΚΑΙ ΟΙΚΟΝΟΜΙΚΩΝ</w:t>
      </w:r>
    </w:p>
    <w:p w14:paraId="62C8CC62" w14:textId="77777777" w:rsidR="0026075E" w:rsidRPr="00A05BFD" w:rsidRDefault="0026075E" w:rsidP="004213BC"/>
    <w:p w14:paraId="4C55BE17" w14:textId="77777777" w:rsidR="00506B54" w:rsidRPr="00A05BFD" w:rsidRDefault="00506B54" w:rsidP="004213BC">
      <w:pPr>
        <w:rPr>
          <w:color w:val="1F3864"/>
        </w:rPr>
      </w:pPr>
    </w:p>
    <w:p w14:paraId="106A672D" w14:textId="77777777" w:rsidR="004C3865" w:rsidRPr="00A05BFD" w:rsidRDefault="004C3865" w:rsidP="004213BC"/>
    <w:p w14:paraId="5D04F5A0" w14:textId="77777777" w:rsidR="001C2C9E" w:rsidRPr="00A05BFD" w:rsidRDefault="001C2C9E" w:rsidP="004213BC"/>
    <w:p w14:paraId="224FD185" w14:textId="77777777" w:rsidR="004C3865" w:rsidRPr="00A05BFD" w:rsidRDefault="005E6F76" w:rsidP="004C3865">
      <w:pPr>
        <w:pStyle w:val="af2"/>
        <w:spacing w:before="120" w:after="120"/>
        <w:jc w:val="center"/>
        <w:rPr>
          <w:rFonts w:ascii="Arial" w:hAnsi="Arial" w:cs="Arial"/>
          <w:b/>
          <w:bCs/>
          <w:color w:val="1F3864"/>
          <w:sz w:val="56"/>
          <w:szCs w:val="56"/>
        </w:rPr>
      </w:pPr>
      <w:r w:rsidRPr="00A05BFD">
        <w:rPr>
          <w:rFonts w:ascii="Arial" w:hAnsi="Arial" w:cs="Arial"/>
          <w:b/>
          <w:bCs/>
          <w:color w:val="1F3864"/>
          <w:sz w:val="56"/>
          <w:szCs w:val="56"/>
        </w:rPr>
        <w:t>Π</w:t>
      </w:r>
      <w:r w:rsidR="00C45E19" w:rsidRPr="00A05BFD">
        <w:rPr>
          <w:rFonts w:ascii="Arial" w:hAnsi="Arial" w:cs="Arial"/>
          <w:b/>
          <w:bCs/>
          <w:color w:val="1F3864"/>
          <w:sz w:val="56"/>
          <w:szCs w:val="56"/>
        </w:rPr>
        <w:t>ΡΟΣΧΕΔΙΟ</w:t>
      </w:r>
    </w:p>
    <w:p w14:paraId="6B259F59" w14:textId="418878FF" w:rsidR="004C3865" w:rsidRPr="00A05BFD" w:rsidRDefault="00CF1B9D" w:rsidP="004C3865">
      <w:pPr>
        <w:pStyle w:val="af2"/>
        <w:spacing w:before="120" w:after="120"/>
        <w:jc w:val="center"/>
        <w:rPr>
          <w:rFonts w:ascii="Arial" w:hAnsi="Arial" w:cs="Arial"/>
          <w:b/>
          <w:bCs/>
          <w:color w:val="1F3864"/>
          <w:sz w:val="56"/>
          <w:szCs w:val="56"/>
        </w:rPr>
      </w:pPr>
      <w:r w:rsidRPr="00A05BFD">
        <w:rPr>
          <w:rFonts w:ascii="Arial" w:hAnsi="Arial" w:cs="Arial"/>
          <w:b/>
          <w:bCs/>
          <w:color w:val="1F3864"/>
          <w:sz w:val="56"/>
          <w:szCs w:val="56"/>
        </w:rPr>
        <w:t>Κ</w:t>
      </w:r>
      <w:r w:rsidR="00C45E19" w:rsidRPr="00A05BFD">
        <w:rPr>
          <w:rFonts w:ascii="Arial" w:hAnsi="Arial" w:cs="Arial"/>
          <w:b/>
          <w:bCs/>
          <w:color w:val="1F3864"/>
          <w:sz w:val="56"/>
          <w:szCs w:val="56"/>
        </w:rPr>
        <w:t>ΡΑΤΙΚΟΥ</w:t>
      </w:r>
      <w:r w:rsidRPr="00A05BFD">
        <w:rPr>
          <w:rFonts w:ascii="Arial" w:hAnsi="Arial" w:cs="Arial"/>
          <w:b/>
          <w:bCs/>
          <w:color w:val="1F3864"/>
          <w:sz w:val="56"/>
          <w:szCs w:val="56"/>
        </w:rPr>
        <w:t xml:space="preserve"> Π</w:t>
      </w:r>
      <w:r w:rsidR="00C45E19" w:rsidRPr="00A05BFD">
        <w:rPr>
          <w:rFonts w:ascii="Arial" w:hAnsi="Arial" w:cs="Arial"/>
          <w:b/>
          <w:bCs/>
          <w:color w:val="1F3864"/>
          <w:sz w:val="56"/>
          <w:szCs w:val="56"/>
        </w:rPr>
        <w:t>ΡΟΫΠΟΛΟΓΙΣΜΟΥ</w:t>
      </w:r>
    </w:p>
    <w:p w14:paraId="4D4FC72B" w14:textId="77777777" w:rsidR="00684123" w:rsidRPr="00684123" w:rsidRDefault="00684123" w:rsidP="004C3865">
      <w:pPr>
        <w:pStyle w:val="af2"/>
        <w:jc w:val="center"/>
        <w:rPr>
          <w:rFonts w:ascii="Arial" w:hAnsi="Arial" w:cs="Arial"/>
          <w:b/>
          <w:bCs/>
          <w:caps/>
          <w:color w:val="4D4D4D"/>
          <w:sz w:val="30"/>
          <w:szCs w:val="30"/>
        </w:rPr>
      </w:pPr>
    </w:p>
    <w:p w14:paraId="1D5F16D7" w14:textId="584795EF" w:rsidR="004C3865" w:rsidRPr="00684123" w:rsidRDefault="00684123" w:rsidP="004C3865">
      <w:pPr>
        <w:pStyle w:val="af2"/>
        <w:jc w:val="center"/>
        <w:rPr>
          <w:rFonts w:ascii="Arial" w:hAnsi="Arial" w:cs="Arial"/>
          <w:b/>
          <w:bCs/>
          <w:caps/>
          <w:color w:val="1F3864"/>
          <w:sz w:val="92"/>
          <w:szCs w:val="92"/>
        </w:rPr>
      </w:pPr>
      <w:r w:rsidRPr="00684123">
        <w:rPr>
          <w:rFonts w:ascii="Arial" w:hAnsi="Arial" w:cs="Arial"/>
          <w:b/>
          <w:bCs/>
          <w:caps/>
          <w:color w:val="1F3864"/>
          <w:sz w:val="92"/>
          <w:szCs w:val="92"/>
        </w:rPr>
        <w:t>2027</w:t>
      </w:r>
    </w:p>
    <w:p w14:paraId="63FBF32C" w14:textId="3DCD0D81" w:rsidR="004C3865" w:rsidRDefault="004C3865" w:rsidP="004C3865">
      <w:pPr>
        <w:pStyle w:val="af2"/>
        <w:jc w:val="center"/>
        <w:rPr>
          <w:rFonts w:ascii="Arial" w:hAnsi="Arial" w:cs="Arial"/>
          <w:b/>
          <w:bCs/>
          <w:caps/>
          <w:color w:val="4D4D4D"/>
          <w:sz w:val="30"/>
          <w:szCs w:val="30"/>
        </w:rPr>
      </w:pPr>
    </w:p>
    <w:p w14:paraId="2471E5DE" w14:textId="77777777" w:rsidR="001D4942" w:rsidRPr="00A05BFD" w:rsidRDefault="001D4942" w:rsidP="004C3865">
      <w:pPr>
        <w:pStyle w:val="af2"/>
        <w:jc w:val="center"/>
        <w:rPr>
          <w:rFonts w:ascii="Arial" w:hAnsi="Arial" w:cs="Arial"/>
          <w:b/>
          <w:bCs/>
          <w:color w:val="4D4D4D"/>
          <w:sz w:val="30"/>
          <w:szCs w:val="30"/>
        </w:rPr>
      </w:pPr>
    </w:p>
    <w:p w14:paraId="6184A392" w14:textId="77777777" w:rsidR="00FB2C0D" w:rsidRPr="00A05BFD" w:rsidRDefault="00FB2C0D" w:rsidP="004C3865">
      <w:pPr>
        <w:pStyle w:val="af2"/>
        <w:jc w:val="center"/>
        <w:rPr>
          <w:rFonts w:ascii="Arial" w:hAnsi="Arial" w:cs="Arial"/>
          <w:b/>
          <w:bCs/>
          <w:color w:val="4D4D4D"/>
          <w:sz w:val="30"/>
          <w:szCs w:val="30"/>
        </w:rPr>
      </w:pPr>
    </w:p>
    <w:p w14:paraId="388413F9" w14:textId="77777777" w:rsidR="004C3865" w:rsidRPr="005943B5" w:rsidRDefault="00676A81"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Κατατέθηκε στη</w:t>
      </w:r>
    </w:p>
    <w:p w14:paraId="3DFEFB91" w14:textId="77777777" w:rsidR="004C3865" w:rsidRPr="005943B5" w:rsidRDefault="00676A81"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Διαρκή Επιτροπή Οικονομικών Υποθέσεων</w:t>
      </w:r>
    </w:p>
    <w:p w14:paraId="7A05C7C8" w14:textId="77777777" w:rsidR="004C3865" w:rsidRPr="005943B5" w:rsidRDefault="00676A81"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 xml:space="preserve">της Βουλής </w:t>
      </w:r>
      <w:r w:rsidR="00CC7A3E" w:rsidRPr="005943B5">
        <w:rPr>
          <w:rFonts w:ascii="Arial" w:hAnsi="Arial" w:cs="Arial"/>
          <w:b/>
          <w:bCs/>
          <w:color w:val="1F3864"/>
          <w:sz w:val="28"/>
          <w:szCs w:val="30"/>
        </w:rPr>
        <w:t>τ</w:t>
      </w:r>
      <w:r w:rsidRPr="005943B5">
        <w:rPr>
          <w:rFonts w:ascii="Arial" w:hAnsi="Arial" w:cs="Arial"/>
          <w:b/>
          <w:bCs/>
          <w:color w:val="1F3864"/>
          <w:sz w:val="28"/>
          <w:szCs w:val="30"/>
        </w:rPr>
        <w:t>ων Ελλήνων</w:t>
      </w:r>
    </w:p>
    <w:p w14:paraId="4ACE4941" w14:textId="77777777" w:rsidR="00FE1093" w:rsidRPr="005943B5" w:rsidRDefault="00FE1093" w:rsidP="004C3865">
      <w:pPr>
        <w:pStyle w:val="af2"/>
        <w:jc w:val="center"/>
        <w:rPr>
          <w:rFonts w:ascii="Arial" w:hAnsi="Arial" w:cs="Arial"/>
          <w:b/>
          <w:bCs/>
          <w:color w:val="1F3864"/>
          <w:sz w:val="28"/>
          <w:szCs w:val="30"/>
        </w:rPr>
      </w:pPr>
    </w:p>
    <w:p w14:paraId="66DD175B" w14:textId="77777777" w:rsidR="004C3865" w:rsidRPr="005943B5" w:rsidRDefault="00B76B14"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από τον</w:t>
      </w:r>
    </w:p>
    <w:p w14:paraId="4AD5E89B" w14:textId="77777777" w:rsidR="00684DB4" w:rsidRPr="005943B5" w:rsidRDefault="00CC7A3E" w:rsidP="004C3865">
      <w:pPr>
        <w:pStyle w:val="af2"/>
        <w:jc w:val="center"/>
        <w:rPr>
          <w:rFonts w:ascii="Arial" w:hAnsi="Arial" w:cs="Arial"/>
          <w:b/>
          <w:bCs/>
          <w:color w:val="1F3864"/>
          <w:sz w:val="28"/>
          <w:szCs w:val="30"/>
        </w:rPr>
      </w:pPr>
      <w:r w:rsidRPr="005943B5">
        <w:rPr>
          <w:rFonts w:ascii="Arial" w:hAnsi="Arial" w:cs="Arial"/>
          <w:b/>
          <w:bCs/>
          <w:color w:val="1F3864"/>
          <w:sz w:val="28"/>
          <w:szCs w:val="30"/>
        </w:rPr>
        <w:t>Κ</w:t>
      </w:r>
      <w:r w:rsidR="00684DB4" w:rsidRPr="005943B5">
        <w:rPr>
          <w:rFonts w:ascii="Arial" w:hAnsi="Arial" w:cs="Arial"/>
          <w:b/>
          <w:bCs/>
          <w:color w:val="1F3864"/>
          <w:sz w:val="28"/>
          <w:szCs w:val="30"/>
        </w:rPr>
        <w:t xml:space="preserve">υριάκο </w:t>
      </w:r>
      <w:proofErr w:type="spellStart"/>
      <w:r w:rsidR="00684DB4" w:rsidRPr="005943B5">
        <w:rPr>
          <w:rFonts w:ascii="Arial" w:hAnsi="Arial" w:cs="Arial"/>
          <w:b/>
          <w:bCs/>
          <w:color w:val="1F3864"/>
          <w:sz w:val="28"/>
          <w:szCs w:val="30"/>
        </w:rPr>
        <w:t>Πιερρακάκη</w:t>
      </w:r>
      <w:proofErr w:type="spellEnd"/>
    </w:p>
    <w:p w14:paraId="0B496764" w14:textId="77777777" w:rsidR="004C3865" w:rsidRPr="005943B5" w:rsidRDefault="00CC7A3E"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Υπουργό Εθνικής Οικονομίας και Οικονομικών</w:t>
      </w:r>
    </w:p>
    <w:p w14:paraId="1A101C15" w14:textId="77777777" w:rsidR="004C3865" w:rsidRPr="00A05BFD" w:rsidRDefault="004C3865" w:rsidP="004C3865">
      <w:pPr>
        <w:pStyle w:val="af2"/>
        <w:jc w:val="center"/>
        <w:rPr>
          <w:rFonts w:ascii="Arial" w:hAnsi="Arial" w:cs="Arial"/>
          <w:b/>
          <w:bCs/>
          <w:caps/>
          <w:color w:val="4D4D4D"/>
          <w:sz w:val="30"/>
          <w:szCs w:val="30"/>
        </w:rPr>
      </w:pPr>
    </w:p>
    <w:p w14:paraId="7712004E" w14:textId="77777777" w:rsidR="004C3865" w:rsidRPr="00A05BFD" w:rsidRDefault="004C3865" w:rsidP="004C3865">
      <w:pPr>
        <w:pStyle w:val="af2"/>
        <w:jc w:val="center"/>
        <w:rPr>
          <w:rFonts w:ascii="Arial" w:hAnsi="Arial" w:cs="Arial"/>
          <w:b/>
          <w:bCs/>
          <w:caps/>
          <w:color w:val="4D4D4D"/>
          <w:sz w:val="30"/>
          <w:szCs w:val="30"/>
        </w:rPr>
      </w:pPr>
    </w:p>
    <w:p w14:paraId="08A2B6C3" w14:textId="77777777" w:rsidR="004C3865" w:rsidRPr="00A05BFD" w:rsidRDefault="004C3865" w:rsidP="004C3865">
      <w:pPr>
        <w:pStyle w:val="af2"/>
        <w:jc w:val="center"/>
        <w:rPr>
          <w:rFonts w:ascii="Arial" w:hAnsi="Arial" w:cs="Arial"/>
          <w:b/>
          <w:bCs/>
          <w:caps/>
          <w:color w:val="4D4D4D"/>
          <w:sz w:val="30"/>
          <w:szCs w:val="30"/>
        </w:rPr>
      </w:pPr>
    </w:p>
    <w:p w14:paraId="654A0538" w14:textId="77777777" w:rsidR="00FE1093" w:rsidRPr="00A05BFD" w:rsidRDefault="00FE1093" w:rsidP="004C3865">
      <w:pPr>
        <w:pStyle w:val="af2"/>
        <w:jc w:val="center"/>
        <w:rPr>
          <w:rFonts w:ascii="Arial" w:hAnsi="Arial" w:cs="Arial"/>
          <w:b/>
          <w:bCs/>
          <w:caps/>
          <w:color w:val="4D4D4D"/>
          <w:sz w:val="30"/>
          <w:szCs w:val="30"/>
        </w:rPr>
      </w:pPr>
    </w:p>
    <w:p w14:paraId="63B71FE4" w14:textId="77777777" w:rsidR="00FE1093" w:rsidRPr="00A05BFD" w:rsidRDefault="00FE1093" w:rsidP="004C3865">
      <w:pPr>
        <w:pStyle w:val="af2"/>
        <w:jc w:val="center"/>
        <w:rPr>
          <w:rFonts w:ascii="Arial" w:hAnsi="Arial" w:cs="Arial"/>
          <w:b/>
          <w:bCs/>
          <w:caps/>
          <w:color w:val="4D4D4D"/>
          <w:sz w:val="30"/>
          <w:szCs w:val="30"/>
        </w:rPr>
      </w:pPr>
    </w:p>
    <w:p w14:paraId="034F52E9" w14:textId="77777777" w:rsidR="0028299C" w:rsidRPr="00A05BFD" w:rsidRDefault="0028299C" w:rsidP="004C3865">
      <w:pPr>
        <w:pStyle w:val="af2"/>
        <w:jc w:val="center"/>
        <w:rPr>
          <w:rFonts w:ascii="Arial" w:hAnsi="Arial" w:cs="Arial"/>
          <w:b/>
          <w:bCs/>
          <w:caps/>
          <w:color w:val="4D4D4D"/>
          <w:sz w:val="30"/>
          <w:szCs w:val="30"/>
        </w:rPr>
      </w:pPr>
    </w:p>
    <w:p w14:paraId="152C6966" w14:textId="77777777" w:rsidR="004C3865" w:rsidRPr="00A05BFD" w:rsidRDefault="004C3865" w:rsidP="004C3865">
      <w:pPr>
        <w:pStyle w:val="af2"/>
        <w:jc w:val="center"/>
        <w:rPr>
          <w:rFonts w:ascii="Arial" w:hAnsi="Arial" w:cs="Arial"/>
          <w:b/>
          <w:bCs/>
          <w:caps/>
          <w:color w:val="4D4D4D"/>
          <w:sz w:val="30"/>
          <w:szCs w:val="30"/>
        </w:rPr>
      </w:pPr>
    </w:p>
    <w:p w14:paraId="63D41CBC" w14:textId="77777777" w:rsidR="004C3865" w:rsidRPr="00A05BFD" w:rsidRDefault="004C3865" w:rsidP="004C3865">
      <w:pPr>
        <w:pStyle w:val="af2"/>
        <w:jc w:val="center"/>
        <w:rPr>
          <w:rFonts w:ascii="Arial" w:hAnsi="Arial" w:cs="Arial"/>
          <w:b/>
          <w:bCs/>
          <w:caps/>
          <w:color w:val="4D4D4D"/>
          <w:sz w:val="30"/>
          <w:szCs w:val="30"/>
        </w:rPr>
      </w:pPr>
    </w:p>
    <w:p w14:paraId="5B5F4F5B" w14:textId="77777777" w:rsidR="004C3865" w:rsidRPr="00A05BFD" w:rsidRDefault="004C3865" w:rsidP="004C3865">
      <w:pPr>
        <w:pStyle w:val="af2"/>
        <w:jc w:val="center"/>
        <w:rPr>
          <w:rFonts w:ascii="Arial" w:hAnsi="Arial" w:cs="Arial"/>
          <w:b/>
          <w:bCs/>
          <w:caps/>
          <w:color w:val="4D4D4D"/>
          <w:sz w:val="30"/>
          <w:szCs w:val="30"/>
        </w:rPr>
      </w:pPr>
    </w:p>
    <w:p w14:paraId="727447F2" w14:textId="77777777" w:rsidR="004C3865" w:rsidRPr="00A05BFD" w:rsidRDefault="004C3865" w:rsidP="004C3865">
      <w:pPr>
        <w:pStyle w:val="af2"/>
        <w:jc w:val="center"/>
        <w:rPr>
          <w:rFonts w:ascii="Arial" w:hAnsi="Arial" w:cs="Arial"/>
          <w:b/>
          <w:bCs/>
          <w:caps/>
          <w:color w:val="4D4D4D"/>
          <w:sz w:val="30"/>
          <w:szCs w:val="30"/>
        </w:rPr>
      </w:pPr>
    </w:p>
    <w:p w14:paraId="71F912B6" w14:textId="77777777" w:rsidR="004C3865" w:rsidRPr="00A05BFD" w:rsidRDefault="004C3865" w:rsidP="004213BC"/>
    <w:p w14:paraId="7B4FBD6F" w14:textId="77777777" w:rsidR="003B594D" w:rsidRPr="00A05BFD" w:rsidRDefault="003B594D" w:rsidP="003B594D"/>
    <w:p w14:paraId="3D234C20" w14:textId="3278175E" w:rsidR="00041D44" w:rsidRPr="00C31A98" w:rsidRDefault="00684DB4" w:rsidP="00684DB4">
      <w:pPr>
        <w:pStyle w:val="af2"/>
        <w:jc w:val="center"/>
        <w:rPr>
          <w:rFonts w:ascii="Arial" w:hAnsi="Arial" w:cs="Arial"/>
          <w:b/>
          <w:bCs/>
          <w:color w:val="1F3864"/>
        </w:rPr>
      </w:pPr>
      <w:r w:rsidRPr="00C31A98">
        <w:rPr>
          <w:rFonts w:ascii="Arial" w:hAnsi="Arial" w:cs="Arial"/>
          <w:b/>
          <w:bCs/>
          <w:color w:val="1F3864"/>
        </w:rPr>
        <w:t>ΑΘΗΝΑ, ΟΚΤΩΒΡΙΟΣ 202</w:t>
      </w:r>
      <w:r w:rsidR="00BE3927" w:rsidRPr="00C31A98">
        <w:rPr>
          <w:rFonts w:ascii="Arial" w:hAnsi="Arial" w:cs="Arial"/>
          <w:b/>
          <w:bCs/>
          <w:color w:val="1F3864"/>
        </w:rPr>
        <w:t>6</w:t>
      </w:r>
    </w:p>
    <w:p w14:paraId="44254762" w14:textId="77777777" w:rsidR="00041D44" w:rsidRDefault="00041D44">
      <w:pPr>
        <w:spacing w:after="0" w:line="240" w:lineRule="auto"/>
        <w:jc w:val="left"/>
        <w:rPr>
          <w:rFonts w:eastAsia="Calibri" w:cs="Arial"/>
          <w:b/>
          <w:bCs/>
          <w:color w:val="4D4D4D"/>
          <w:sz w:val="22"/>
          <w:szCs w:val="22"/>
          <w:lang w:eastAsia="en-US"/>
        </w:rPr>
      </w:pPr>
      <w:r>
        <w:rPr>
          <w:rFonts w:cs="Arial"/>
          <w:b/>
          <w:bCs/>
          <w:color w:val="4D4D4D"/>
        </w:rPr>
        <w:lastRenderedPageBreak/>
        <w:br w:type="page"/>
      </w:r>
    </w:p>
    <w:p w14:paraId="523B5411" w14:textId="6E8CB22F" w:rsidR="00B4667F" w:rsidRPr="005A6781" w:rsidRDefault="00B4667F" w:rsidP="00003291">
      <w:pPr>
        <w:rPr>
          <w:rFonts w:eastAsia="Calibri"/>
        </w:rPr>
      </w:pPr>
      <w:r w:rsidRPr="005A6781">
        <w:rPr>
          <w:rFonts w:eastAsia="Calibri"/>
        </w:rPr>
        <w:lastRenderedPageBreak/>
        <w:t>Προς τα μέλη της Διαρκούς Επιτροπής Οικονομικών Υποθέσεων της Βουλής</w:t>
      </w:r>
    </w:p>
    <w:p w14:paraId="4914F39B" w14:textId="77777777" w:rsidR="00B4667F" w:rsidRPr="005A6781" w:rsidRDefault="00B4667F" w:rsidP="00B4667F">
      <w:pPr>
        <w:rPr>
          <w:rFonts w:eastAsia="Calibri"/>
        </w:rPr>
      </w:pPr>
      <w:r w:rsidRPr="005A6781">
        <w:rPr>
          <w:rFonts w:eastAsia="Calibri"/>
        </w:rPr>
        <w:t>Κυρίες και Κύριοι Βουλευτές,</w:t>
      </w:r>
    </w:p>
    <w:p w14:paraId="2AF51802" w14:textId="6D70317A" w:rsidR="00431C88" w:rsidRDefault="00431C88" w:rsidP="00431C88">
      <w:pPr>
        <w:rPr>
          <w:rFonts w:eastAsia="Calibri"/>
        </w:rPr>
      </w:pPr>
      <w:r>
        <w:rPr>
          <w:rFonts w:eastAsia="Calibri"/>
        </w:rPr>
        <w:t>καταθέτουμε προς συζήτηση στη Διαρκή Επιτροπή Οικονομικών Υποθέσεων της Βουλής το προσχέδιο του κρατικού προϋπολογισμού του έτους 202</w:t>
      </w:r>
      <w:r w:rsidR="0061060A">
        <w:rPr>
          <w:rFonts w:eastAsia="Calibri"/>
        </w:rPr>
        <w:t>7</w:t>
      </w:r>
      <w:r>
        <w:rPr>
          <w:rFonts w:eastAsia="Calibri"/>
        </w:rPr>
        <w:t>.</w:t>
      </w:r>
    </w:p>
    <w:p w14:paraId="41A772EA" w14:textId="70F4BDD6" w:rsidR="00765D5B" w:rsidRPr="00133C25" w:rsidRDefault="00765D5B" w:rsidP="00765D5B">
      <w:pPr>
        <w:rPr>
          <w:rFonts w:eastAsia="Calibri"/>
        </w:rPr>
      </w:pPr>
      <w:r w:rsidRPr="00133C25">
        <w:rPr>
          <w:rFonts w:eastAsia="Calibri"/>
        </w:rPr>
        <w:t>Το προσχέδιο κατατίθεται εν μέσω αυξημένης γεωπολιτικής αβεβαιότητας, διαταραχ</w:t>
      </w:r>
      <w:r w:rsidR="009B38FA">
        <w:rPr>
          <w:rFonts w:eastAsia="Calibri"/>
        </w:rPr>
        <w:t>ών</w:t>
      </w:r>
      <w:r w:rsidRPr="00133C25">
        <w:rPr>
          <w:rFonts w:eastAsia="Calibri"/>
        </w:rPr>
        <w:t xml:space="preserve"> στις αγορές ενέργειας και ενίσχυση</w:t>
      </w:r>
      <w:r w:rsidR="009B38FA">
        <w:rPr>
          <w:rFonts w:eastAsia="Calibri"/>
        </w:rPr>
        <w:t>ς</w:t>
      </w:r>
      <w:r w:rsidRPr="00133C25">
        <w:rPr>
          <w:rFonts w:eastAsia="Calibri"/>
        </w:rPr>
        <w:t xml:space="preserve"> των περιορισμών στο διεθνές εμπόριο. Οι συνεχιζόμενες γεωπολιτικές εντάσεις στην Ουκρανία και στη Μέση Ανατολή επηρεάζουν τις διεθνείς ενεργειακές αγορές και τις θαλάσσιες εμπορικές ροές, ιδίως μέσω των Στενών του </w:t>
      </w:r>
      <w:proofErr w:type="spellStart"/>
      <w:r w:rsidRPr="00133C25">
        <w:rPr>
          <w:rFonts w:eastAsia="Calibri"/>
        </w:rPr>
        <w:t>Ορμούζ</w:t>
      </w:r>
      <w:proofErr w:type="spellEnd"/>
      <w:r w:rsidRPr="00133C25">
        <w:rPr>
          <w:rFonts w:eastAsia="Calibri"/>
        </w:rPr>
        <w:t xml:space="preserve">, ενώ συγχρόνως παρατηρείται </w:t>
      </w:r>
      <w:r w:rsidR="005838DA">
        <w:rPr>
          <w:rFonts w:eastAsia="Calibri"/>
        </w:rPr>
        <w:t>αύξηση</w:t>
      </w:r>
      <w:r w:rsidR="009B38FA">
        <w:rPr>
          <w:rFonts w:eastAsia="Calibri"/>
        </w:rPr>
        <w:t xml:space="preserve"> </w:t>
      </w:r>
      <w:r w:rsidRPr="00133C25">
        <w:rPr>
          <w:rFonts w:eastAsia="Calibri"/>
        </w:rPr>
        <w:t xml:space="preserve">των δημοσιονομικών κινδύνων σε πολλές </w:t>
      </w:r>
      <w:r w:rsidR="009B38FA" w:rsidRPr="009B38FA">
        <w:rPr>
          <w:rFonts w:eastAsia="Calibri"/>
        </w:rPr>
        <w:t>ε</w:t>
      </w:r>
      <w:r w:rsidRPr="009B38FA">
        <w:rPr>
          <w:rFonts w:eastAsia="Calibri"/>
        </w:rPr>
        <w:t>υρωπαϊκές</w:t>
      </w:r>
      <w:r w:rsidRPr="00133C25">
        <w:rPr>
          <w:rFonts w:eastAsia="Calibri"/>
        </w:rPr>
        <w:t xml:space="preserve"> οικονομίες.</w:t>
      </w:r>
    </w:p>
    <w:p w14:paraId="4FF04E8D" w14:textId="0FB9AC90" w:rsidR="00765D5B" w:rsidRDefault="00765D5B" w:rsidP="00765D5B">
      <w:pPr>
        <w:rPr>
          <w:rFonts w:eastAsia="Calibri"/>
        </w:rPr>
      </w:pPr>
      <w:r w:rsidRPr="00133C25">
        <w:rPr>
          <w:rFonts w:eastAsia="Calibri"/>
        </w:rPr>
        <w:t xml:space="preserve">Παρά </w:t>
      </w:r>
      <w:r>
        <w:rPr>
          <w:rFonts w:eastAsia="Calibri"/>
        </w:rPr>
        <w:t>το δυσμενές εξωτερικό περιβάλλον</w:t>
      </w:r>
      <w:r w:rsidRPr="00133C25">
        <w:t xml:space="preserve"> η ελληνική οικονομία προβλέπεται να συνεχίσει για έβδομο συναπτό έτος να καταγράφει σημαντικά υψηλότερο ρυθμό οικονομικής μεγέθυνσης σε σχέση με τον μέσο όρο της Ευρωζώνης.</w:t>
      </w:r>
      <w:r w:rsidRPr="00133C25">
        <w:rPr>
          <w:rFonts w:eastAsia="Calibri"/>
        </w:rPr>
        <w:t xml:space="preserve"> Ο ρυθμός ανάπτυξης αναμένεται να ανέλθει σε 2% το 2026 και </w:t>
      </w:r>
      <w:r w:rsidR="00800E48">
        <w:rPr>
          <w:rFonts w:eastAsia="Calibri"/>
        </w:rPr>
        <w:t xml:space="preserve">σε </w:t>
      </w:r>
      <w:r w:rsidRPr="00133C25">
        <w:rPr>
          <w:rFonts w:eastAsia="Calibri"/>
        </w:rPr>
        <w:t xml:space="preserve">2,3% το 2027. Σημειώνεται ότι σύμφωνα με τις εαρινές προβλέψεις της Ευρωπαϊκής Επιτροπής, ο ρυθμός ανάπτυξης για την Ευρωζώνη εκτιμάται σε 0,9% για το 2026 και </w:t>
      </w:r>
      <w:r w:rsidR="00800E48">
        <w:rPr>
          <w:rFonts w:eastAsia="Calibri"/>
        </w:rPr>
        <w:t xml:space="preserve">σε </w:t>
      </w:r>
      <w:r w:rsidRPr="00133C25">
        <w:rPr>
          <w:rFonts w:eastAsia="Calibri"/>
        </w:rPr>
        <w:t>1,2% για το 2027.</w:t>
      </w:r>
      <w:r w:rsidRPr="00133C25">
        <w:t xml:space="preserve"> Το ονομαστικό </w:t>
      </w:r>
      <w:r w:rsidRPr="00800E48">
        <w:t>ΑΕΠ αναμένεται να αυξηθεί από 262 δισ. ευρώ το 2026 σε 274,6 δισ. ευρώ το 2027. Παράλληλα,</w:t>
      </w:r>
      <w:r w:rsidR="0071118B">
        <w:t xml:space="preserve"> σύμφωνα με τα διαθέσιμα στοιχεία έως </w:t>
      </w:r>
      <w:r w:rsidR="002D62B8">
        <w:t xml:space="preserve">το </w:t>
      </w:r>
      <w:r w:rsidR="0071118B">
        <w:t>τέλος Αυγούστου</w:t>
      </w:r>
      <w:r w:rsidR="00B50A23">
        <w:t xml:space="preserve"> 2026,</w:t>
      </w:r>
      <w:r w:rsidRPr="00800E48">
        <w:t xml:space="preserve"> ο</w:t>
      </w:r>
      <w:r w:rsidRPr="00133C25">
        <w:rPr>
          <w:rFonts w:eastAsia="Calibri"/>
        </w:rPr>
        <w:t xml:space="preserve"> εγχώριος πληθωρισμός αναμένεται να αποκλιμακωθεί από 3,8% το 2026 σε 2,</w:t>
      </w:r>
      <w:r w:rsidR="00491D23" w:rsidRPr="00491D23">
        <w:rPr>
          <w:rFonts w:eastAsia="Calibri"/>
        </w:rPr>
        <w:t>6</w:t>
      </w:r>
      <w:r w:rsidRPr="00133C25">
        <w:rPr>
          <w:rFonts w:eastAsia="Calibri"/>
        </w:rPr>
        <w:t xml:space="preserve">% το 2027. </w:t>
      </w:r>
      <w:r>
        <w:rPr>
          <w:rFonts w:eastAsia="Calibri"/>
        </w:rPr>
        <w:t>Επιπλέον,</w:t>
      </w:r>
      <w:r w:rsidRPr="00133C25">
        <w:rPr>
          <w:rFonts w:eastAsia="Calibri"/>
        </w:rPr>
        <w:t xml:space="preserve"> οι επενδύσεις αναμένεται να αυξηθούν κατά 7,9% το 2027 έναντι 1,7% στην Ευρωζώνη, με τον λόγο επενδύσεων προς </w:t>
      </w:r>
      <w:r w:rsidRPr="00800E48">
        <w:rPr>
          <w:rFonts w:eastAsia="Calibri"/>
        </w:rPr>
        <w:t>ΑΕΠ</w:t>
      </w:r>
      <w:r w:rsidRPr="00133C25">
        <w:rPr>
          <w:rFonts w:eastAsia="Calibri"/>
        </w:rPr>
        <w:t xml:space="preserve"> να προσεγγίζει το 18,6% το 2027 από 17,8% το 2026.</w:t>
      </w:r>
    </w:p>
    <w:p w14:paraId="5102655E" w14:textId="6DC175B0" w:rsidR="00765D5B" w:rsidRPr="00133C25" w:rsidRDefault="00765D5B" w:rsidP="00765D5B">
      <w:r w:rsidRPr="00133C25">
        <w:t>Το ποσοστό ανεργίας προβλέπεται να μειωθεί περαιτέρω από 8,4% το 2026 σε 7,9% το 2027, το οποίο αντιστοιχεί στο χαμηλότερο ποσοστό ανεργίας στην Ελλάδα μετά το 2008. Οι αμοιβές ανά εργαζόμενο αναμένεται να ενισχυθούν περ</w:t>
      </w:r>
      <w:r w:rsidR="00564DF1">
        <w:t>αιτέρω</w:t>
      </w:r>
      <w:r w:rsidR="00800E48">
        <w:t>,</w:t>
      </w:r>
      <w:r w:rsidRPr="00133C25">
        <w:t xml:space="preserve"> με αύξηση 3,9% το 2027 έναντι 3,7% το 2026.</w:t>
      </w:r>
    </w:p>
    <w:p w14:paraId="63F7A16F" w14:textId="6319FA79" w:rsidR="00765D5B" w:rsidRDefault="00765D5B" w:rsidP="00765D5B">
      <w:r w:rsidRPr="00133C25">
        <w:t>Σημαντικό ρόλο στην επιτάχυνση του ρυθμού οικονομικής μεγέθυνσ</w:t>
      </w:r>
      <w:r w:rsidR="00800E48">
        <w:t>η</w:t>
      </w:r>
      <w:r w:rsidRPr="00133C25">
        <w:t>ς και της αύξησης των εισοδημάτων διαδραματίζουν οι παρεμβάσεις που ανακοινώθηκαν στην 90</w:t>
      </w:r>
      <w:r w:rsidRPr="00800E48">
        <w:t>η</w:t>
      </w:r>
      <w:r w:rsidRPr="00133C25">
        <w:t xml:space="preserve"> Διεθνή Έκθεση της Θεσσαλονίκης. Πιο συγκεκριμένα</w:t>
      </w:r>
      <w:r w:rsidR="00F8473E">
        <w:t>,</w:t>
      </w:r>
      <w:r w:rsidRPr="00133C25">
        <w:t xml:space="preserve"> για την ενίσχυση της</w:t>
      </w:r>
      <w:r>
        <w:t xml:space="preserve"> επιχειρηματικότητας προβλέπονται σημαντικές μειώσεις φόρων για τους συνεπείς ελεύθερους επαγγελματίες, επιταχυνόμενες αποσβέσεις για επενδύσεις σε μηχανολογικό εξοπλισμό, κατάργηση του τέλους επιτηδεύματος</w:t>
      </w:r>
      <w:r w:rsidR="00F8473E">
        <w:t xml:space="preserve"> με αφετηρία </w:t>
      </w:r>
      <w:r>
        <w:t xml:space="preserve">την </w:t>
      </w:r>
      <w:r w:rsidR="00564DF1" w:rsidRPr="002579D5">
        <w:t>ε</w:t>
      </w:r>
      <w:r w:rsidRPr="002579D5">
        <w:t xml:space="preserve">λληνική </w:t>
      </w:r>
      <w:r w:rsidR="00564DF1" w:rsidRPr="002579D5">
        <w:t>π</w:t>
      </w:r>
      <w:r w:rsidRPr="002579D5">
        <w:t>εριφέρεια και τη</w:t>
      </w:r>
      <w:r>
        <w:t xml:space="preserve"> Θεσσαλονίκη </w:t>
      </w:r>
      <w:r w:rsidR="002579D5">
        <w:t xml:space="preserve">καθώς </w:t>
      </w:r>
      <w:r>
        <w:t>και σταδιακή μείωση της προκαταβολής φόρου</w:t>
      </w:r>
      <w:r w:rsidR="002579D5">
        <w:t>. Παράλληλα</w:t>
      </w:r>
      <w:r>
        <w:t xml:space="preserve">, οι επενδύσεις ενισχύονται </w:t>
      </w:r>
      <w:r w:rsidR="00594F52">
        <w:t>επιπλέον</w:t>
      </w:r>
      <w:r>
        <w:t xml:space="preserve"> μέσα από</w:t>
      </w:r>
      <w:r w:rsidRPr="006D19D0">
        <w:t xml:space="preserve"> τη σημαντική </w:t>
      </w:r>
      <w:r w:rsidR="002579D5">
        <w:t>ενίσχυση</w:t>
      </w:r>
      <w:r w:rsidRPr="006D19D0">
        <w:t xml:space="preserve"> του </w:t>
      </w:r>
      <w:r w:rsidR="00564DF1" w:rsidRPr="002579D5">
        <w:t>ε</w:t>
      </w:r>
      <w:r w:rsidRPr="002579D5">
        <w:t xml:space="preserve">θνικού και </w:t>
      </w:r>
      <w:r w:rsidR="00962F6F">
        <w:t xml:space="preserve">του </w:t>
      </w:r>
      <w:r w:rsidR="00564DF1" w:rsidRPr="002579D5">
        <w:t>σ</w:t>
      </w:r>
      <w:r w:rsidRPr="002579D5">
        <w:t xml:space="preserve">υγχρηματοδοτούμενου σκέλους του </w:t>
      </w:r>
      <w:r w:rsidR="002579D5">
        <w:t>προϋπολογισμού</w:t>
      </w:r>
      <w:r w:rsidRPr="002579D5">
        <w:t xml:space="preserve"> </w:t>
      </w:r>
      <w:r w:rsidR="002579D5">
        <w:t>δ</w:t>
      </w:r>
      <w:r w:rsidRPr="002579D5">
        <w:t xml:space="preserve">ημοσίων </w:t>
      </w:r>
      <w:r w:rsidR="002579D5">
        <w:t>ε</w:t>
      </w:r>
      <w:r w:rsidRPr="002579D5">
        <w:t>πενδύσεων</w:t>
      </w:r>
      <w:r>
        <w:t xml:space="preserve"> </w:t>
      </w:r>
      <w:r w:rsidR="00962F6F">
        <w:t xml:space="preserve">καθώς </w:t>
      </w:r>
      <w:r>
        <w:t xml:space="preserve">και </w:t>
      </w:r>
      <w:r w:rsidR="002579D5">
        <w:t xml:space="preserve">από </w:t>
      </w:r>
      <w:r>
        <w:t xml:space="preserve">ένα νέο δανειοδοτικό και </w:t>
      </w:r>
      <w:proofErr w:type="spellStart"/>
      <w:r>
        <w:t>εγγυοδοτικό</w:t>
      </w:r>
      <w:proofErr w:type="spellEnd"/>
      <w:r>
        <w:t xml:space="preserve"> πρόγραμμα ύψους 1,5 δισ. ευρώ για τις μικρομεσαίες επιχειρήσεις</w:t>
      </w:r>
      <w:r w:rsidR="002579D5">
        <w:t>,</w:t>
      </w:r>
      <w:r>
        <w:t xml:space="preserve"> που προέρχεται από το δανειακό σκέλος </w:t>
      </w:r>
      <w:r w:rsidRPr="002579D5">
        <w:t>του Ταμείου Ανάκαμψης και Ανθεκτικότητας.</w:t>
      </w:r>
    </w:p>
    <w:p w14:paraId="2DF91ACF" w14:textId="5B1D3B4A" w:rsidR="00765D5B" w:rsidRDefault="00765D5B" w:rsidP="00765D5B">
      <w:r>
        <w:t xml:space="preserve">Σε συνέχεια της φορολογικής μεταρρύθμισης του 2026 ο φορολογικός συντελεστής </w:t>
      </w:r>
      <w:r w:rsidR="005838DA">
        <w:t xml:space="preserve">έως τα 20.000 ευρώ </w:t>
      </w:r>
      <w:r w:rsidR="002579D5">
        <w:t xml:space="preserve">για τους κατά κύριο επάγγελμα αγρότες και τους </w:t>
      </w:r>
      <w:proofErr w:type="spellStart"/>
      <w:r w:rsidR="002579D5">
        <w:t>τριτέκνους</w:t>
      </w:r>
      <w:proofErr w:type="spellEnd"/>
      <w:r w:rsidR="002579D5">
        <w:t xml:space="preserve"> </w:t>
      </w:r>
      <w:r w:rsidR="005838DA">
        <w:t>μηδενίζεται</w:t>
      </w:r>
      <w:r>
        <w:t xml:space="preserve">. Με σκοπό την </w:t>
      </w:r>
      <w:r w:rsidR="00594F52">
        <w:t>πρόσθετη στήριξη</w:t>
      </w:r>
      <w:r>
        <w:t xml:space="preserve"> του διαθέσιμου εισοδήματος, από τον Νοέμβριο 2026 η ετήσια ενίσχυση που λαμβάνουν οι συνταξιούχοι, τα άτομα με αναπηρία και οι ανασφάλιστοι υπερήλικες αυξάνεται σε 400 ευρώ καθαρά και επεκτείνεται στο σύνολο των συνταξιούχων </w:t>
      </w:r>
      <w:r w:rsidR="00462A41">
        <w:t xml:space="preserve">ηλικίας </w:t>
      </w:r>
      <w:r>
        <w:t xml:space="preserve">άνω των 65 ετών, τα </w:t>
      </w:r>
      <w:r w:rsidRPr="00A67D46">
        <w:t xml:space="preserve">αναπηρικά επιδόματα </w:t>
      </w:r>
      <w:proofErr w:type="spellStart"/>
      <w:r w:rsidRPr="00A67D46">
        <w:t>τιμαριθμοποιούνται</w:t>
      </w:r>
      <w:proofErr w:type="spellEnd"/>
      <w:r w:rsidRPr="00A67D46">
        <w:t>, ενώ από τον Δεκέμβριο 2027 καταβάλλεται επίδομα εορτών Χριστουγέννων ύψους 500 ευρώ σε όλους τους δημοσίους υπαλλήλους</w:t>
      </w:r>
      <w:r w:rsidR="00D24ACB" w:rsidRPr="00A67D46">
        <w:t xml:space="preserve"> και λειτουργούς</w:t>
      </w:r>
      <w:r w:rsidRPr="00A67D46">
        <w:t>. Επιπλέον, τίθεται στόχος αύξησης του κατώτατου μισθού στ</w:t>
      </w:r>
      <w:r w:rsidR="00462A41" w:rsidRPr="00A67D46">
        <w:t xml:space="preserve">ο ποσό των </w:t>
      </w:r>
      <w:r w:rsidRPr="00A67D46">
        <w:t>1.000 ευρώ, με δύο διαδοχικές αυξήσεις</w:t>
      </w:r>
      <w:r>
        <w:t xml:space="preserve"> που θα λάβουν χώρα τον Απρίλιο 2027 και τον Ιανουάριο 2028, ενώ οι ασφαλιστικές εισφορές μειώνονται περ</w:t>
      </w:r>
      <w:r w:rsidR="00354D66">
        <w:t>αιτέρω</w:t>
      </w:r>
      <w:r>
        <w:t xml:space="preserve"> κατά 0,5% στον ιδιωτικό τομέα. Για την αντιμετώπιση του στεγαστικού ζητήματος δημιουργείται πρόγρ</w:t>
      </w:r>
      <w:r w:rsidRPr="004C107B">
        <w:t xml:space="preserve">αμμα </w:t>
      </w:r>
      <w:r w:rsidR="00354D66" w:rsidRPr="004C107B">
        <w:t>«</w:t>
      </w:r>
      <w:r w:rsidRPr="004C107B">
        <w:t>Σ</w:t>
      </w:r>
      <w:r w:rsidR="00B52DC7" w:rsidRPr="004C107B">
        <w:t xml:space="preserve">πίτι </w:t>
      </w:r>
      <w:r w:rsidRPr="004C107B">
        <w:t>μου ΙΙΙ</w:t>
      </w:r>
      <w:r w:rsidR="00354D66" w:rsidRPr="004C107B">
        <w:t>»</w:t>
      </w:r>
      <w:r>
        <w:t xml:space="preserve"> με πόρους 2 δισ. ευρώ και παρατείνεται </w:t>
      </w:r>
      <w:r w:rsidR="004C107B">
        <w:t xml:space="preserve">η εφαρμογή μίας </w:t>
      </w:r>
      <w:r w:rsidRPr="007B0E2D">
        <w:t>σειρά</w:t>
      </w:r>
      <w:r w:rsidR="004C107B">
        <w:t>ς</w:t>
      </w:r>
      <w:r w:rsidRPr="007B0E2D">
        <w:t xml:space="preserve"> </w:t>
      </w:r>
      <w:r>
        <w:t>φορολογικών κινήτρων</w:t>
      </w:r>
      <w:r w:rsidRPr="007B0E2D">
        <w:t xml:space="preserve"> που έχουν υιοθετηθεί, </w:t>
      </w:r>
      <w:r>
        <w:t>ενώ για την ενίσχυση της προοπτικής της νέας γενιάς θεσπίζεται</w:t>
      </w:r>
      <w:r w:rsidRPr="00A937EA">
        <w:t xml:space="preserve"> ειδικ</w:t>
      </w:r>
      <w:r>
        <w:t>ός</w:t>
      </w:r>
      <w:r w:rsidRPr="00A937EA">
        <w:t xml:space="preserve"> επενδυτικ</w:t>
      </w:r>
      <w:r>
        <w:t>ός</w:t>
      </w:r>
      <w:r w:rsidRPr="00A937EA">
        <w:t xml:space="preserve"> λογαριασμ</w:t>
      </w:r>
      <w:r>
        <w:t>ός</w:t>
      </w:r>
      <w:r w:rsidRPr="00A937EA">
        <w:t xml:space="preserve"> </w:t>
      </w:r>
      <w:r w:rsidR="004C107B">
        <w:t>με κρατική συνεισφορά</w:t>
      </w:r>
      <w:r w:rsidR="007D1F96">
        <w:t>, η οποία</w:t>
      </w:r>
      <w:r w:rsidR="004C107B">
        <w:t xml:space="preserve"> είναι ισόποση με το ποσό που καταθέτει κάθε </w:t>
      </w:r>
      <w:r w:rsidRPr="00A937EA">
        <w:t>χρόνο ο γονέας και μέχρι 1.200 ευρώ ετησίως</w:t>
      </w:r>
      <w:r>
        <w:t>.</w:t>
      </w:r>
    </w:p>
    <w:p w14:paraId="488637DD" w14:textId="0FBFE028" w:rsidR="00765D5B" w:rsidRDefault="00765D5B" w:rsidP="00765D5B">
      <w:pPr>
        <w:rPr>
          <w:rFonts w:eastAsia="Calibri"/>
        </w:rPr>
      </w:pPr>
      <w:r w:rsidRPr="006D19D0">
        <w:t xml:space="preserve">Το πρωτογενές αποτέλεσμα του κρατικού προϋπολογισμού αναμένεται να διαμορφωθεί σε 3,6% του ΑΕΠ για το 2026 και σε 3,3% το 2027, ενώ </w:t>
      </w:r>
      <w:r w:rsidRPr="006D19D0">
        <w:rPr>
          <w:rFonts w:eastAsia="Calibri"/>
        </w:rPr>
        <w:t>το συνολικό αποτέλεσμα της Γενικής Κυβέρνησης σε 0,6% το 2026 και σε 0,3% το 2027. Σε αυτό το πλαίσιο το χρέος της Γενικής Κυβέρνησης ως ποσοστό του ΑΕΠ αναμένεται να παρουσιάσει για έβδομο συ</w:t>
      </w:r>
      <w:r w:rsidR="004C107B">
        <w:rPr>
          <w:rFonts w:eastAsia="Calibri"/>
        </w:rPr>
        <w:t xml:space="preserve">ναπτό </w:t>
      </w:r>
      <w:r w:rsidRPr="006D19D0">
        <w:rPr>
          <w:rFonts w:eastAsia="Calibri"/>
        </w:rPr>
        <w:t>έτος τη μεγαλύτερη αποκλιμάκωση στην Ε</w:t>
      </w:r>
      <w:r w:rsidR="004C107B">
        <w:rPr>
          <w:rFonts w:eastAsia="Calibri"/>
        </w:rPr>
        <w:t>Ε</w:t>
      </w:r>
      <w:r w:rsidRPr="006D19D0">
        <w:rPr>
          <w:rFonts w:eastAsia="Calibri"/>
        </w:rPr>
        <w:t xml:space="preserve"> και να διαμορφώνεται σε 128,8% το 2027 έναντι 136,7% το 2026.</w:t>
      </w:r>
    </w:p>
    <w:p w14:paraId="5843E041" w14:textId="2E3C10F8" w:rsidR="007A481C" w:rsidRPr="00765D5B" w:rsidRDefault="00765D5B" w:rsidP="00765D5B">
      <w:pPr>
        <w:rPr>
          <w:rFonts w:eastAsia="Calibri"/>
        </w:rPr>
      </w:pPr>
      <w:r>
        <w:rPr>
          <w:rFonts w:eastAsia="Calibri"/>
        </w:rPr>
        <w:t>Ο</w:t>
      </w:r>
      <w:r w:rsidRPr="00295BF3">
        <w:rPr>
          <w:rFonts w:eastAsia="Calibri"/>
        </w:rPr>
        <w:t xml:space="preserve">ι θετικές μακροοικονομικές και δημοσιονομικές επιδόσεις της Ελλάδας, ιδίως συγκρινόμενες με τις </w:t>
      </w:r>
      <w:r w:rsidRPr="004C107B">
        <w:rPr>
          <w:rFonts w:eastAsia="Calibri"/>
        </w:rPr>
        <w:t xml:space="preserve">υπόλοιπες </w:t>
      </w:r>
      <w:r w:rsidR="004C107B" w:rsidRPr="004C107B">
        <w:rPr>
          <w:rFonts w:eastAsia="Calibri"/>
        </w:rPr>
        <w:t>ε</w:t>
      </w:r>
      <w:r w:rsidRPr="004C107B">
        <w:rPr>
          <w:rFonts w:eastAsia="Calibri"/>
        </w:rPr>
        <w:t>υρωπ</w:t>
      </w:r>
      <w:r w:rsidRPr="00295BF3">
        <w:rPr>
          <w:rFonts w:eastAsia="Calibri"/>
        </w:rPr>
        <w:t>αϊκές χώρες, συνιστούν αποτέλεσμα συνεχούς μεταρρυθμιστικού έργου με αναπτυξιακή προοπτική, συλλογικής προσπάθειας όλων των πολιτών, υπευθυνότητας στη διαχείριση των δημοσίων οικονομικών</w:t>
      </w:r>
      <w:r>
        <w:rPr>
          <w:rFonts w:eastAsia="Calibri"/>
        </w:rPr>
        <w:t xml:space="preserve"> </w:t>
      </w:r>
      <w:r w:rsidRPr="00295BF3">
        <w:rPr>
          <w:rFonts w:eastAsia="Calibri"/>
        </w:rPr>
        <w:t>και πολιτικής σταθερότητας.</w:t>
      </w:r>
      <w:r>
        <w:rPr>
          <w:rFonts w:eastAsia="Calibri"/>
        </w:rPr>
        <w:t xml:space="preserve"> </w:t>
      </w:r>
      <w:r w:rsidRPr="00295BF3">
        <w:rPr>
          <w:rFonts w:eastAsia="Calibri"/>
        </w:rPr>
        <w:t>Οι προκλήσεις του 2027 είναι πολλές και σημαντικές</w:t>
      </w:r>
      <w:r>
        <w:rPr>
          <w:rFonts w:eastAsia="Calibri"/>
        </w:rPr>
        <w:t>.</w:t>
      </w:r>
      <w:r w:rsidRPr="00295BF3">
        <w:rPr>
          <w:rFonts w:eastAsia="Calibri"/>
        </w:rPr>
        <w:t xml:space="preserve"> </w:t>
      </w:r>
      <w:r>
        <w:rPr>
          <w:rFonts w:eastAsia="Calibri"/>
        </w:rPr>
        <w:t xml:space="preserve">Αφορούν </w:t>
      </w:r>
      <w:r w:rsidR="004C107B">
        <w:rPr>
          <w:rFonts w:eastAsia="Calibri"/>
        </w:rPr>
        <w:t>σ</w:t>
      </w:r>
      <w:r>
        <w:rPr>
          <w:rFonts w:eastAsia="Calibri"/>
        </w:rPr>
        <w:t xml:space="preserve">τις γεωπολιτικές εξελίξεις που επηρεάζουν σημαντικά την αγορά ενέργειας, το διεθνές εμπόριο αλλά και την παγκόσμια ασφάλεια, </w:t>
      </w:r>
      <w:r w:rsidR="004C107B">
        <w:rPr>
          <w:rFonts w:eastAsia="Calibri"/>
        </w:rPr>
        <w:t>σ</w:t>
      </w:r>
      <w:r>
        <w:rPr>
          <w:rFonts w:eastAsia="Calibri"/>
        </w:rPr>
        <w:t xml:space="preserve">την επίδραση των τεχνολογικών εξελίξεων και της τεχνητής νοημοσύνης, </w:t>
      </w:r>
      <w:r w:rsidR="004C107B">
        <w:rPr>
          <w:rFonts w:eastAsia="Calibri"/>
        </w:rPr>
        <w:t>σ</w:t>
      </w:r>
      <w:r>
        <w:rPr>
          <w:rFonts w:eastAsia="Calibri"/>
        </w:rPr>
        <w:t xml:space="preserve">την εντεινόμενη κλιματική αλλαγή, </w:t>
      </w:r>
      <w:r w:rsidR="004C107B">
        <w:rPr>
          <w:rFonts w:eastAsia="Calibri"/>
        </w:rPr>
        <w:t>σ</w:t>
      </w:r>
      <w:r>
        <w:rPr>
          <w:rFonts w:eastAsia="Calibri"/>
        </w:rPr>
        <w:t xml:space="preserve">τις ενδεχόμενες αλλαγές στους πολιτικούς </w:t>
      </w:r>
      <w:r w:rsidRPr="00866C02">
        <w:rPr>
          <w:rFonts w:eastAsia="Calibri"/>
        </w:rPr>
        <w:t xml:space="preserve">συσχετισμούς σε </w:t>
      </w:r>
      <w:r w:rsidR="004C107B" w:rsidRPr="00866C02">
        <w:rPr>
          <w:rFonts w:eastAsia="Calibri"/>
        </w:rPr>
        <w:t>ε</w:t>
      </w:r>
      <w:r w:rsidRPr="00866C02">
        <w:rPr>
          <w:rFonts w:eastAsia="Calibri"/>
        </w:rPr>
        <w:t xml:space="preserve">υρωπαϊκό επίπεδο και </w:t>
      </w:r>
      <w:r w:rsidR="004C107B" w:rsidRPr="00866C02">
        <w:rPr>
          <w:rFonts w:eastAsia="Calibri"/>
        </w:rPr>
        <w:t>σ</w:t>
      </w:r>
      <w:r w:rsidRPr="00866C02">
        <w:rPr>
          <w:rFonts w:eastAsia="Calibri"/>
        </w:rPr>
        <w:t xml:space="preserve">τις δημοσιονομικές πιέσεις σε αρκετά κράτη </w:t>
      </w:r>
      <w:r w:rsidR="00852341" w:rsidRPr="00866C02">
        <w:rPr>
          <w:rFonts w:eastAsia="Calibri"/>
        </w:rPr>
        <w:t xml:space="preserve">- </w:t>
      </w:r>
      <w:r w:rsidRPr="00866C02">
        <w:rPr>
          <w:rFonts w:eastAsia="Calibri"/>
        </w:rPr>
        <w:t xml:space="preserve">μέλη της ΕΕ. Σε αυτό το περιβάλλον η </w:t>
      </w:r>
      <w:r w:rsidR="00866C02" w:rsidRPr="00866C02">
        <w:rPr>
          <w:rFonts w:eastAsia="Calibri"/>
        </w:rPr>
        <w:t>ε</w:t>
      </w:r>
      <w:r w:rsidRPr="00866C02">
        <w:rPr>
          <w:rFonts w:eastAsia="Calibri"/>
        </w:rPr>
        <w:t>λληνική οικονομία έχει εισέλθει σε μ</w:t>
      </w:r>
      <w:r w:rsidR="00866C02">
        <w:rPr>
          <w:rFonts w:eastAsia="Calibri"/>
        </w:rPr>
        <w:t>ί</w:t>
      </w:r>
      <w:r w:rsidRPr="00866C02">
        <w:rPr>
          <w:rFonts w:eastAsia="Calibri"/>
        </w:rPr>
        <w:t>α περίοδο προόδου και ευημερίας</w:t>
      </w:r>
      <w:r w:rsidRPr="00866C02">
        <w:t xml:space="preserve"> με συνεχώς βελτιούμενες προοπτικές</w:t>
      </w:r>
      <w:r w:rsidR="00866C02">
        <w:t xml:space="preserve">, </w:t>
      </w:r>
      <w:r w:rsidR="005838DA">
        <w:t xml:space="preserve">που είναι </w:t>
      </w:r>
      <w:r w:rsidRPr="00866C02">
        <w:rPr>
          <w:rFonts w:eastAsia="Calibri"/>
        </w:rPr>
        <w:t xml:space="preserve">ευθύνη όλων </w:t>
      </w:r>
      <w:r w:rsidR="005838DA">
        <w:rPr>
          <w:rFonts w:eastAsia="Calibri"/>
        </w:rPr>
        <w:t>μας να διαφυλάξουμε</w:t>
      </w:r>
      <w:r w:rsidRPr="00866C02">
        <w:rPr>
          <w:rFonts w:eastAsia="Calibri"/>
        </w:rPr>
        <w:t>.</w:t>
      </w:r>
    </w:p>
    <w:p w14:paraId="18687323" w14:textId="51FB6439" w:rsidR="00B4667F" w:rsidRPr="00CC7A3E" w:rsidRDefault="00B4667F" w:rsidP="00B93C46">
      <w:pPr>
        <w:spacing w:before="360"/>
        <w:rPr>
          <w:rFonts w:eastAsia="Calibri"/>
        </w:rPr>
      </w:pPr>
      <w:r w:rsidRPr="001F6B03">
        <w:rPr>
          <w:rFonts w:eastAsia="Calibri"/>
        </w:rPr>
        <w:t>Οκτώβριος 202</w:t>
      </w:r>
      <w:r w:rsidR="00097631">
        <w:rPr>
          <w:rFonts w:eastAsia="Calibri"/>
        </w:rPr>
        <w:t>6</w:t>
      </w:r>
    </w:p>
    <w:p w14:paraId="7A15C46D" w14:textId="77777777" w:rsidR="00883A15" w:rsidRDefault="00883A15" w:rsidP="00B4667F">
      <w:pPr>
        <w:rPr>
          <w:rFonts w:eastAsia="Calibri"/>
        </w:rPr>
      </w:pPr>
    </w:p>
    <w:p w14:paraId="301D8B13" w14:textId="77777777" w:rsidR="00883A15" w:rsidRPr="001F6B03" w:rsidRDefault="00883A15" w:rsidP="00B4667F">
      <w:pPr>
        <w:rPr>
          <w:rFonts w:eastAsia="Calibri"/>
        </w:rPr>
      </w:pPr>
    </w:p>
    <w:tbl>
      <w:tblPr>
        <w:tblW w:w="0" w:type="auto"/>
        <w:jc w:val="center"/>
        <w:tblLook w:val="04A0" w:firstRow="1" w:lastRow="0" w:firstColumn="1" w:lastColumn="0" w:noHBand="0" w:noVBand="1"/>
      </w:tblPr>
      <w:tblGrid>
        <w:gridCol w:w="4265"/>
        <w:gridCol w:w="4257"/>
      </w:tblGrid>
      <w:tr w:rsidR="00B4667F" w:rsidRPr="001F6B03" w14:paraId="42716833" w14:textId="77777777" w:rsidTr="006926B7">
        <w:trPr>
          <w:jc w:val="center"/>
        </w:trPr>
        <w:tc>
          <w:tcPr>
            <w:tcW w:w="4265" w:type="dxa"/>
          </w:tcPr>
          <w:p w14:paraId="786D2CF1" w14:textId="77777777" w:rsidR="00B4667F" w:rsidRPr="001F6B03" w:rsidRDefault="00426F7C" w:rsidP="002C4F17">
            <w:pPr>
              <w:spacing w:after="0"/>
              <w:jc w:val="center"/>
              <w:rPr>
                <w:rFonts w:eastAsia="Calibri" w:cs="Arial"/>
              </w:rPr>
            </w:pPr>
            <w:r>
              <w:rPr>
                <w:rFonts w:eastAsia="Calibri" w:cs="Arial"/>
              </w:rPr>
              <w:t>Κυριάκος Πιερρακάκης</w:t>
            </w:r>
          </w:p>
        </w:tc>
        <w:tc>
          <w:tcPr>
            <w:tcW w:w="4257" w:type="dxa"/>
          </w:tcPr>
          <w:p w14:paraId="0F621FFA" w14:textId="77777777" w:rsidR="00B4667F" w:rsidRPr="001F6B03" w:rsidRDefault="00B4667F" w:rsidP="002C4F17">
            <w:pPr>
              <w:spacing w:after="0"/>
              <w:jc w:val="center"/>
              <w:rPr>
                <w:rFonts w:eastAsia="Calibri" w:cs="Arial"/>
              </w:rPr>
            </w:pPr>
            <w:r w:rsidRPr="001F6B03">
              <w:rPr>
                <w:rFonts w:eastAsia="Calibri" w:cs="Arial"/>
              </w:rPr>
              <w:t>Αθανάσιος Πετραλιάς</w:t>
            </w:r>
          </w:p>
        </w:tc>
      </w:tr>
      <w:tr w:rsidR="00B4667F" w:rsidRPr="001F6B03" w14:paraId="0526704D" w14:textId="77777777" w:rsidTr="006926B7">
        <w:trPr>
          <w:jc w:val="center"/>
        </w:trPr>
        <w:tc>
          <w:tcPr>
            <w:tcW w:w="4265" w:type="dxa"/>
          </w:tcPr>
          <w:p w14:paraId="13B75714" w14:textId="77777777" w:rsidR="00B4667F" w:rsidRPr="001F6B03" w:rsidRDefault="00B4667F" w:rsidP="00DF5A59">
            <w:pPr>
              <w:rPr>
                <w:rFonts w:eastAsia="Calibri" w:cs="Arial"/>
              </w:rPr>
            </w:pPr>
          </w:p>
        </w:tc>
        <w:tc>
          <w:tcPr>
            <w:tcW w:w="4257" w:type="dxa"/>
          </w:tcPr>
          <w:p w14:paraId="7B9458FA" w14:textId="77777777" w:rsidR="00B4667F" w:rsidRPr="001F6B03" w:rsidRDefault="00B4667F" w:rsidP="00DF5A59">
            <w:pPr>
              <w:rPr>
                <w:rFonts w:eastAsia="Calibri" w:cs="Arial"/>
              </w:rPr>
            </w:pPr>
          </w:p>
        </w:tc>
      </w:tr>
      <w:tr w:rsidR="00B4667F" w:rsidRPr="001F6B03" w14:paraId="265796F9" w14:textId="77777777" w:rsidTr="006926B7">
        <w:trPr>
          <w:jc w:val="center"/>
        </w:trPr>
        <w:tc>
          <w:tcPr>
            <w:tcW w:w="4265" w:type="dxa"/>
          </w:tcPr>
          <w:p w14:paraId="2EAEE8A8" w14:textId="77777777" w:rsidR="00B4667F" w:rsidRPr="001F6B03" w:rsidRDefault="00B4667F" w:rsidP="00602720">
            <w:pPr>
              <w:spacing w:after="0"/>
              <w:jc w:val="center"/>
              <w:rPr>
                <w:rFonts w:eastAsia="Calibri" w:cs="Arial"/>
              </w:rPr>
            </w:pPr>
            <w:r w:rsidRPr="001F6B03">
              <w:rPr>
                <w:rFonts w:eastAsia="Calibri" w:cs="Arial"/>
              </w:rPr>
              <w:t>Υπουργός</w:t>
            </w:r>
          </w:p>
          <w:p w14:paraId="07202EBB" w14:textId="77777777" w:rsidR="00B4667F" w:rsidRPr="001F6B03" w:rsidRDefault="00B4667F" w:rsidP="00602720">
            <w:pPr>
              <w:spacing w:after="0"/>
              <w:jc w:val="center"/>
              <w:rPr>
                <w:rFonts w:eastAsia="Calibri" w:cs="Arial"/>
              </w:rPr>
            </w:pPr>
            <w:r w:rsidRPr="001F6B03">
              <w:rPr>
                <w:rFonts w:eastAsia="Calibri" w:cs="Arial"/>
              </w:rPr>
              <w:t>Εθνικής Οικονομίας και Οικονομικών</w:t>
            </w:r>
          </w:p>
        </w:tc>
        <w:tc>
          <w:tcPr>
            <w:tcW w:w="4257" w:type="dxa"/>
          </w:tcPr>
          <w:p w14:paraId="78AD6A29" w14:textId="77777777" w:rsidR="00B4667F" w:rsidRPr="001F6B03" w:rsidRDefault="00B4667F" w:rsidP="00602720">
            <w:pPr>
              <w:spacing w:after="0"/>
              <w:jc w:val="center"/>
              <w:rPr>
                <w:rFonts w:eastAsia="Calibri" w:cs="Arial"/>
              </w:rPr>
            </w:pPr>
            <w:r w:rsidRPr="001F6B03">
              <w:rPr>
                <w:rFonts w:eastAsia="Calibri" w:cs="Arial"/>
              </w:rPr>
              <w:t>Υφυπουργός</w:t>
            </w:r>
          </w:p>
          <w:p w14:paraId="2FCEA9DF" w14:textId="77777777" w:rsidR="00B4667F" w:rsidRPr="001F6B03" w:rsidRDefault="00B4667F" w:rsidP="00602720">
            <w:pPr>
              <w:spacing w:after="0"/>
              <w:jc w:val="center"/>
              <w:rPr>
                <w:rFonts w:eastAsia="Calibri" w:cs="Arial"/>
              </w:rPr>
            </w:pPr>
            <w:r w:rsidRPr="001F6B03">
              <w:rPr>
                <w:rFonts w:eastAsia="Calibri" w:cs="Arial"/>
              </w:rPr>
              <w:t>Εθνικής Οικονομίας και Οικονομικών</w:t>
            </w:r>
          </w:p>
        </w:tc>
      </w:tr>
    </w:tbl>
    <w:p w14:paraId="09478276" w14:textId="77777777" w:rsidR="00B4667F" w:rsidRDefault="00B4667F" w:rsidP="00B4667F"/>
    <w:p w14:paraId="17649E98" w14:textId="77777777" w:rsidR="00003291" w:rsidRDefault="00003291" w:rsidP="00B4667F"/>
    <w:p w14:paraId="44C26F67" w14:textId="77777777" w:rsidR="00003291" w:rsidRDefault="00003291" w:rsidP="00B4667F"/>
    <w:p w14:paraId="7238979C" w14:textId="77777777" w:rsidR="00003291" w:rsidRDefault="00003291" w:rsidP="00B4667F"/>
    <w:p w14:paraId="001D29AC" w14:textId="77777777" w:rsidR="00003291" w:rsidRDefault="00003291" w:rsidP="00B4667F"/>
    <w:p w14:paraId="79D45178" w14:textId="77777777" w:rsidR="00003291" w:rsidRDefault="00003291" w:rsidP="00B4667F"/>
    <w:p w14:paraId="61466C51" w14:textId="77777777" w:rsidR="00003291" w:rsidRDefault="00003291" w:rsidP="00B4667F"/>
    <w:p w14:paraId="65B65416" w14:textId="77777777" w:rsidR="00003291" w:rsidRDefault="00003291" w:rsidP="00B4667F"/>
    <w:p w14:paraId="1EC4C914" w14:textId="77777777" w:rsidR="00003291" w:rsidRDefault="00003291" w:rsidP="00B4667F"/>
    <w:p w14:paraId="7E62CC1E" w14:textId="77777777" w:rsidR="00003291" w:rsidRDefault="00003291" w:rsidP="00B4667F"/>
    <w:p w14:paraId="2F3DA285" w14:textId="77777777" w:rsidR="00003291" w:rsidRDefault="00003291" w:rsidP="00B4667F"/>
    <w:p w14:paraId="6A909976" w14:textId="77777777" w:rsidR="00003291" w:rsidRDefault="00003291" w:rsidP="00B4667F"/>
    <w:p w14:paraId="485C3934" w14:textId="77777777" w:rsidR="00003291" w:rsidRDefault="00003291" w:rsidP="00B4667F"/>
    <w:p w14:paraId="71172C1A" w14:textId="77777777" w:rsidR="00003291" w:rsidRDefault="00003291" w:rsidP="00B4667F"/>
    <w:p w14:paraId="2103E180" w14:textId="77777777" w:rsidR="006844B1" w:rsidRDefault="006844B1">
      <w:pPr>
        <w:spacing w:after="0" w:line="240" w:lineRule="auto"/>
        <w:jc w:val="left"/>
      </w:pPr>
      <w:r>
        <w:br w:type="page"/>
      </w:r>
    </w:p>
    <w:p w14:paraId="2CEEAF50" w14:textId="77777777" w:rsidR="007B4361" w:rsidRPr="003B78A1" w:rsidRDefault="007B4361" w:rsidP="003F05C7">
      <w:pPr>
        <w:pStyle w:val="aff"/>
      </w:pPr>
      <w:r w:rsidRPr="003B78A1">
        <w:t>ΠΕΡΙΕΧΟΜΕΝΑ</w:t>
      </w:r>
    </w:p>
    <w:p w14:paraId="68C1B7CF" w14:textId="6685CD69" w:rsidR="00090CFB" w:rsidRDefault="001F379D">
      <w:pPr>
        <w:pStyle w:val="13"/>
        <w:rPr>
          <w:rFonts w:asciiTheme="minorHAnsi" w:eastAsiaTheme="minorEastAsia" w:hAnsiTheme="minorHAnsi" w:cstheme="minorBidi"/>
          <w:b w:val="0"/>
          <w:color w:val="auto"/>
          <w:sz w:val="22"/>
          <w:szCs w:val="22"/>
        </w:rPr>
      </w:pPr>
      <w:r w:rsidRPr="000B2B1F">
        <w:rPr>
          <w:bCs/>
          <w:caps/>
        </w:rPr>
        <w:fldChar w:fldCharType="begin"/>
      </w:r>
      <w:r w:rsidRPr="000B2B1F">
        <w:rPr>
          <w:bCs/>
          <w:caps/>
        </w:rPr>
        <w:instrText xml:space="preserve"> TOC \o "1-5" \h \z \u </w:instrText>
      </w:r>
      <w:r w:rsidRPr="000B2B1F">
        <w:rPr>
          <w:bCs/>
          <w:caps/>
        </w:rPr>
        <w:fldChar w:fldCharType="separate"/>
      </w:r>
      <w:hyperlink w:anchor="_Toc242019533" w:history="1">
        <w:r w:rsidR="00090CFB" w:rsidRPr="00EF044B">
          <w:rPr>
            <w:rStyle w:val="-"/>
            <w14:scene3d>
              <w14:camera w14:prst="orthographicFront"/>
              <w14:lightRig w14:rig="threePt" w14:dir="t">
                <w14:rot w14:lat="0" w14:lon="0" w14:rev="0"/>
              </w14:lightRig>
            </w14:scene3d>
          </w:rPr>
          <w:t>ΚΕΦΑΛΑΙΟ 1</w:t>
        </w:r>
        <w:r w:rsidR="00090CFB">
          <w:rPr>
            <w:webHidden/>
          </w:rPr>
          <w:tab/>
        </w:r>
        <w:r w:rsidR="00090CFB">
          <w:rPr>
            <w:webHidden/>
          </w:rPr>
          <w:fldChar w:fldCharType="begin"/>
        </w:r>
        <w:r w:rsidR="00090CFB">
          <w:rPr>
            <w:webHidden/>
          </w:rPr>
          <w:instrText xml:space="preserve"> PAGEREF _Toc242019533 \h </w:instrText>
        </w:r>
        <w:r w:rsidR="00090CFB">
          <w:rPr>
            <w:webHidden/>
          </w:rPr>
        </w:r>
        <w:r w:rsidR="00090CFB">
          <w:rPr>
            <w:webHidden/>
          </w:rPr>
          <w:fldChar w:fldCharType="separate"/>
        </w:r>
        <w:r w:rsidR="007F6D9C">
          <w:rPr>
            <w:webHidden/>
          </w:rPr>
          <w:t>9</w:t>
        </w:r>
        <w:r w:rsidR="00090CFB">
          <w:rPr>
            <w:webHidden/>
          </w:rPr>
          <w:fldChar w:fldCharType="end"/>
        </w:r>
      </w:hyperlink>
    </w:p>
    <w:p w14:paraId="6AB55DC8" w14:textId="00358462" w:rsidR="00090CFB" w:rsidRDefault="00090CFB">
      <w:pPr>
        <w:pStyle w:val="22"/>
        <w:rPr>
          <w:rFonts w:asciiTheme="minorHAnsi" w:eastAsiaTheme="minorEastAsia" w:hAnsiTheme="minorHAnsi" w:cstheme="minorBidi"/>
          <w:b w:val="0"/>
          <w:bCs w:val="0"/>
          <w:noProof/>
          <w:sz w:val="22"/>
          <w:szCs w:val="22"/>
        </w:rPr>
      </w:pPr>
      <w:hyperlink w:anchor="_Toc242019534" w:history="1">
        <w:r w:rsidRPr="00EF044B">
          <w:rPr>
            <w:rStyle w:val="-"/>
            <w:noProof/>
          </w:rPr>
          <w:t>ΟΙΚΟΝΟΜΙΚΕΣ ΕΞΕΛΙΞΕΙΣ ΚΑΙ ΠΡΟΟΠΤΙΚΕΣ</w:t>
        </w:r>
        <w:r>
          <w:rPr>
            <w:noProof/>
            <w:webHidden/>
          </w:rPr>
          <w:tab/>
        </w:r>
        <w:r>
          <w:rPr>
            <w:noProof/>
            <w:webHidden/>
          </w:rPr>
          <w:fldChar w:fldCharType="begin"/>
        </w:r>
        <w:r>
          <w:rPr>
            <w:noProof/>
            <w:webHidden/>
          </w:rPr>
          <w:instrText xml:space="preserve"> PAGEREF _Toc242019534 \h </w:instrText>
        </w:r>
        <w:r>
          <w:rPr>
            <w:noProof/>
            <w:webHidden/>
          </w:rPr>
        </w:r>
        <w:r>
          <w:rPr>
            <w:noProof/>
            <w:webHidden/>
          </w:rPr>
          <w:fldChar w:fldCharType="separate"/>
        </w:r>
        <w:r w:rsidR="007F6D9C">
          <w:rPr>
            <w:noProof/>
            <w:webHidden/>
          </w:rPr>
          <w:t>9</w:t>
        </w:r>
        <w:r>
          <w:rPr>
            <w:noProof/>
            <w:webHidden/>
          </w:rPr>
          <w:fldChar w:fldCharType="end"/>
        </w:r>
      </w:hyperlink>
    </w:p>
    <w:p w14:paraId="4ADBBCD7" w14:textId="2C1F3819" w:rsidR="00090CFB" w:rsidRDefault="00090CFB">
      <w:pPr>
        <w:pStyle w:val="32"/>
        <w:rPr>
          <w:rFonts w:asciiTheme="minorHAnsi" w:eastAsiaTheme="minorEastAsia" w:hAnsiTheme="minorHAnsi" w:cstheme="minorBidi"/>
          <w:noProof/>
          <w:sz w:val="22"/>
          <w:szCs w:val="22"/>
        </w:rPr>
      </w:pPr>
      <w:hyperlink w:anchor="_Toc242019535" w:history="1">
        <w:r w:rsidRPr="00EF044B">
          <w:rPr>
            <w:rStyle w:val="-"/>
            <w:noProof/>
          </w:rPr>
          <w:t>1.1.</w:t>
        </w:r>
        <w:r>
          <w:rPr>
            <w:rFonts w:asciiTheme="minorHAnsi" w:eastAsiaTheme="minorEastAsia" w:hAnsiTheme="minorHAnsi" w:cstheme="minorBidi"/>
            <w:noProof/>
            <w:sz w:val="22"/>
            <w:szCs w:val="22"/>
          </w:rPr>
          <w:tab/>
        </w:r>
        <w:r w:rsidRPr="00EF044B">
          <w:rPr>
            <w:rStyle w:val="-"/>
            <w:noProof/>
          </w:rPr>
          <w:t>Μακροοικονομικές εξελίξεις το 2026</w:t>
        </w:r>
        <w:r>
          <w:rPr>
            <w:noProof/>
            <w:webHidden/>
          </w:rPr>
          <w:tab/>
        </w:r>
        <w:r>
          <w:rPr>
            <w:noProof/>
            <w:webHidden/>
          </w:rPr>
          <w:fldChar w:fldCharType="begin"/>
        </w:r>
        <w:r>
          <w:rPr>
            <w:noProof/>
            <w:webHidden/>
          </w:rPr>
          <w:instrText xml:space="preserve"> PAGEREF _Toc242019535 \h </w:instrText>
        </w:r>
        <w:r>
          <w:rPr>
            <w:noProof/>
            <w:webHidden/>
          </w:rPr>
        </w:r>
        <w:r>
          <w:rPr>
            <w:noProof/>
            <w:webHidden/>
          </w:rPr>
          <w:fldChar w:fldCharType="separate"/>
        </w:r>
        <w:r w:rsidR="007F6D9C">
          <w:rPr>
            <w:noProof/>
            <w:webHidden/>
          </w:rPr>
          <w:t>9</w:t>
        </w:r>
        <w:r>
          <w:rPr>
            <w:noProof/>
            <w:webHidden/>
          </w:rPr>
          <w:fldChar w:fldCharType="end"/>
        </w:r>
      </w:hyperlink>
    </w:p>
    <w:p w14:paraId="6AE84F42" w14:textId="5C890319" w:rsidR="00090CFB" w:rsidRDefault="00090CFB">
      <w:pPr>
        <w:pStyle w:val="32"/>
        <w:rPr>
          <w:rFonts w:asciiTheme="minorHAnsi" w:eastAsiaTheme="minorEastAsia" w:hAnsiTheme="minorHAnsi" w:cstheme="minorBidi"/>
          <w:noProof/>
          <w:sz w:val="22"/>
          <w:szCs w:val="22"/>
        </w:rPr>
      </w:pPr>
      <w:hyperlink w:anchor="_Toc242019536" w:history="1">
        <w:r w:rsidRPr="00EF044B">
          <w:rPr>
            <w:rStyle w:val="-"/>
            <w:noProof/>
          </w:rPr>
          <w:t>1.2.</w:t>
        </w:r>
        <w:r>
          <w:rPr>
            <w:rFonts w:asciiTheme="minorHAnsi" w:eastAsiaTheme="minorEastAsia" w:hAnsiTheme="minorHAnsi" w:cstheme="minorBidi"/>
            <w:noProof/>
            <w:sz w:val="22"/>
            <w:szCs w:val="22"/>
          </w:rPr>
          <w:tab/>
        </w:r>
        <w:r w:rsidRPr="00EF044B">
          <w:rPr>
            <w:rStyle w:val="-"/>
            <w:noProof/>
          </w:rPr>
          <w:t>Νομισματικές και πιστωτικές εξελίξεις στην Ελλάδα το 2026</w:t>
        </w:r>
        <w:r>
          <w:rPr>
            <w:noProof/>
            <w:webHidden/>
          </w:rPr>
          <w:tab/>
        </w:r>
        <w:r>
          <w:rPr>
            <w:noProof/>
            <w:webHidden/>
          </w:rPr>
          <w:fldChar w:fldCharType="begin"/>
        </w:r>
        <w:r>
          <w:rPr>
            <w:noProof/>
            <w:webHidden/>
          </w:rPr>
          <w:instrText xml:space="preserve"> PAGEREF _Toc242019536 \h </w:instrText>
        </w:r>
        <w:r>
          <w:rPr>
            <w:noProof/>
            <w:webHidden/>
          </w:rPr>
        </w:r>
        <w:r>
          <w:rPr>
            <w:noProof/>
            <w:webHidden/>
          </w:rPr>
          <w:fldChar w:fldCharType="separate"/>
        </w:r>
        <w:r w:rsidR="007F6D9C">
          <w:rPr>
            <w:noProof/>
            <w:webHidden/>
          </w:rPr>
          <w:t>18</w:t>
        </w:r>
        <w:r>
          <w:rPr>
            <w:noProof/>
            <w:webHidden/>
          </w:rPr>
          <w:fldChar w:fldCharType="end"/>
        </w:r>
      </w:hyperlink>
    </w:p>
    <w:p w14:paraId="6D3577EE" w14:textId="763AD83E" w:rsidR="00090CFB" w:rsidRDefault="00090CFB">
      <w:pPr>
        <w:pStyle w:val="32"/>
        <w:rPr>
          <w:rFonts w:asciiTheme="minorHAnsi" w:eastAsiaTheme="minorEastAsia" w:hAnsiTheme="minorHAnsi" w:cstheme="minorBidi"/>
          <w:noProof/>
          <w:sz w:val="22"/>
          <w:szCs w:val="22"/>
        </w:rPr>
      </w:pPr>
      <w:hyperlink w:anchor="_Toc242019537" w:history="1">
        <w:r w:rsidRPr="00EF044B">
          <w:rPr>
            <w:rStyle w:val="-"/>
            <w:noProof/>
          </w:rPr>
          <w:t>1.3.</w:t>
        </w:r>
        <w:r>
          <w:rPr>
            <w:rFonts w:asciiTheme="minorHAnsi" w:eastAsiaTheme="minorEastAsia" w:hAnsiTheme="minorHAnsi" w:cstheme="minorBidi"/>
            <w:noProof/>
            <w:sz w:val="22"/>
            <w:szCs w:val="22"/>
          </w:rPr>
          <w:tab/>
        </w:r>
        <w:r w:rsidRPr="00EF044B">
          <w:rPr>
            <w:rStyle w:val="-"/>
            <w:noProof/>
          </w:rPr>
          <w:t>Μακροοικονομικές προβλέψεις το 202</w:t>
        </w:r>
        <w:r w:rsidRPr="00EF044B">
          <w:rPr>
            <w:rStyle w:val="-"/>
            <w:noProof/>
            <w:lang w:val="en-US"/>
          </w:rPr>
          <w:t>7</w:t>
        </w:r>
        <w:r>
          <w:rPr>
            <w:noProof/>
            <w:webHidden/>
          </w:rPr>
          <w:tab/>
        </w:r>
        <w:r>
          <w:rPr>
            <w:noProof/>
            <w:webHidden/>
          </w:rPr>
          <w:fldChar w:fldCharType="begin"/>
        </w:r>
        <w:r>
          <w:rPr>
            <w:noProof/>
            <w:webHidden/>
          </w:rPr>
          <w:instrText xml:space="preserve"> PAGEREF _Toc242019537 \h </w:instrText>
        </w:r>
        <w:r>
          <w:rPr>
            <w:noProof/>
            <w:webHidden/>
          </w:rPr>
        </w:r>
        <w:r>
          <w:rPr>
            <w:noProof/>
            <w:webHidden/>
          </w:rPr>
          <w:fldChar w:fldCharType="separate"/>
        </w:r>
        <w:r w:rsidR="007F6D9C">
          <w:rPr>
            <w:noProof/>
            <w:webHidden/>
          </w:rPr>
          <w:t>20</w:t>
        </w:r>
        <w:r>
          <w:rPr>
            <w:noProof/>
            <w:webHidden/>
          </w:rPr>
          <w:fldChar w:fldCharType="end"/>
        </w:r>
      </w:hyperlink>
    </w:p>
    <w:p w14:paraId="3746E776" w14:textId="2EBB2D63" w:rsidR="00090CFB" w:rsidRDefault="00090CFB">
      <w:pPr>
        <w:pStyle w:val="13"/>
        <w:rPr>
          <w:rFonts w:asciiTheme="minorHAnsi" w:eastAsiaTheme="minorEastAsia" w:hAnsiTheme="minorHAnsi" w:cstheme="minorBidi"/>
          <w:b w:val="0"/>
          <w:color w:val="auto"/>
          <w:sz w:val="22"/>
          <w:szCs w:val="22"/>
        </w:rPr>
      </w:pPr>
      <w:hyperlink w:anchor="_Toc242019538" w:history="1">
        <w:r w:rsidRPr="00EF044B">
          <w:rPr>
            <w:rStyle w:val="-"/>
            <w14:scene3d>
              <w14:camera w14:prst="orthographicFront"/>
              <w14:lightRig w14:rig="threePt" w14:dir="t">
                <w14:rot w14:lat="0" w14:lon="0" w14:rev="0"/>
              </w14:lightRig>
            </w14:scene3d>
          </w:rPr>
          <w:t>ΚΕΦΑΛΑΙΟ 2</w:t>
        </w:r>
        <w:r>
          <w:rPr>
            <w:webHidden/>
          </w:rPr>
          <w:tab/>
        </w:r>
        <w:r>
          <w:rPr>
            <w:webHidden/>
          </w:rPr>
          <w:fldChar w:fldCharType="begin"/>
        </w:r>
        <w:r>
          <w:rPr>
            <w:webHidden/>
          </w:rPr>
          <w:instrText xml:space="preserve"> PAGEREF _Toc242019538 \h </w:instrText>
        </w:r>
        <w:r>
          <w:rPr>
            <w:webHidden/>
          </w:rPr>
        </w:r>
        <w:r>
          <w:rPr>
            <w:webHidden/>
          </w:rPr>
          <w:fldChar w:fldCharType="separate"/>
        </w:r>
        <w:r w:rsidR="007F6D9C">
          <w:rPr>
            <w:webHidden/>
          </w:rPr>
          <w:t>27</w:t>
        </w:r>
        <w:r>
          <w:rPr>
            <w:webHidden/>
          </w:rPr>
          <w:fldChar w:fldCharType="end"/>
        </w:r>
      </w:hyperlink>
    </w:p>
    <w:p w14:paraId="362A7967" w14:textId="03BFBFE2" w:rsidR="00090CFB" w:rsidRDefault="00090CFB">
      <w:pPr>
        <w:pStyle w:val="22"/>
        <w:rPr>
          <w:rFonts w:asciiTheme="minorHAnsi" w:eastAsiaTheme="minorEastAsia" w:hAnsiTheme="minorHAnsi" w:cstheme="minorBidi"/>
          <w:b w:val="0"/>
          <w:bCs w:val="0"/>
          <w:noProof/>
          <w:sz w:val="22"/>
          <w:szCs w:val="22"/>
        </w:rPr>
      </w:pPr>
      <w:hyperlink w:anchor="_Toc242019539" w:history="1">
        <w:r w:rsidRPr="00EF044B">
          <w:rPr>
            <w:rStyle w:val="-"/>
            <w:noProof/>
          </w:rPr>
          <w:t>ΠΡΟΫΠΟΛΟΓΙΣΜΟΣ ΓΕΝΙΚΗΣ ΚΥΒΕΡΝΗΣΗΣ</w:t>
        </w:r>
        <w:r>
          <w:rPr>
            <w:noProof/>
            <w:webHidden/>
          </w:rPr>
          <w:tab/>
        </w:r>
        <w:r>
          <w:rPr>
            <w:noProof/>
            <w:webHidden/>
          </w:rPr>
          <w:fldChar w:fldCharType="begin"/>
        </w:r>
        <w:r>
          <w:rPr>
            <w:noProof/>
            <w:webHidden/>
          </w:rPr>
          <w:instrText xml:space="preserve"> PAGEREF _Toc242019539 \h </w:instrText>
        </w:r>
        <w:r>
          <w:rPr>
            <w:noProof/>
            <w:webHidden/>
          </w:rPr>
        </w:r>
        <w:r>
          <w:rPr>
            <w:noProof/>
            <w:webHidden/>
          </w:rPr>
          <w:fldChar w:fldCharType="separate"/>
        </w:r>
        <w:r w:rsidR="007F6D9C">
          <w:rPr>
            <w:noProof/>
            <w:webHidden/>
          </w:rPr>
          <w:t>27</w:t>
        </w:r>
        <w:r>
          <w:rPr>
            <w:noProof/>
            <w:webHidden/>
          </w:rPr>
          <w:fldChar w:fldCharType="end"/>
        </w:r>
      </w:hyperlink>
    </w:p>
    <w:p w14:paraId="16802E9A" w14:textId="67C77C10" w:rsidR="00090CFB" w:rsidRDefault="00090CFB">
      <w:pPr>
        <w:pStyle w:val="32"/>
        <w:rPr>
          <w:rFonts w:asciiTheme="minorHAnsi" w:eastAsiaTheme="minorEastAsia" w:hAnsiTheme="minorHAnsi" w:cstheme="minorBidi"/>
          <w:noProof/>
          <w:sz w:val="22"/>
          <w:szCs w:val="22"/>
        </w:rPr>
      </w:pPr>
      <w:hyperlink w:anchor="_Toc242019540" w:history="1">
        <w:r w:rsidRPr="00EF044B">
          <w:rPr>
            <w:rStyle w:val="-"/>
            <w:noProof/>
          </w:rPr>
          <w:t>2.1.</w:t>
        </w:r>
        <w:r>
          <w:rPr>
            <w:rFonts w:asciiTheme="minorHAnsi" w:eastAsiaTheme="minorEastAsia" w:hAnsiTheme="minorHAnsi" w:cstheme="minorBidi"/>
            <w:noProof/>
            <w:sz w:val="22"/>
            <w:szCs w:val="22"/>
          </w:rPr>
          <w:tab/>
        </w:r>
        <w:r w:rsidRPr="00EF044B">
          <w:rPr>
            <w:rStyle w:val="-"/>
            <w:noProof/>
          </w:rPr>
          <w:t>Εκτιμήσεις 202</w:t>
        </w:r>
        <w:r w:rsidRPr="00EF044B">
          <w:rPr>
            <w:rStyle w:val="-"/>
            <w:noProof/>
            <w:lang w:val="en-US"/>
          </w:rPr>
          <w:t>6</w:t>
        </w:r>
        <w:r>
          <w:rPr>
            <w:noProof/>
            <w:webHidden/>
          </w:rPr>
          <w:tab/>
        </w:r>
        <w:r>
          <w:rPr>
            <w:noProof/>
            <w:webHidden/>
          </w:rPr>
          <w:fldChar w:fldCharType="begin"/>
        </w:r>
        <w:r>
          <w:rPr>
            <w:noProof/>
            <w:webHidden/>
          </w:rPr>
          <w:instrText xml:space="preserve"> PAGEREF _Toc242019540 \h </w:instrText>
        </w:r>
        <w:r>
          <w:rPr>
            <w:noProof/>
            <w:webHidden/>
          </w:rPr>
        </w:r>
        <w:r>
          <w:rPr>
            <w:noProof/>
            <w:webHidden/>
          </w:rPr>
          <w:fldChar w:fldCharType="separate"/>
        </w:r>
        <w:r w:rsidR="007F6D9C">
          <w:rPr>
            <w:noProof/>
            <w:webHidden/>
          </w:rPr>
          <w:t>27</w:t>
        </w:r>
        <w:r>
          <w:rPr>
            <w:noProof/>
            <w:webHidden/>
          </w:rPr>
          <w:fldChar w:fldCharType="end"/>
        </w:r>
      </w:hyperlink>
    </w:p>
    <w:p w14:paraId="4E8876AD" w14:textId="7E325DEA" w:rsidR="00090CFB" w:rsidRDefault="00090CFB">
      <w:pPr>
        <w:pStyle w:val="40"/>
        <w:rPr>
          <w:rFonts w:asciiTheme="minorHAnsi" w:eastAsiaTheme="minorEastAsia" w:hAnsiTheme="minorHAnsi" w:cstheme="minorBidi"/>
          <w:noProof/>
          <w:sz w:val="22"/>
          <w:szCs w:val="22"/>
        </w:rPr>
      </w:pPr>
      <w:hyperlink w:anchor="_Toc242019541" w:history="1">
        <w:r w:rsidRPr="00EF044B">
          <w:rPr>
            <w:rStyle w:val="-"/>
            <w:noProof/>
            <w14:scene3d>
              <w14:camera w14:prst="orthographicFront"/>
              <w14:lightRig w14:rig="threePt" w14:dir="t">
                <w14:rot w14:lat="0" w14:lon="0" w14:rev="0"/>
              </w14:lightRig>
            </w14:scene3d>
          </w:rPr>
          <w:t>2.1.1.</w:t>
        </w:r>
        <w:r>
          <w:rPr>
            <w:rFonts w:asciiTheme="minorHAnsi" w:eastAsiaTheme="minorEastAsia" w:hAnsiTheme="minorHAnsi" w:cstheme="minorBidi"/>
            <w:noProof/>
            <w:sz w:val="22"/>
            <w:szCs w:val="22"/>
          </w:rPr>
          <w:tab/>
        </w:r>
        <w:r w:rsidRPr="00EF044B">
          <w:rPr>
            <w:rStyle w:val="-"/>
            <w:noProof/>
          </w:rPr>
          <w:t>Κρατικός Προϋπολογισμός</w:t>
        </w:r>
        <w:r>
          <w:rPr>
            <w:noProof/>
            <w:webHidden/>
          </w:rPr>
          <w:tab/>
        </w:r>
        <w:r>
          <w:rPr>
            <w:noProof/>
            <w:webHidden/>
          </w:rPr>
          <w:fldChar w:fldCharType="begin"/>
        </w:r>
        <w:r>
          <w:rPr>
            <w:noProof/>
            <w:webHidden/>
          </w:rPr>
          <w:instrText xml:space="preserve"> PAGEREF _Toc242019541 \h </w:instrText>
        </w:r>
        <w:r>
          <w:rPr>
            <w:noProof/>
            <w:webHidden/>
          </w:rPr>
        </w:r>
        <w:r>
          <w:rPr>
            <w:noProof/>
            <w:webHidden/>
          </w:rPr>
          <w:fldChar w:fldCharType="separate"/>
        </w:r>
        <w:r w:rsidR="007F6D9C">
          <w:rPr>
            <w:noProof/>
            <w:webHidden/>
          </w:rPr>
          <w:t>30</w:t>
        </w:r>
        <w:r>
          <w:rPr>
            <w:noProof/>
            <w:webHidden/>
          </w:rPr>
          <w:fldChar w:fldCharType="end"/>
        </w:r>
      </w:hyperlink>
    </w:p>
    <w:p w14:paraId="643DB58B" w14:textId="46FA07B5" w:rsidR="00090CFB" w:rsidRDefault="00090CFB">
      <w:pPr>
        <w:pStyle w:val="50"/>
        <w:rPr>
          <w:rFonts w:asciiTheme="minorHAnsi" w:eastAsiaTheme="minorEastAsia" w:hAnsiTheme="minorHAnsi" w:cstheme="minorBidi"/>
          <w:noProof/>
          <w:sz w:val="22"/>
          <w:szCs w:val="22"/>
        </w:rPr>
      </w:pPr>
      <w:hyperlink w:anchor="_Toc242019542" w:history="1">
        <w:r w:rsidRPr="00EF044B">
          <w:rPr>
            <w:rStyle w:val="-"/>
            <w:bCs/>
            <w:noProof/>
          </w:rPr>
          <w:t xml:space="preserve">Έσοδα - </w:t>
        </w:r>
        <w:r w:rsidRPr="00EF044B">
          <w:rPr>
            <w:rStyle w:val="-"/>
            <w:noProof/>
          </w:rPr>
          <w:t>Ανάλυση σε δημοσιονομική βάση</w:t>
        </w:r>
        <w:r>
          <w:rPr>
            <w:noProof/>
            <w:webHidden/>
          </w:rPr>
          <w:tab/>
        </w:r>
        <w:r>
          <w:rPr>
            <w:noProof/>
            <w:webHidden/>
          </w:rPr>
          <w:fldChar w:fldCharType="begin"/>
        </w:r>
        <w:r>
          <w:rPr>
            <w:noProof/>
            <w:webHidden/>
          </w:rPr>
          <w:instrText xml:space="preserve"> PAGEREF _Toc242019542 \h </w:instrText>
        </w:r>
        <w:r>
          <w:rPr>
            <w:noProof/>
            <w:webHidden/>
          </w:rPr>
        </w:r>
        <w:r>
          <w:rPr>
            <w:noProof/>
            <w:webHidden/>
          </w:rPr>
          <w:fldChar w:fldCharType="separate"/>
        </w:r>
        <w:r w:rsidR="007F6D9C">
          <w:rPr>
            <w:noProof/>
            <w:webHidden/>
          </w:rPr>
          <w:t>30</w:t>
        </w:r>
        <w:r>
          <w:rPr>
            <w:noProof/>
            <w:webHidden/>
          </w:rPr>
          <w:fldChar w:fldCharType="end"/>
        </w:r>
      </w:hyperlink>
    </w:p>
    <w:p w14:paraId="2E6A8883" w14:textId="7133973C" w:rsidR="00090CFB" w:rsidRDefault="00090CFB">
      <w:pPr>
        <w:pStyle w:val="50"/>
        <w:rPr>
          <w:rFonts w:asciiTheme="minorHAnsi" w:eastAsiaTheme="minorEastAsia" w:hAnsiTheme="minorHAnsi" w:cstheme="minorBidi"/>
          <w:noProof/>
          <w:sz w:val="22"/>
          <w:szCs w:val="22"/>
        </w:rPr>
      </w:pPr>
      <w:hyperlink w:anchor="_Toc242019543" w:history="1">
        <w:r w:rsidRPr="00EF044B">
          <w:rPr>
            <w:rStyle w:val="-"/>
            <w:bCs/>
            <w:noProof/>
          </w:rPr>
          <w:t>Δαπάνες - Ανάλυση σε δημοσιονομική βάση</w:t>
        </w:r>
        <w:r>
          <w:rPr>
            <w:noProof/>
            <w:webHidden/>
          </w:rPr>
          <w:tab/>
        </w:r>
        <w:r>
          <w:rPr>
            <w:noProof/>
            <w:webHidden/>
          </w:rPr>
          <w:fldChar w:fldCharType="begin"/>
        </w:r>
        <w:r>
          <w:rPr>
            <w:noProof/>
            <w:webHidden/>
          </w:rPr>
          <w:instrText xml:space="preserve"> PAGEREF _Toc242019543 \h </w:instrText>
        </w:r>
        <w:r>
          <w:rPr>
            <w:noProof/>
            <w:webHidden/>
          </w:rPr>
        </w:r>
        <w:r>
          <w:rPr>
            <w:noProof/>
            <w:webHidden/>
          </w:rPr>
          <w:fldChar w:fldCharType="separate"/>
        </w:r>
        <w:r w:rsidR="007F6D9C">
          <w:rPr>
            <w:noProof/>
            <w:webHidden/>
          </w:rPr>
          <w:t>33</w:t>
        </w:r>
        <w:r>
          <w:rPr>
            <w:noProof/>
            <w:webHidden/>
          </w:rPr>
          <w:fldChar w:fldCharType="end"/>
        </w:r>
      </w:hyperlink>
    </w:p>
    <w:p w14:paraId="4803DC76" w14:textId="54538DF6" w:rsidR="00090CFB" w:rsidRDefault="00090CFB">
      <w:pPr>
        <w:pStyle w:val="40"/>
        <w:rPr>
          <w:rFonts w:asciiTheme="minorHAnsi" w:eastAsiaTheme="minorEastAsia" w:hAnsiTheme="minorHAnsi" w:cstheme="minorBidi"/>
          <w:noProof/>
          <w:sz w:val="22"/>
          <w:szCs w:val="22"/>
        </w:rPr>
      </w:pPr>
      <w:hyperlink w:anchor="_Toc242019544" w:history="1">
        <w:r w:rsidRPr="00EF044B">
          <w:rPr>
            <w:rStyle w:val="-"/>
            <w:noProof/>
            <w14:scene3d>
              <w14:camera w14:prst="orthographicFront"/>
              <w14:lightRig w14:rig="threePt" w14:dir="t">
                <w14:rot w14:lat="0" w14:lon="0" w14:rev="0"/>
              </w14:lightRig>
            </w14:scene3d>
          </w:rPr>
          <w:t>2.1.2.</w:t>
        </w:r>
        <w:r>
          <w:rPr>
            <w:rFonts w:asciiTheme="minorHAnsi" w:eastAsiaTheme="minorEastAsia" w:hAnsiTheme="minorHAnsi" w:cstheme="minorBidi"/>
            <w:noProof/>
            <w:sz w:val="22"/>
            <w:szCs w:val="22"/>
          </w:rPr>
          <w:tab/>
        </w:r>
        <w:r w:rsidRPr="00EF044B">
          <w:rPr>
            <w:rStyle w:val="-"/>
            <w:noProof/>
          </w:rPr>
          <w:t>Λοιποί υποτομείς της Γενικής Κυβέρνησης</w:t>
        </w:r>
        <w:r>
          <w:rPr>
            <w:noProof/>
            <w:webHidden/>
          </w:rPr>
          <w:tab/>
        </w:r>
        <w:r>
          <w:rPr>
            <w:noProof/>
            <w:webHidden/>
          </w:rPr>
          <w:fldChar w:fldCharType="begin"/>
        </w:r>
        <w:r>
          <w:rPr>
            <w:noProof/>
            <w:webHidden/>
          </w:rPr>
          <w:instrText xml:space="preserve"> PAGEREF _Toc242019544 \h </w:instrText>
        </w:r>
        <w:r>
          <w:rPr>
            <w:noProof/>
            <w:webHidden/>
          </w:rPr>
        </w:r>
        <w:r>
          <w:rPr>
            <w:noProof/>
            <w:webHidden/>
          </w:rPr>
          <w:fldChar w:fldCharType="separate"/>
        </w:r>
        <w:r w:rsidR="007F6D9C">
          <w:rPr>
            <w:noProof/>
            <w:webHidden/>
          </w:rPr>
          <w:t>36</w:t>
        </w:r>
        <w:r>
          <w:rPr>
            <w:noProof/>
            <w:webHidden/>
          </w:rPr>
          <w:fldChar w:fldCharType="end"/>
        </w:r>
      </w:hyperlink>
    </w:p>
    <w:p w14:paraId="572D70A9" w14:textId="75C18A42" w:rsidR="00090CFB" w:rsidRDefault="00090CFB">
      <w:pPr>
        <w:pStyle w:val="40"/>
        <w:rPr>
          <w:rFonts w:asciiTheme="minorHAnsi" w:eastAsiaTheme="minorEastAsia" w:hAnsiTheme="minorHAnsi" w:cstheme="minorBidi"/>
          <w:noProof/>
          <w:sz w:val="22"/>
          <w:szCs w:val="22"/>
        </w:rPr>
      </w:pPr>
      <w:hyperlink w:anchor="_Toc242019545" w:history="1">
        <w:r w:rsidRPr="00EF044B">
          <w:rPr>
            <w:rStyle w:val="-"/>
            <w:noProof/>
            <w14:scene3d>
              <w14:camera w14:prst="orthographicFront"/>
              <w14:lightRig w14:rig="threePt" w14:dir="t">
                <w14:rot w14:lat="0" w14:lon="0" w14:rev="0"/>
              </w14:lightRig>
            </w14:scene3d>
          </w:rPr>
          <w:t>2.1.3.</w:t>
        </w:r>
        <w:r>
          <w:rPr>
            <w:rFonts w:asciiTheme="minorHAnsi" w:eastAsiaTheme="minorEastAsia" w:hAnsiTheme="minorHAnsi" w:cstheme="minorBidi"/>
            <w:noProof/>
            <w:sz w:val="22"/>
            <w:szCs w:val="22"/>
          </w:rPr>
          <w:tab/>
        </w:r>
        <w:r w:rsidRPr="00EF044B">
          <w:rPr>
            <w:rStyle w:val="-"/>
            <w:noProof/>
          </w:rPr>
          <w:t>Ληξιπρόθεσμες υποχρεώσεις της Γενικής Κυβέρνησης προς τρίτους</w:t>
        </w:r>
        <w:r>
          <w:rPr>
            <w:noProof/>
            <w:webHidden/>
          </w:rPr>
          <w:tab/>
        </w:r>
        <w:r>
          <w:rPr>
            <w:noProof/>
            <w:webHidden/>
          </w:rPr>
          <w:fldChar w:fldCharType="begin"/>
        </w:r>
        <w:r>
          <w:rPr>
            <w:noProof/>
            <w:webHidden/>
          </w:rPr>
          <w:instrText xml:space="preserve"> PAGEREF _Toc242019545 \h </w:instrText>
        </w:r>
        <w:r>
          <w:rPr>
            <w:noProof/>
            <w:webHidden/>
          </w:rPr>
        </w:r>
        <w:r>
          <w:rPr>
            <w:noProof/>
            <w:webHidden/>
          </w:rPr>
          <w:fldChar w:fldCharType="separate"/>
        </w:r>
        <w:r w:rsidR="007F6D9C">
          <w:rPr>
            <w:noProof/>
            <w:webHidden/>
          </w:rPr>
          <w:t>37</w:t>
        </w:r>
        <w:r>
          <w:rPr>
            <w:noProof/>
            <w:webHidden/>
          </w:rPr>
          <w:fldChar w:fldCharType="end"/>
        </w:r>
      </w:hyperlink>
    </w:p>
    <w:p w14:paraId="0547DC6A" w14:textId="24E05239" w:rsidR="00090CFB" w:rsidRDefault="00090CFB">
      <w:pPr>
        <w:pStyle w:val="32"/>
        <w:rPr>
          <w:rFonts w:asciiTheme="minorHAnsi" w:eastAsiaTheme="minorEastAsia" w:hAnsiTheme="minorHAnsi" w:cstheme="minorBidi"/>
          <w:noProof/>
          <w:sz w:val="22"/>
          <w:szCs w:val="22"/>
        </w:rPr>
      </w:pPr>
      <w:hyperlink w:anchor="_Toc242019546" w:history="1">
        <w:r w:rsidRPr="00EF044B">
          <w:rPr>
            <w:rStyle w:val="-"/>
            <w:noProof/>
          </w:rPr>
          <w:t>2.2.</w:t>
        </w:r>
        <w:r>
          <w:rPr>
            <w:rFonts w:asciiTheme="minorHAnsi" w:eastAsiaTheme="minorEastAsia" w:hAnsiTheme="minorHAnsi" w:cstheme="minorBidi"/>
            <w:noProof/>
            <w:sz w:val="22"/>
            <w:szCs w:val="22"/>
          </w:rPr>
          <w:tab/>
        </w:r>
        <w:r w:rsidRPr="00EF044B">
          <w:rPr>
            <w:rStyle w:val="-"/>
            <w:noProof/>
          </w:rPr>
          <w:t>Προβλέψεις 202</w:t>
        </w:r>
        <w:r w:rsidRPr="00EF044B">
          <w:rPr>
            <w:rStyle w:val="-"/>
            <w:noProof/>
            <w:lang w:val="en-US"/>
          </w:rPr>
          <w:t>7</w:t>
        </w:r>
        <w:r>
          <w:rPr>
            <w:noProof/>
            <w:webHidden/>
          </w:rPr>
          <w:tab/>
        </w:r>
        <w:r>
          <w:rPr>
            <w:noProof/>
            <w:webHidden/>
          </w:rPr>
          <w:fldChar w:fldCharType="begin"/>
        </w:r>
        <w:r>
          <w:rPr>
            <w:noProof/>
            <w:webHidden/>
          </w:rPr>
          <w:instrText xml:space="preserve"> PAGEREF _Toc242019546 \h </w:instrText>
        </w:r>
        <w:r>
          <w:rPr>
            <w:noProof/>
            <w:webHidden/>
          </w:rPr>
        </w:r>
        <w:r>
          <w:rPr>
            <w:noProof/>
            <w:webHidden/>
          </w:rPr>
          <w:fldChar w:fldCharType="separate"/>
        </w:r>
        <w:r w:rsidR="007F6D9C">
          <w:rPr>
            <w:noProof/>
            <w:webHidden/>
          </w:rPr>
          <w:t>39</w:t>
        </w:r>
        <w:r>
          <w:rPr>
            <w:noProof/>
            <w:webHidden/>
          </w:rPr>
          <w:fldChar w:fldCharType="end"/>
        </w:r>
      </w:hyperlink>
    </w:p>
    <w:p w14:paraId="30DF79E4" w14:textId="5A6FC4CD" w:rsidR="00090CFB" w:rsidRDefault="00090CFB">
      <w:pPr>
        <w:pStyle w:val="40"/>
        <w:rPr>
          <w:rFonts w:asciiTheme="minorHAnsi" w:eastAsiaTheme="minorEastAsia" w:hAnsiTheme="minorHAnsi" w:cstheme="minorBidi"/>
          <w:noProof/>
          <w:sz w:val="22"/>
          <w:szCs w:val="22"/>
        </w:rPr>
      </w:pPr>
      <w:hyperlink w:anchor="_Toc242019547" w:history="1">
        <w:r w:rsidRPr="00EF044B">
          <w:rPr>
            <w:rStyle w:val="-"/>
            <w:noProof/>
            <w14:scene3d>
              <w14:camera w14:prst="orthographicFront"/>
              <w14:lightRig w14:rig="threePt" w14:dir="t">
                <w14:rot w14:lat="0" w14:lon="0" w14:rev="0"/>
              </w14:lightRig>
            </w14:scene3d>
          </w:rPr>
          <w:t>2.2.1.</w:t>
        </w:r>
        <w:r>
          <w:rPr>
            <w:rFonts w:asciiTheme="minorHAnsi" w:eastAsiaTheme="minorEastAsia" w:hAnsiTheme="minorHAnsi" w:cstheme="minorBidi"/>
            <w:noProof/>
            <w:sz w:val="22"/>
            <w:szCs w:val="22"/>
          </w:rPr>
          <w:tab/>
        </w:r>
        <w:r w:rsidRPr="00EF044B">
          <w:rPr>
            <w:rStyle w:val="-"/>
            <w:noProof/>
          </w:rPr>
          <w:t>Κρατικός Προϋπολογισμός</w:t>
        </w:r>
        <w:r>
          <w:rPr>
            <w:noProof/>
            <w:webHidden/>
          </w:rPr>
          <w:tab/>
        </w:r>
        <w:r>
          <w:rPr>
            <w:noProof/>
            <w:webHidden/>
          </w:rPr>
          <w:fldChar w:fldCharType="begin"/>
        </w:r>
        <w:r>
          <w:rPr>
            <w:noProof/>
            <w:webHidden/>
          </w:rPr>
          <w:instrText xml:space="preserve"> PAGEREF _Toc242019547 \h </w:instrText>
        </w:r>
        <w:r>
          <w:rPr>
            <w:noProof/>
            <w:webHidden/>
          </w:rPr>
        </w:r>
        <w:r>
          <w:rPr>
            <w:noProof/>
            <w:webHidden/>
          </w:rPr>
          <w:fldChar w:fldCharType="separate"/>
        </w:r>
        <w:r w:rsidR="007F6D9C">
          <w:rPr>
            <w:noProof/>
            <w:webHidden/>
          </w:rPr>
          <w:t>40</w:t>
        </w:r>
        <w:r>
          <w:rPr>
            <w:noProof/>
            <w:webHidden/>
          </w:rPr>
          <w:fldChar w:fldCharType="end"/>
        </w:r>
      </w:hyperlink>
    </w:p>
    <w:p w14:paraId="08540031" w14:textId="35AB7E9A" w:rsidR="00090CFB" w:rsidRDefault="00090CFB">
      <w:pPr>
        <w:pStyle w:val="50"/>
        <w:rPr>
          <w:rFonts w:asciiTheme="minorHAnsi" w:eastAsiaTheme="minorEastAsia" w:hAnsiTheme="minorHAnsi" w:cstheme="minorBidi"/>
          <w:noProof/>
          <w:sz w:val="22"/>
          <w:szCs w:val="22"/>
        </w:rPr>
      </w:pPr>
      <w:hyperlink w:anchor="_Toc242019548" w:history="1">
        <w:r w:rsidRPr="00EF044B">
          <w:rPr>
            <w:rStyle w:val="-"/>
            <w:bCs/>
            <w:noProof/>
          </w:rPr>
          <w:t>Έσοδα - Ανάλυση σε δημοσιονομική βάση</w:t>
        </w:r>
        <w:r>
          <w:rPr>
            <w:noProof/>
            <w:webHidden/>
          </w:rPr>
          <w:tab/>
        </w:r>
        <w:r>
          <w:rPr>
            <w:noProof/>
            <w:webHidden/>
          </w:rPr>
          <w:fldChar w:fldCharType="begin"/>
        </w:r>
        <w:r>
          <w:rPr>
            <w:noProof/>
            <w:webHidden/>
          </w:rPr>
          <w:instrText xml:space="preserve"> PAGEREF _Toc242019548 \h </w:instrText>
        </w:r>
        <w:r>
          <w:rPr>
            <w:noProof/>
            <w:webHidden/>
          </w:rPr>
        </w:r>
        <w:r>
          <w:rPr>
            <w:noProof/>
            <w:webHidden/>
          </w:rPr>
          <w:fldChar w:fldCharType="separate"/>
        </w:r>
        <w:r w:rsidR="007F6D9C">
          <w:rPr>
            <w:noProof/>
            <w:webHidden/>
          </w:rPr>
          <w:t>40</w:t>
        </w:r>
        <w:r>
          <w:rPr>
            <w:noProof/>
            <w:webHidden/>
          </w:rPr>
          <w:fldChar w:fldCharType="end"/>
        </w:r>
      </w:hyperlink>
    </w:p>
    <w:p w14:paraId="1997FB8B" w14:textId="0DD59A69" w:rsidR="00090CFB" w:rsidRDefault="00090CFB">
      <w:pPr>
        <w:pStyle w:val="50"/>
        <w:rPr>
          <w:rFonts w:asciiTheme="minorHAnsi" w:eastAsiaTheme="minorEastAsia" w:hAnsiTheme="minorHAnsi" w:cstheme="minorBidi"/>
          <w:noProof/>
          <w:sz w:val="22"/>
          <w:szCs w:val="22"/>
        </w:rPr>
      </w:pPr>
      <w:hyperlink w:anchor="_Toc242019549" w:history="1">
        <w:r w:rsidRPr="00EF044B">
          <w:rPr>
            <w:rStyle w:val="-"/>
            <w:bCs/>
            <w:noProof/>
          </w:rPr>
          <w:t>Δαπάνες - Ανάλυση σε δημοσιονομική βάση</w:t>
        </w:r>
        <w:r>
          <w:rPr>
            <w:noProof/>
            <w:webHidden/>
          </w:rPr>
          <w:tab/>
        </w:r>
        <w:r>
          <w:rPr>
            <w:noProof/>
            <w:webHidden/>
          </w:rPr>
          <w:fldChar w:fldCharType="begin"/>
        </w:r>
        <w:r>
          <w:rPr>
            <w:noProof/>
            <w:webHidden/>
          </w:rPr>
          <w:instrText xml:space="preserve"> PAGEREF _Toc242019549 \h </w:instrText>
        </w:r>
        <w:r>
          <w:rPr>
            <w:noProof/>
            <w:webHidden/>
          </w:rPr>
        </w:r>
        <w:r>
          <w:rPr>
            <w:noProof/>
            <w:webHidden/>
          </w:rPr>
          <w:fldChar w:fldCharType="separate"/>
        </w:r>
        <w:r w:rsidR="007F6D9C">
          <w:rPr>
            <w:noProof/>
            <w:webHidden/>
          </w:rPr>
          <w:t>42</w:t>
        </w:r>
        <w:r>
          <w:rPr>
            <w:noProof/>
            <w:webHidden/>
          </w:rPr>
          <w:fldChar w:fldCharType="end"/>
        </w:r>
      </w:hyperlink>
    </w:p>
    <w:p w14:paraId="7699CF9F" w14:textId="23C23245" w:rsidR="00090CFB" w:rsidRDefault="00090CFB">
      <w:pPr>
        <w:pStyle w:val="40"/>
        <w:rPr>
          <w:rFonts w:asciiTheme="minorHAnsi" w:eastAsiaTheme="minorEastAsia" w:hAnsiTheme="minorHAnsi" w:cstheme="minorBidi"/>
          <w:noProof/>
          <w:sz w:val="22"/>
          <w:szCs w:val="22"/>
        </w:rPr>
      </w:pPr>
      <w:hyperlink w:anchor="_Toc242019550" w:history="1">
        <w:r w:rsidRPr="00EF044B">
          <w:rPr>
            <w:rStyle w:val="-"/>
            <w:noProof/>
            <w14:scene3d>
              <w14:camera w14:prst="orthographicFront"/>
              <w14:lightRig w14:rig="threePt" w14:dir="t">
                <w14:rot w14:lat="0" w14:lon="0" w14:rev="0"/>
              </w14:lightRig>
            </w14:scene3d>
          </w:rPr>
          <w:t>2.2.2.</w:t>
        </w:r>
        <w:r>
          <w:rPr>
            <w:rFonts w:asciiTheme="minorHAnsi" w:eastAsiaTheme="minorEastAsia" w:hAnsiTheme="minorHAnsi" w:cstheme="minorBidi"/>
            <w:noProof/>
            <w:sz w:val="22"/>
            <w:szCs w:val="22"/>
          </w:rPr>
          <w:tab/>
        </w:r>
        <w:r w:rsidRPr="00EF044B">
          <w:rPr>
            <w:rStyle w:val="-"/>
            <w:noProof/>
          </w:rPr>
          <w:t>Λοιποί υποτομείς της Γενικής Κυβέρνησης</w:t>
        </w:r>
        <w:r>
          <w:rPr>
            <w:noProof/>
            <w:webHidden/>
          </w:rPr>
          <w:tab/>
        </w:r>
        <w:r>
          <w:rPr>
            <w:noProof/>
            <w:webHidden/>
          </w:rPr>
          <w:fldChar w:fldCharType="begin"/>
        </w:r>
        <w:r>
          <w:rPr>
            <w:noProof/>
            <w:webHidden/>
          </w:rPr>
          <w:instrText xml:space="preserve"> PAGEREF _Toc242019550 \h </w:instrText>
        </w:r>
        <w:r>
          <w:rPr>
            <w:noProof/>
            <w:webHidden/>
          </w:rPr>
        </w:r>
        <w:r>
          <w:rPr>
            <w:noProof/>
            <w:webHidden/>
          </w:rPr>
          <w:fldChar w:fldCharType="separate"/>
        </w:r>
        <w:r w:rsidR="007F6D9C">
          <w:rPr>
            <w:noProof/>
            <w:webHidden/>
          </w:rPr>
          <w:t>45</w:t>
        </w:r>
        <w:r>
          <w:rPr>
            <w:noProof/>
            <w:webHidden/>
          </w:rPr>
          <w:fldChar w:fldCharType="end"/>
        </w:r>
      </w:hyperlink>
    </w:p>
    <w:p w14:paraId="05BEF596" w14:textId="2198850E" w:rsidR="00090CFB" w:rsidRDefault="00090CFB">
      <w:pPr>
        <w:pStyle w:val="40"/>
        <w:rPr>
          <w:rFonts w:asciiTheme="minorHAnsi" w:eastAsiaTheme="minorEastAsia" w:hAnsiTheme="minorHAnsi" w:cstheme="minorBidi"/>
          <w:noProof/>
          <w:sz w:val="22"/>
          <w:szCs w:val="22"/>
        </w:rPr>
      </w:pPr>
      <w:hyperlink w:anchor="_Toc242019551" w:history="1">
        <w:r w:rsidRPr="00EF044B">
          <w:rPr>
            <w:rStyle w:val="-"/>
            <w:noProof/>
            <w14:scene3d>
              <w14:camera w14:prst="orthographicFront"/>
              <w14:lightRig w14:rig="threePt" w14:dir="t">
                <w14:rot w14:lat="0" w14:lon="0" w14:rev="0"/>
              </w14:lightRig>
            </w14:scene3d>
          </w:rPr>
          <w:t>2.2.3.</w:t>
        </w:r>
        <w:r>
          <w:rPr>
            <w:rFonts w:asciiTheme="minorHAnsi" w:eastAsiaTheme="minorEastAsia" w:hAnsiTheme="minorHAnsi" w:cstheme="minorBidi"/>
            <w:noProof/>
            <w:sz w:val="22"/>
            <w:szCs w:val="22"/>
          </w:rPr>
          <w:tab/>
        </w:r>
        <w:r w:rsidRPr="00EF044B">
          <w:rPr>
            <w:rStyle w:val="-"/>
            <w:noProof/>
          </w:rPr>
          <w:t>Επισκόπηση δαπανών και εσόδων</w:t>
        </w:r>
        <w:r>
          <w:rPr>
            <w:noProof/>
            <w:webHidden/>
          </w:rPr>
          <w:tab/>
        </w:r>
        <w:r>
          <w:rPr>
            <w:noProof/>
            <w:webHidden/>
          </w:rPr>
          <w:fldChar w:fldCharType="begin"/>
        </w:r>
        <w:r>
          <w:rPr>
            <w:noProof/>
            <w:webHidden/>
          </w:rPr>
          <w:instrText xml:space="preserve"> PAGEREF _Toc242019551 \h </w:instrText>
        </w:r>
        <w:r>
          <w:rPr>
            <w:noProof/>
            <w:webHidden/>
          </w:rPr>
        </w:r>
        <w:r>
          <w:rPr>
            <w:noProof/>
            <w:webHidden/>
          </w:rPr>
          <w:fldChar w:fldCharType="separate"/>
        </w:r>
        <w:r w:rsidR="007F6D9C">
          <w:rPr>
            <w:noProof/>
            <w:webHidden/>
          </w:rPr>
          <w:t>46</w:t>
        </w:r>
        <w:r>
          <w:rPr>
            <w:noProof/>
            <w:webHidden/>
          </w:rPr>
          <w:fldChar w:fldCharType="end"/>
        </w:r>
      </w:hyperlink>
    </w:p>
    <w:p w14:paraId="09E0217C" w14:textId="58A7A461" w:rsidR="00090CFB" w:rsidRDefault="00090CFB">
      <w:pPr>
        <w:pStyle w:val="40"/>
        <w:rPr>
          <w:rFonts w:asciiTheme="minorHAnsi" w:eastAsiaTheme="minorEastAsia" w:hAnsiTheme="minorHAnsi" w:cstheme="minorBidi"/>
          <w:noProof/>
          <w:sz w:val="22"/>
          <w:szCs w:val="22"/>
        </w:rPr>
      </w:pPr>
      <w:hyperlink w:anchor="_Toc242019552" w:history="1">
        <w:r w:rsidRPr="00EF044B">
          <w:rPr>
            <w:rStyle w:val="-"/>
            <w:noProof/>
            <w14:scene3d>
              <w14:camera w14:prst="orthographicFront"/>
              <w14:lightRig w14:rig="threePt" w14:dir="t">
                <w14:rot w14:lat="0" w14:lon="0" w14:rev="0"/>
              </w14:lightRig>
            </w14:scene3d>
          </w:rPr>
          <w:t>2.2.4.</w:t>
        </w:r>
        <w:r>
          <w:rPr>
            <w:rFonts w:asciiTheme="minorHAnsi" w:eastAsiaTheme="minorEastAsia" w:hAnsiTheme="minorHAnsi" w:cstheme="minorBidi"/>
            <w:noProof/>
            <w:sz w:val="22"/>
            <w:szCs w:val="22"/>
          </w:rPr>
          <w:tab/>
        </w:r>
        <w:r w:rsidRPr="00EF044B">
          <w:rPr>
            <w:rStyle w:val="-"/>
            <w:noProof/>
          </w:rPr>
          <w:t>Προϋπολογισμός επιδόσεων</w:t>
        </w:r>
        <w:r>
          <w:rPr>
            <w:noProof/>
            <w:webHidden/>
          </w:rPr>
          <w:tab/>
        </w:r>
        <w:r>
          <w:rPr>
            <w:noProof/>
            <w:webHidden/>
          </w:rPr>
          <w:fldChar w:fldCharType="begin"/>
        </w:r>
        <w:r>
          <w:rPr>
            <w:noProof/>
            <w:webHidden/>
          </w:rPr>
          <w:instrText xml:space="preserve"> PAGEREF _Toc242019552 \h </w:instrText>
        </w:r>
        <w:r>
          <w:rPr>
            <w:noProof/>
            <w:webHidden/>
          </w:rPr>
        </w:r>
        <w:r>
          <w:rPr>
            <w:noProof/>
            <w:webHidden/>
          </w:rPr>
          <w:fldChar w:fldCharType="separate"/>
        </w:r>
        <w:r w:rsidR="007F6D9C">
          <w:rPr>
            <w:noProof/>
            <w:webHidden/>
          </w:rPr>
          <w:t>46</w:t>
        </w:r>
        <w:r>
          <w:rPr>
            <w:noProof/>
            <w:webHidden/>
          </w:rPr>
          <w:fldChar w:fldCharType="end"/>
        </w:r>
      </w:hyperlink>
    </w:p>
    <w:p w14:paraId="7671490B" w14:textId="4171000A" w:rsidR="00090CFB" w:rsidRDefault="00090CFB">
      <w:pPr>
        <w:pStyle w:val="40"/>
        <w:rPr>
          <w:rFonts w:asciiTheme="minorHAnsi" w:eastAsiaTheme="minorEastAsia" w:hAnsiTheme="minorHAnsi" w:cstheme="minorBidi"/>
          <w:noProof/>
          <w:sz w:val="22"/>
          <w:szCs w:val="22"/>
        </w:rPr>
      </w:pPr>
      <w:hyperlink w:anchor="_Toc242019553" w:history="1">
        <w:r w:rsidRPr="00EF044B">
          <w:rPr>
            <w:rStyle w:val="-"/>
            <w:noProof/>
            <w14:scene3d>
              <w14:camera w14:prst="orthographicFront"/>
              <w14:lightRig w14:rig="threePt" w14:dir="t">
                <w14:rot w14:lat="0" w14:lon="0" w14:rev="0"/>
              </w14:lightRig>
            </w14:scene3d>
          </w:rPr>
          <w:t>2.2.5.</w:t>
        </w:r>
        <w:r>
          <w:rPr>
            <w:rFonts w:asciiTheme="minorHAnsi" w:eastAsiaTheme="minorEastAsia" w:hAnsiTheme="minorHAnsi" w:cstheme="minorBidi"/>
            <w:noProof/>
            <w:sz w:val="22"/>
            <w:szCs w:val="22"/>
          </w:rPr>
          <w:tab/>
        </w:r>
        <w:r w:rsidRPr="00EF044B">
          <w:rPr>
            <w:rStyle w:val="-"/>
            <w:noProof/>
          </w:rPr>
          <w:t>Λειτουργική ταξινόμηση του προϋπολογισμού</w:t>
        </w:r>
        <w:r>
          <w:rPr>
            <w:noProof/>
            <w:webHidden/>
          </w:rPr>
          <w:tab/>
        </w:r>
        <w:r>
          <w:rPr>
            <w:noProof/>
            <w:webHidden/>
          </w:rPr>
          <w:fldChar w:fldCharType="begin"/>
        </w:r>
        <w:r>
          <w:rPr>
            <w:noProof/>
            <w:webHidden/>
          </w:rPr>
          <w:instrText xml:space="preserve"> PAGEREF _Toc242019553 \h </w:instrText>
        </w:r>
        <w:r>
          <w:rPr>
            <w:noProof/>
            <w:webHidden/>
          </w:rPr>
        </w:r>
        <w:r>
          <w:rPr>
            <w:noProof/>
            <w:webHidden/>
          </w:rPr>
          <w:fldChar w:fldCharType="separate"/>
        </w:r>
        <w:r w:rsidR="007F6D9C">
          <w:rPr>
            <w:noProof/>
            <w:webHidden/>
          </w:rPr>
          <w:t>47</w:t>
        </w:r>
        <w:r>
          <w:rPr>
            <w:noProof/>
            <w:webHidden/>
          </w:rPr>
          <w:fldChar w:fldCharType="end"/>
        </w:r>
      </w:hyperlink>
    </w:p>
    <w:p w14:paraId="730C1145" w14:textId="5FDF81A5" w:rsidR="00090CFB" w:rsidRDefault="00090CFB">
      <w:pPr>
        <w:pStyle w:val="40"/>
        <w:rPr>
          <w:rFonts w:asciiTheme="minorHAnsi" w:eastAsiaTheme="minorEastAsia" w:hAnsiTheme="minorHAnsi" w:cstheme="minorBidi"/>
          <w:noProof/>
          <w:sz w:val="22"/>
          <w:szCs w:val="22"/>
        </w:rPr>
      </w:pPr>
      <w:hyperlink w:anchor="_Toc242019554" w:history="1">
        <w:r w:rsidRPr="00EF044B">
          <w:rPr>
            <w:rStyle w:val="-"/>
            <w:noProof/>
            <w14:scene3d>
              <w14:camera w14:prst="orthographicFront"/>
              <w14:lightRig w14:rig="threePt" w14:dir="t">
                <w14:rot w14:lat="0" w14:lon="0" w14:rev="0"/>
              </w14:lightRig>
            </w14:scene3d>
          </w:rPr>
          <w:t>2.2.6.</w:t>
        </w:r>
        <w:r>
          <w:rPr>
            <w:rFonts w:asciiTheme="minorHAnsi" w:eastAsiaTheme="minorEastAsia" w:hAnsiTheme="minorHAnsi" w:cstheme="minorBidi"/>
            <w:noProof/>
            <w:sz w:val="22"/>
            <w:szCs w:val="22"/>
          </w:rPr>
          <w:tab/>
        </w:r>
        <w:r w:rsidRPr="00EF044B">
          <w:rPr>
            <w:rStyle w:val="-"/>
            <w:noProof/>
          </w:rPr>
          <w:t>Ενσωμάτωση της περιβαλλοντικής διάστασης στον προϋπολογισμό - Green Budgeting</w:t>
        </w:r>
        <w:r>
          <w:rPr>
            <w:noProof/>
            <w:webHidden/>
          </w:rPr>
          <w:tab/>
        </w:r>
        <w:r>
          <w:rPr>
            <w:noProof/>
            <w:webHidden/>
          </w:rPr>
          <w:fldChar w:fldCharType="begin"/>
        </w:r>
        <w:r>
          <w:rPr>
            <w:noProof/>
            <w:webHidden/>
          </w:rPr>
          <w:instrText xml:space="preserve"> PAGEREF _Toc242019554 \h </w:instrText>
        </w:r>
        <w:r>
          <w:rPr>
            <w:noProof/>
            <w:webHidden/>
          </w:rPr>
        </w:r>
        <w:r>
          <w:rPr>
            <w:noProof/>
            <w:webHidden/>
          </w:rPr>
          <w:fldChar w:fldCharType="separate"/>
        </w:r>
        <w:r w:rsidR="007F6D9C">
          <w:rPr>
            <w:noProof/>
            <w:webHidden/>
          </w:rPr>
          <w:t>47</w:t>
        </w:r>
        <w:r>
          <w:rPr>
            <w:noProof/>
            <w:webHidden/>
          </w:rPr>
          <w:fldChar w:fldCharType="end"/>
        </w:r>
      </w:hyperlink>
    </w:p>
    <w:p w14:paraId="30FF8206" w14:textId="14706DEA" w:rsidR="00090CFB" w:rsidRDefault="00090CFB">
      <w:pPr>
        <w:pStyle w:val="32"/>
        <w:rPr>
          <w:rFonts w:asciiTheme="minorHAnsi" w:eastAsiaTheme="minorEastAsia" w:hAnsiTheme="minorHAnsi" w:cstheme="minorBidi"/>
          <w:noProof/>
          <w:sz w:val="22"/>
          <w:szCs w:val="22"/>
        </w:rPr>
      </w:pPr>
      <w:hyperlink w:anchor="_Toc242019555" w:history="1">
        <w:r w:rsidRPr="00EF044B">
          <w:rPr>
            <w:rStyle w:val="-"/>
            <w:noProof/>
          </w:rPr>
          <w:t>2.3.</w:t>
        </w:r>
        <w:r>
          <w:rPr>
            <w:rFonts w:asciiTheme="minorHAnsi" w:eastAsiaTheme="minorEastAsia" w:hAnsiTheme="minorHAnsi" w:cstheme="minorBidi"/>
            <w:noProof/>
            <w:sz w:val="22"/>
            <w:szCs w:val="22"/>
          </w:rPr>
          <w:tab/>
        </w:r>
        <w:r w:rsidRPr="00EF044B">
          <w:rPr>
            <w:rStyle w:val="-"/>
            <w:noProof/>
          </w:rPr>
          <w:t>Δημοσιονομικές παρεμβάσεις</w:t>
        </w:r>
        <w:r>
          <w:rPr>
            <w:noProof/>
            <w:webHidden/>
          </w:rPr>
          <w:tab/>
        </w:r>
        <w:r>
          <w:rPr>
            <w:noProof/>
            <w:webHidden/>
          </w:rPr>
          <w:fldChar w:fldCharType="begin"/>
        </w:r>
        <w:r>
          <w:rPr>
            <w:noProof/>
            <w:webHidden/>
          </w:rPr>
          <w:instrText xml:space="preserve"> PAGEREF _Toc242019555 \h </w:instrText>
        </w:r>
        <w:r>
          <w:rPr>
            <w:noProof/>
            <w:webHidden/>
          </w:rPr>
        </w:r>
        <w:r>
          <w:rPr>
            <w:noProof/>
            <w:webHidden/>
          </w:rPr>
          <w:fldChar w:fldCharType="separate"/>
        </w:r>
        <w:r w:rsidR="007F6D9C">
          <w:rPr>
            <w:noProof/>
            <w:webHidden/>
          </w:rPr>
          <w:t>47</w:t>
        </w:r>
        <w:r>
          <w:rPr>
            <w:noProof/>
            <w:webHidden/>
          </w:rPr>
          <w:fldChar w:fldCharType="end"/>
        </w:r>
      </w:hyperlink>
    </w:p>
    <w:p w14:paraId="19691D54" w14:textId="7632C2F8" w:rsidR="00090CFB" w:rsidRDefault="00090CFB">
      <w:pPr>
        <w:pStyle w:val="13"/>
        <w:rPr>
          <w:rFonts w:asciiTheme="minorHAnsi" w:eastAsiaTheme="minorEastAsia" w:hAnsiTheme="minorHAnsi" w:cstheme="minorBidi"/>
          <w:b w:val="0"/>
          <w:color w:val="auto"/>
          <w:sz w:val="22"/>
          <w:szCs w:val="22"/>
        </w:rPr>
      </w:pPr>
      <w:hyperlink w:anchor="_Toc242019568" w:history="1">
        <w:r w:rsidRPr="00EF044B">
          <w:rPr>
            <w:rStyle w:val="-"/>
            <w14:scene3d>
              <w14:camera w14:prst="orthographicFront"/>
              <w14:lightRig w14:rig="threePt" w14:dir="t">
                <w14:rot w14:lat="0" w14:lon="0" w14:rev="0"/>
              </w14:lightRig>
            </w14:scene3d>
          </w:rPr>
          <w:t>ΚΕΦΑΛΑΙΟ 3</w:t>
        </w:r>
        <w:r>
          <w:rPr>
            <w:webHidden/>
          </w:rPr>
          <w:tab/>
        </w:r>
        <w:r>
          <w:rPr>
            <w:webHidden/>
          </w:rPr>
          <w:fldChar w:fldCharType="begin"/>
        </w:r>
        <w:r>
          <w:rPr>
            <w:webHidden/>
          </w:rPr>
          <w:instrText xml:space="preserve"> PAGEREF _Toc242019568 \h </w:instrText>
        </w:r>
        <w:r>
          <w:rPr>
            <w:webHidden/>
          </w:rPr>
        </w:r>
        <w:r>
          <w:rPr>
            <w:webHidden/>
          </w:rPr>
          <w:fldChar w:fldCharType="separate"/>
        </w:r>
        <w:r w:rsidR="007F6D9C">
          <w:rPr>
            <w:webHidden/>
          </w:rPr>
          <w:t>57</w:t>
        </w:r>
        <w:r>
          <w:rPr>
            <w:webHidden/>
          </w:rPr>
          <w:fldChar w:fldCharType="end"/>
        </w:r>
      </w:hyperlink>
    </w:p>
    <w:p w14:paraId="7096D829" w14:textId="72995540" w:rsidR="00090CFB" w:rsidRDefault="00090CFB">
      <w:pPr>
        <w:pStyle w:val="22"/>
        <w:rPr>
          <w:rFonts w:asciiTheme="minorHAnsi" w:eastAsiaTheme="minorEastAsia" w:hAnsiTheme="minorHAnsi" w:cstheme="minorBidi"/>
          <w:b w:val="0"/>
          <w:bCs w:val="0"/>
          <w:noProof/>
          <w:sz w:val="22"/>
          <w:szCs w:val="22"/>
        </w:rPr>
      </w:pPr>
      <w:hyperlink w:anchor="_Toc242019569" w:history="1">
        <w:r w:rsidRPr="00EF044B">
          <w:rPr>
            <w:rStyle w:val="-"/>
            <w:noProof/>
          </w:rPr>
          <w:t>ΔΗΜΟΣΙΟ ΧΡΕΟΣ</w:t>
        </w:r>
        <w:r>
          <w:rPr>
            <w:noProof/>
            <w:webHidden/>
          </w:rPr>
          <w:tab/>
        </w:r>
        <w:r>
          <w:rPr>
            <w:noProof/>
            <w:webHidden/>
          </w:rPr>
          <w:fldChar w:fldCharType="begin"/>
        </w:r>
        <w:r>
          <w:rPr>
            <w:noProof/>
            <w:webHidden/>
          </w:rPr>
          <w:instrText xml:space="preserve"> PAGEREF _Toc242019569 \h </w:instrText>
        </w:r>
        <w:r>
          <w:rPr>
            <w:noProof/>
            <w:webHidden/>
          </w:rPr>
        </w:r>
        <w:r>
          <w:rPr>
            <w:noProof/>
            <w:webHidden/>
          </w:rPr>
          <w:fldChar w:fldCharType="separate"/>
        </w:r>
        <w:r w:rsidR="007F6D9C">
          <w:rPr>
            <w:noProof/>
            <w:webHidden/>
          </w:rPr>
          <w:t>57</w:t>
        </w:r>
        <w:r>
          <w:rPr>
            <w:noProof/>
            <w:webHidden/>
          </w:rPr>
          <w:fldChar w:fldCharType="end"/>
        </w:r>
      </w:hyperlink>
    </w:p>
    <w:p w14:paraId="65EF8305" w14:textId="662F6878" w:rsidR="00090CFB" w:rsidRDefault="00090CFB">
      <w:pPr>
        <w:pStyle w:val="32"/>
        <w:rPr>
          <w:rFonts w:asciiTheme="minorHAnsi" w:eastAsiaTheme="minorEastAsia" w:hAnsiTheme="minorHAnsi" w:cstheme="minorBidi"/>
          <w:noProof/>
          <w:sz w:val="22"/>
          <w:szCs w:val="22"/>
        </w:rPr>
      </w:pPr>
      <w:hyperlink w:anchor="_Toc242019570" w:history="1">
        <w:r w:rsidRPr="00EF044B">
          <w:rPr>
            <w:rStyle w:val="-"/>
            <w:noProof/>
          </w:rPr>
          <w:t>3.1.</w:t>
        </w:r>
        <w:r>
          <w:rPr>
            <w:rFonts w:asciiTheme="minorHAnsi" w:eastAsiaTheme="minorEastAsia" w:hAnsiTheme="minorHAnsi" w:cstheme="minorBidi"/>
            <w:noProof/>
            <w:sz w:val="22"/>
            <w:szCs w:val="22"/>
          </w:rPr>
          <w:tab/>
        </w:r>
        <w:r w:rsidRPr="00EF044B">
          <w:rPr>
            <w:rStyle w:val="-"/>
            <w:noProof/>
          </w:rPr>
          <w:t>Σύνθεση δημοσίου χρέους</w:t>
        </w:r>
        <w:r>
          <w:rPr>
            <w:noProof/>
            <w:webHidden/>
          </w:rPr>
          <w:tab/>
        </w:r>
        <w:r>
          <w:rPr>
            <w:noProof/>
            <w:webHidden/>
          </w:rPr>
          <w:fldChar w:fldCharType="begin"/>
        </w:r>
        <w:r>
          <w:rPr>
            <w:noProof/>
            <w:webHidden/>
          </w:rPr>
          <w:instrText xml:space="preserve"> PAGEREF _Toc242019570 \h </w:instrText>
        </w:r>
        <w:r>
          <w:rPr>
            <w:noProof/>
            <w:webHidden/>
          </w:rPr>
        </w:r>
        <w:r>
          <w:rPr>
            <w:noProof/>
            <w:webHidden/>
          </w:rPr>
          <w:fldChar w:fldCharType="separate"/>
        </w:r>
        <w:r w:rsidR="007F6D9C">
          <w:rPr>
            <w:noProof/>
            <w:webHidden/>
          </w:rPr>
          <w:t>58</w:t>
        </w:r>
        <w:r>
          <w:rPr>
            <w:noProof/>
            <w:webHidden/>
          </w:rPr>
          <w:fldChar w:fldCharType="end"/>
        </w:r>
      </w:hyperlink>
    </w:p>
    <w:p w14:paraId="308246D6" w14:textId="5E8A5EFE" w:rsidR="00090CFB" w:rsidRDefault="00090CFB">
      <w:pPr>
        <w:pStyle w:val="40"/>
        <w:rPr>
          <w:rFonts w:asciiTheme="minorHAnsi" w:eastAsiaTheme="minorEastAsia" w:hAnsiTheme="minorHAnsi" w:cstheme="minorBidi"/>
          <w:noProof/>
          <w:sz w:val="22"/>
          <w:szCs w:val="22"/>
        </w:rPr>
      </w:pPr>
      <w:hyperlink w:anchor="_Toc242019571" w:history="1">
        <w:r w:rsidRPr="00EF044B">
          <w:rPr>
            <w:rStyle w:val="-"/>
            <w:noProof/>
            <w14:scene3d>
              <w14:camera w14:prst="orthographicFront"/>
              <w14:lightRig w14:rig="threePt" w14:dir="t">
                <w14:rot w14:lat="0" w14:lon="0" w14:rev="0"/>
              </w14:lightRig>
            </w14:scene3d>
          </w:rPr>
          <w:t>3.1.1.</w:t>
        </w:r>
        <w:r>
          <w:rPr>
            <w:rFonts w:asciiTheme="minorHAnsi" w:eastAsiaTheme="minorEastAsia" w:hAnsiTheme="minorHAnsi" w:cstheme="minorBidi"/>
            <w:noProof/>
            <w:sz w:val="22"/>
            <w:szCs w:val="22"/>
          </w:rPr>
          <w:tab/>
        </w:r>
        <w:r w:rsidRPr="00EF044B">
          <w:rPr>
            <w:rStyle w:val="-"/>
            <w:noProof/>
          </w:rPr>
          <w:t>Το χρέος της Κεντρικής Διοίκησης και της Γενικής Κυβέρνησης</w:t>
        </w:r>
        <w:r>
          <w:rPr>
            <w:noProof/>
            <w:webHidden/>
          </w:rPr>
          <w:tab/>
        </w:r>
        <w:r>
          <w:rPr>
            <w:noProof/>
            <w:webHidden/>
          </w:rPr>
          <w:fldChar w:fldCharType="begin"/>
        </w:r>
        <w:r>
          <w:rPr>
            <w:noProof/>
            <w:webHidden/>
          </w:rPr>
          <w:instrText xml:space="preserve"> PAGEREF _Toc242019571 \h </w:instrText>
        </w:r>
        <w:r>
          <w:rPr>
            <w:noProof/>
            <w:webHidden/>
          </w:rPr>
        </w:r>
        <w:r>
          <w:rPr>
            <w:noProof/>
            <w:webHidden/>
          </w:rPr>
          <w:fldChar w:fldCharType="separate"/>
        </w:r>
        <w:r w:rsidR="007F6D9C">
          <w:rPr>
            <w:noProof/>
            <w:webHidden/>
          </w:rPr>
          <w:t>58</w:t>
        </w:r>
        <w:r>
          <w:rPr>
            <w:noProof/>
            <w:webHidden/>
          </w:rPr>
          <w:fldChar w:fldCharType="end"/>
        </w:r>
      </w:hyperlink>
    </w:p>
    <w:p w14:paraId="10E4486D" w14:textId="0FB7B5D0" w:rsidR="00090CFB" w:rsidRDefault="00090CFB">
      <w:pPr>
        <w:pStyle w:val="40"/>
        <w:rPr>
          <w:rFonts w:asciiTheme="minorHAnsi" w:eastAsiaTheme="minorEastAsia" w:hAnsiTheme="minorHAnsi" w:cstheme="minorBidi"/>
          <w:noProof/>
          <w:sz w:val="22"/>
          <w:szCs w:val="22"/>
        </w:rPr>
      </w:pPr>
      <w:hyperlink w:anchor="_Toc242019572" w:history="1">
        <w:r w:rsidRPr="00EF044B">
          <w:rPr>
            <w:rStyle w:val="-"/>
            <w:noProof/>
            <w14:scene3d>
              <w14:camera w14:prst="orthographicFront"/>
              <w14:lightRig w14:rig="threePt" w14:dir="t">
                <w14:rot w14:lat="0" w14:lon="0" w14:rev="0"/>
              </w14:lightRig>
            </w14:scene3d>
          </w:rPr>
          <w:t>3.1.2.</w:t>
        </w:r>
        <w:r>
          <w:rPr>
            <w:rFonts w:asciiTheme="minorHAnsi" w:eastAsiaTheme="minorEastAsia" w:hAnsiTheme="minorHAnsi" w:cstheme="minorBidi"/>
            <w:noProof/>
            <w:sz w:val="22"/>
            <w:szCs w:val="22"/>
          </w:rPr>
          <w:tab/>
        </w:r>
        <w:r w:rsidRPr="00EF044B">
          <w:rPr>
            <w:rStyle w:val="-"/>
            <w:noProof/>
          </w:rPr>
          <w:t>Δομή και χαρακτηριστικά του χρέους της Κεντρικής Διοίκησης</w:t>
        </w:r>
        <w:r>
          <w:rPr>
            <w:noProof/>
            <w:webHidden/>
          </w:rPr>
          <w:tab/>
        </w:r>
        <w:r>
          <w:rPr>
            <w:noProof/>
            <w:webHidden/>
          </w:rPr>
          <w:fldChar w:fldCharType="begin"/>
        </w:r>
        <w:r>
          <w:rPr>
            <w:noProof/>
            <w:webHidden/>
          </w:rPr>
          <w:instrText xml:space="preserve"> PAGEREF _Toc242019572 \h </w:instrText>
        </w:r>
        <w:r>
          <w:rPr>
            <w:noProof/>
            <w:webHidden/>
          </w:rPr>
        </w:r>
        <w:r>
          <w:rPr>
            <w:noProof/>
            <w:webHidden/>
          </w:rPr>
          <w:fldChar w:fldCharType="separate"/>
        </w:r>
        <w:r w:rsidR="007F6D9C">
          <w:rPr>
            <w:noProof/>
            <w:webHidden/>
          </w:rPr>
          <w:t>59</w:t>
        </w:r>
        <w:r>
          <w:rPr>
            <w:noProof/>
            <w:webHidden/>
          </w:rPr>
          <w:fldChar w:fldCharType="end"/>
        </w:r>
      </w:hyperlink>
    </w:p>
    <w:p w14:paraId="20BB386B" w14:textId="01E4DB11" w:rsidR="00090CFB" w:rsidRDefault="00090CFB">
      <w:pPr>
        <w:pStyle w:val="32"/>
        <w:rPr>
          <w:rFonts w:asciiTheme="minorHAnsi" w:eastAsiaTheme="minorEastAsia" w:hAnsiTheme="minorHAnsi" w:cstheme="minorBidi"/>
          <w:noProof/>
          <w:sz w:val="22"/>
          <w:szCs w:val="22"/>
        </w:rPr>
      </w:pPr>
      <w:hyperlink w:anchor="_Toc242019573" w:history="1">
        <w:r w:rsidRPr="00EF044B">
          <w:rPr>
            <w:rStyle w:val="-"/>
            <w:noProof/>
          </w:rPr>
          <w:t>3.2.</w:t>
        </w:r>
        <w:r>
          <w:rPr>
            <w:rFonts w:asciiTheme="minorHAnsi" w:eastAsiaTheme="minorEastAsia" w:hAnsiTheme="minorHAnsi" w:cstheme="minorBidi"/>
            <w:noProof/>
            <w:sz w:val="22"/>
            <w:szCs w:val="22"/>
          </w:rPr>
          <w:tab/>
        </w:r>
        <w:r w:rsidRPr="00EF044B">
          <w:rPr>
            <w:rStyle w:val="-"/>
            <w:noProof/>
          </w:rPr>
          <w:t>Δαπάνες εξυπηρέτησης χρέους</w:t>
        </w:r>
        <w:r>
          <w:rPr>
            <w:noProof/>
            <w:webHidden/>
          </w:rPr>
          <w:tab/>
        </w:r>
        <w:r>
          <w:rPr>
            <w:noProof/>
            <w:webHidden/>
          </w:rPr>
          <w:fldChar w:fldCharType="begin"/>
        </w:r>
        <w:r>
          <w:rPr>
            <w:noProof/>
            <w:webHidden/>
          </w:rPr>
          <w:instrText xml:space="preserve"> PAGEREF _Toc242019573 \h </w:instrText>
        </w:r>
        <w:r>
          <w:rPr>
            <w:noProof/>
            <w:webHidden/>
          </w:rPr>
        </w:r>
        <w:r>
          <w:rPr>
            <w:noProof/>
            <w:webHidden/>
          </w:rPr>
          <w:fldChar w:fldCharType="separate"/>
        </w:r>
        <w:r w:rsidR="007F6D9C">
          <w:rPr>
            <w:noProof/>
            <w:webHidden/>
          </w:rPr>
          <w:t>59</w:t>
        </w:r>
        <w:r>
          <w:rPr>
            <w:noProof/>
            <w:webHidden/>
          </w:rPr>
          <w:fldChar w:fldCharType="end"/>
        </w:r>
      </w:hyperlink>
    </w:p>
    <w:p w14:paraId="49702AE6" w14:textId="079A0EAD" w:rsidR="00090CFB" w:rsidRDefault="00090CFB">
      <w:pPr>
        <w:pStyle w:val="32"/>
        <w:rPr>
          <w:rFonts w:asciiTheme="minorHAnsi" w:eastAsiaTheme="minorEastAsia" w:hAnsiTheme="minorHAnsi" w:cstheme="minorBidi"/>
          <w:noProof/>
          <w:sz w:val="22"/>
          <w:szCs w:val="22"/>
        </w:rPr>
      </w:pPr>
      <w:hyperlink w:anchor="_Toc242019574" w:history="1">
        <w:r w:rsidRPr="00EF044B">
          <w:rPr>
            <w:rStyle w:val="-"/>
            <w:noProof/>
          </w:rPr>
          <w:t>3.3.</w:t>
        </w:r>
        <w:r>
          <w:rPr>
            <w:rFonts w:asciiTheme="minorHAnsi" w:eastAsiaTheme="minorEastAsia" w:hAnsiTheme="minorHAnsi" w:cstheme="minorBidi"/>
            <w:noProof/>
            <w:sz w:val="22"/>
            <w:szCs w:val="22"/>
          </w:rPr>
          <w:tab/>
        </w:r>
        <w:r w:rsidRPr="00EF044B">
          <w:rPr>
            <w:rStyle w:val="-"/>
            <w:noProof/>
          </w:rPr>
          <w:t>Οι αγορές τίτλων του Ελληνικού Δημοσίου</w:t>
        </w:r>
        <w:r>
          <w:rPr>
            <w:noProof/>
            <w:webHidden/>
          </w:rPr>
          <w:tab/>
        </w:r>
        <w:r>
          <w:rPr>
            <w:noProof/>
            <w:webHidden/>
          </w:rPr>
          <w:fldChar w:fldCharType="begin"/>
        </w:r>
        <w:r>
          <w:rPr>
            <w:noProof/>
            <w:webHidden/>
          </w:rPr>
          <w:instrText xml:space="preserve"> PAGEREF _Toc242019574 \h </w:instrText>
        </w:r>
        <w:r>
          <w:rPr>
            <w:noProof/>
            <w:webHidden/>
          </w:rPr>
        </w:r>
        <w:r>
          <w:rPr>
            <w:noProof/>
            <w:webHidden/>
          </w:rPr>
          <w:fldChar w:fldCharType="separate"/>
        </w:r>
        <w:r w:rsidR="007F6D9C">
          <w:rPr>
            <w:noProof/>
            <w:webHidden/>
          </w:rPr>
          <w:t>60</w:t>
        </w:r>
        <w:r>
          <w:rPr>
            <w:noProof/>
            <w:webHidden/>
          </w:rPr>
          <w:fldChar w:fldCharType="end"/>
        </w:r>
      </w:hyperlink>
    </w:p>
    <w:p w14:paraId="6F2AA513" w14:textId="5CB8E277" w:rsidR="00090CFB" w:rsidRDefault="00090CFB">
      <w:pPr>
        <w:pStyle w:val="40"/>
        <w:rPr>
          <w:rFonts w:asciiTheme="minorHAnsi" w:eastAsiaTheme="minorEastAsia" w:hAnsiTheme="minorHAnsi" w:cstheme="minorBidi"/>
          <w:noProof/>
          <w:sz w:val="22"/>
          <w:szCs w:val="22"/>
        </w:rPr>
      </w:pPr>
      <w:hyperlink w:anchor="_Toc242019575" w:history="1">
        <w:r w:rsidRPr="00EF044B">
          <w:rPr>
            <w:rStyle w:val="-"/>
            <w:noProof/>
            <w14:scene3d>
              <w14:camera w14:prst="orthographicFront"/>
              <w14:lightRig w14:rig="threePt" w14:dir="t">
                <w14:rot w14:lat="0" w14:lon="0" w14:rev="0"/>
              </w14:lightRig>
            </w14:scene3d>
          </w:rPr>
          <w:t>3.3.1.</w:t>
        </w:r>
        <w:r>
          <w:rPr>
            <w:rFonts w:asciiTheme="minorHAnsi" w:eastAsiaTheme="minorEastAsia" w:hAnsiTheme="minorHAnsi" w:cstheme="minorBidi"/>
            <w:noProof/>
            <w:sz w:val="22"/>
            <w:szCs w:val="22"/>
          </w:rPr>
          <w:tab/>
        </w:r>
        <w:r w:rsidRPr="00EF044B">
          <w:rPr>
            <w:rStyle w:val="-"/>
            <w:noProof/>
          </w:rPr>
          <w:t>Πρωτογενής αγορά τίτλων</w:t>
        </w:r>
        <w:r>
          <w:rPr>
            <w:noProof/>
            <w:webHidden/>
          </w:rPr>
          <w:tab/>
        </w:r>
        <w:r>
          <w:rPr>
            <w:noProof/>
            <w:webHidden/>
          </w:rPr>
          <w:fldChar w:fldCharType="begin"/>
        </w:r>
        <w:r>
          <w:rPr>
            <w:noProof/>
            <w:webHidden/>
          </w:rPr>
          <w:instrText xml:space="preserve"> PAGEREF _Toc242019575 \h </w:instrText>
        </w:r>
        <w:r>
          <w:rPr>
            <w:noProof/>
            <w:webHidden/>
          </w:rPr>
        </w:r>
        <w:r>
          <w:rPr>
            <w:noProof/>
            <w:webHidden/>
          </w:rPr>
          <w:fldChar w:fldCharType="separate"/>
        </w:r>
        <w:r w:rsidR="007F6D9C">
          <w:rPr>
            <w:noProof/>
            <w:webHidden/>
          </w:rPr>
          <w:t>61</w:t>
        </w:r>
        <w:r>
          <w:rPr>
            <w:noProof/>
            <w:webHidden/>
          </w:rPr>
          <w:fldChar w:fldCharType="end"/>
        </w:r>
      </w:hyperlink>
    </w:p>
    <w:p w14:paraId="520BBCD7" w14:textId="70AAC13F" w:rsidR="00090CFB" w:rsidRDefault="00090CFB">
      <w:pPr>
        <w:pStyle w:val="40"/>
        <w:rPr>
          <w:rFonts w:asciiTheme="minorHAnsi" w:eastAsiaTheme="minorEastAsia" w:hAnsiTheme="minorHAnsi" w:cstheme="minorBidi"/>
          <w:noProof/>
          <w:sz w:val="22"/>
          <w:szCs w:val="22"/>
        </w:rPr>
      </w:pPr>
      <w:hyperlink w:anchor="_Toc242019576" w:history="1">
        <w:r w:rsidRPr="00EF044B">
          <w:rPr>
            <w:rStyle w:val="-"/>
            <w:noProof/>
            <w14:scene3d>
              <w14:camera w14:prst="orthographicFront"/>
              <w14:lightRig w14:rig="threePt" w14:dir="t">
                <w14:rot w14:lat="0" w14:lon="0" w14:rev="0"/>
              </w14:lightRig>
            </w14:scene3d>
          </w:rPr>
          <w:t>3.3.2.</w:t>
        </w:r>
        <w:r>
          <w:rPr>
            <w:rFonts w:asciiTheme="minorHAnsi" w:eastAsiaTheme="minorEastAsia" w:hAnsiTheme="minorHAnsi" w:cstheme="minorBidi"/>
            <w:noProof/>
            <w:sz w:val="22"/>
            <w:szCs w:val="22"/>
          </w:rPr>
          <w:tab/>
        </w:r>
        <w:r w:rsidRPr="00EF044B">
          <w:rPr>
            <w:rStyle w:val="-"/>
            <w:noProof/>
          </w:rPr>
          <w:t>Δευτερογενής αγορά τίτλων</w:t>
        </w:r>
        <w:r>
          <w:rPr>
            <w:noProof/>
            <w:webHidden/>
          </w:rPr>
          <w:tab/>
        </w:r>
        <w:r>
          <w:rPr>
            <w:noProof/>
            <w:webHidden/>
          </w:rPr>
          <w:fldChar w:fldCharType="begin"/>
        </w:r>
        <w:r>
          <w:rPr>
            <w:noProof/>
            <w:webHidden/>
          </w:rPr>
          <w:instrText xml:space="preserve"> PAGEREF _Toc242019576 \h </w:instrText>
        </w:r>
        <w:r>
          <w:rPr>
            <w:noProof/>
            <w:webHidden/>
          </w:rPr>
        </w:r>
        <w:r>
          <w:rPr>
            <w:noProof/>
            <w:webHidden/>
          </w:rPr>
          <w:fldChar w:fldCharType="separate"/>
        </w:r>
        <w:r w:rsidR="007F6D9C">
          <w:rPr>
            <w:noProof/>
            <w:webHidden/>
          </w:rPr>
          <w:t>61</w:t>
        </w:r>
        <w:r>
          <w:rPr>
            <w:noProof/>
            <w:webHidden/>
          </w:rPr>
          <w:fldChar w:fldCharType="end"/>
        </w:r>
      </w:hyperlink>
    </w:p>
    <w:p w14:paraId="27587686" w14:textId="4B5E07C2" w:rsidR="00090CFB" w:rsidRDefault="00090CFB">
      <w:pPr>
        <w:pStyle w:val="32"/>
        <w:rPr>
          <w:rFonts w:asciiTheme="minorHAnsi" w:eastAsiaTheme="minorEastAsia" w:hAnsiTheme="minorHAnsi" w:cstheme="minorBidi"/>
          <w:noProof/>
          <w:sz w:val="22"/>
          <w:szCs w:val="22"/>
        </w:rPr>
      </w:pPr>
      <w:hyperlink w:anchor="_Toc242019577" w:history="1">
        <w:r w:rsidRPr="00EF044B">
          <w:rPr>
            <w:rStyle w:val="-"/>
            <w:noProof/>
          </w:rPr>
          <w:t>3.4.</w:t>
        </w:r>
        <w:r>
          <w:rPr>
            <w:rFonts w:asciiTheme="minorHAnsi" w:eastAsiaTheme="minorEastAsia" w:hAnsiTheme="minorHAnsi" w:cstheme="minorBidi"/>
            <w:noProof/>
            <w:sz w:val="22"/>
            <w:szCs w:val="22"/>
          </w:rPr>
          <w:tab/>
        </w:r>
        <w:r w:rsidRPr="00EF044B">
          <w:rPr>
            <w:rStyle w:val="-"/>
            <w:noProof/>
          </w:rPr>
          <w:t>Βασικές κατευθύνσεις δανεισμού και διαχειριστικών στόχων για το 2027</w:t>
        </w:r>
        <w:r>
          <w:rPr>
            <w:noProof/>
            <w:webHidden/>
          </w:rPr>
          <w:tab/>
        </w:r>
        <w:r>
          <w:rPr>
            <w:noProof/>
            <w:webHidden/>
          </w:rPr>
          <w:fldChar w:fldCharType="begin"/>
        </w:r>
        <w:r>
          <w:rPr>
            <w:noProof/>
            <w:webHidden/>
          </w:rPr>
          <w:instrText xml:space="preserve"> PAGEREF _Toc242019577 \h </w:instrText>
        </w:r>
        <w:r>
          <w:rPr>
            <w:noProof/>
            <w:webHidden/>
          </w:rPr>
        </w:r>
        <w:r>
          <w:rPr>
            <w:noProof/>
            <w:webHidden/>
          </w:rPr>
          <w:fldChar w:fldCharType="separate"/>
        </w:r>
        <w:r w:rsidR="007F6D9C">
          <w:rPr>
            <w:noProof/>
            <w:webHidden/>
          </w:rPr>
          <w:t>61</w:t>
        </w:r>
        <w:r>
          <w:rPr>
            <w:noProof/>
            <w:webHidden/>
          </w:rPr>
          <w:fldChar w:fldCharType="end"/>
        </w:r>
      </w:hyperlink>
    </w:p>
    <w:p w14:paraId="4D8919E6" w14:textId="57BC2AC5" w:rsidR="00003291" w:rsidRDefault="001F379D" w:rsidP="00AB1AA8">
      <w:pPr>
        <w:rPr>
          <w:rFonts w:cs="Arial"/>
          <w:sz w:val="18"/>
          <w:szCs w:val="18"/>
        </w:rPr>
      </w:pPr>
      <w:r w:rsidRPr="000B2B1F">
        <w:rPr>
          <w:rFonts w:cs="Arial"/>
          <w:b/>
          <w:bCs/>
          <w:caps/>
          <w:noProof/>
          <w:color w:val="2F5496"/>
          <w:szCs w:val="20"/>
        </w:rPr>
        <w:fldChar w:fldCharType="end"/>
      </w:r>
    </w:p>
    <w:p w14:paraId="1FB36C04" w14:textId="77777777" w:rsidR="00003291" w:rsidRDefault="00003291" w:rsidP="00AB1AA8">
      <w:pPr>
        <w:rPr>
          <w:rFonts w:cs="Arial"/>
          <w:sz w:val="18"/>
          <w:szCs w:val="18"/>
        </w:rPr>
      </w:pPr>
    </w:p>
    <w:p w14:paraId="414398AA" w14:textId="77777777" w:rsidR="00C1009D" w:rsidRDefault="00C1009D" w:rsidP="00AB1AA8">
      <w:pPr>
        <w:rPr>
          <w:rFonts w:cs="Arial"/>
          <w:sz w:val="18"/>
          <w:szCs w:val="18"/>
        </w:rPr>
      </w:pPr>
    </w:p>
    <w:p w14:paraId="594488F9" w14:textId="77777777" w:rsidR="000241F0" w:rsidRDefault="000241F0">
      <w:pPr>
        <w:spacing w:after="0" w:line="240" w:lineRule="auto"/>
        <w:jc w:val="left"/>
        <w:rPr>
          <w:rFonts w:cs="Arial"/>
          <w:sz w:val="18"/>
          <w:szCs w:val="18"/>
        </w:rPr>
      </w:pPr>
      <w:r>
        <w:rPr>
          <w:rFonts w:cs="Arial"/>
          <w:sz w:val="18"/>
          <w:szCs w:val="18"/>
        </w:rPr>
        <w:br w:type="page"/>
      </w:r>
    </w:p>
    <w:p w14:paraId="3547A2C8" w14:textId="77777777" w:rsidR="00050D32" w:rsidRPr="006844B1" w:rsidRDefault="00874235" w:rsidP="003F05C7">
      <w:pPr>
        <w:pStyle w:val="aff"/>
      </w:pPr>
      <w:r w:rsidRPr="006844B1">
        <w:t>ΔΙΑΓΡΑΜΜΑΤΑ</w:t>
      </w:r>
    </w:p>
    <w:p w14:paraId="34781B70" w14:textId="73289E17" w:rsidR="00B81E88" w:rsidRPr="00B81E88" w:rsidRDefault="00780A76" w:rsidP="00B81E88">
      <w:pPr>
        <w:pStyle w:val="afd"/>
        <w:jc w:val="left"/>
        <w:rPr>
          <w:rStyle w:val="-"/>
          <w:noProof/>
          <w:color w:val="auto"/>
          <w:u w:val="none"/>
        </w:rPr>
      </w:pPr>
      <w:r w:rsidRPr="00B81E88">
        <w:rPr>
          <w:rStyle w:val="-"/>
          <w:noProof/>
          <w:color w:val="auto"/>
          <w:u w:val="none"/>
        </w:rPr>
        <w:fldChar w:fldCharType="begin"/>
      </w:r>
      <w:r w:rsidRPr="00B81E88">
        <w:rPr>
          <w:rStyle w:val="-"/>
          <w:noProof/>
          <w:color w:val="auto"/>
          <w:u w:val="none"/>
        </w:rPr>
        <w:instrText xml:space="preserve"> TOC \h \z \c "Διάγραμμα 1." </w:instrText>
      </w:r>
      <w:r w:rsidRPr="00B81E88">
        <w:rPr>
          <w:rStyle w:val="-"/>
          <w:noProof/>
          <w:color w:val="auto"/>
          <w:u w:val="none"/>
        </w:rPr>
        <w:fldChar w:fldCharType="separate"/>
      </w:r>
      <w:hyperlink w:anchor="_Toc241773236" w:history="1">
        <w:r w:rsidR="00B81E88" w:rsidRPr="00B81E88">
          <w:rPr>
            <w:rStyle w:val="-"/>
            <w:noProof/>
            <w:color w:val="auto"/>
            <w:u w:val="none"/>
          </w:rPr>
          <w:t>Διάγραμμα 1.1.:</w:t>
        </w:r>
        <w:r w:rsidR="00B81E88">
          <w:rPr>
            <w:rStyle w:val="-"/>
            <w:noProof/>
            <w:color w:val="auto"/>
            <w:u w:val="none"/>
          </w:rPr>
          <w:tab/>
        </w:r>
        <w:r w:rsidR="00B81E88" w:rsidRPr="00B81E88">
          <w:rPr>
            <w:rStyle w:val="-"/>
            <w:noProof/>
            <w:color w:val="auto"/>
            <w:u w:val="none"/>
          </w:rPr>
          <w:t>Ετήσιος ρυθμός μεταβολής του πραγματικού ΑΕΠ στα κράτη - μέλη της ΕΕ</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_Toc241773236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9</w:t>
        </w:r>
        <w:r w:rsidR="00B81E88" w:rsidRPr="00B81E88">
          <w:rPr>
            <w:rStyle w:val="-"/>
            <w:noProof/>
            <w:webHidden/>
            <w:color w:val="auto"/>
            <w:u w:val="none"/>
          </w:rPr>
          <w:fldChar w:fldCharType="end"/>
        </w:r>
      </w:hyperlink>
    </w:p>
    <w:p w14:paraId="7EC15905" w14:textId="27477DAA" w:rsidR="00B81E88" w:rsidRPr="00B81E88" w:rsidRDefault="00B81E88" w:rsidP="00B81E88">
      <w:pPr>
        <w:pStyle w:val="afd"/>
        <w:jc w:val="left"/>
        <w:rPr>
          <w:rStyle w:val="-"/>
          <w:noProof/>
          <w:color w:val="auto"/>
          <w:u w:val="none"/>
        </w:rPr>
      </w:pPr>
      <w:hyperlink w:anchor="_Toc241773237" w:history="1">
        <w:r w:rsidRPr="00B81E88">
          <w:rPr>
            <w:rStyle w:val="-"/>
            <w:noProof/>
            <w:color w:val="auto"/>
            <w:u w:val="none"/>
          </w:rPr>
          <w:t>Διάγραμμα 1.2.:</w:t>
        </w:r>
        <w:r>
          <w:rPr>
            <w:rStyle w:val="-"/>
            <w:noProof/>
            <w:color w:val="auto"/>
            <w:u w:val="none"/>
          </w:rPr>
          <w:tab/>
        </w:r>
        <w:r w:rsidRPr="00B81E88">
          <w:rPr>
            <w:rStyle w:val="-"/>
            <w:noProof/>
            <w:color w:val="auto"/>
            <w:u w:val="none"/>
          </w:rPr>
          <w:t>Απόκλιση τριμηνιαίου ΑΕΠ και συνιστωσών Ελλάδας - Ευρωζώνης</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_Toc241773237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10</w:t>
        </w:r>
        <w:r w:rsidRPr="00B81E88">
          <w:rPr>
            <w:rStyle w:val="-"/>
            <w:noProof/>
            <w:webHidden/>
            <w:color w:val="auto"/>
            <w:u w:val="none"/>
          </w:rPr>
          <w:fldChar w:fldCharType="end"/>
        </w:r>
      </w:hyperlink>
    </w:p>
    <w:p w14:paraId="5A812401" w14:textId="08CF16A3" w:rsidR="00B81E88" w:rsidRPr="00B81E88" w:rsidRDefault="00B81E88" w:rsidP="00B81E88">
      <w:pPr>
        <w:pStyle w:val="afd"/>
        <w:jc w:val="left"/>
        <w:rPr>
          <w:rStyle w:val="-"/>
          <w:noProof/>
          <w:color w:val="auto"/>
          <w:u w:val="none"/>
        </w:rPr>
      </w:pPr>
      <w:hyperlink w:anchor="_Toc241773238" w:history="1">
        <w:r w:rsidRPr="00B81E88">
          <w:rPr>
            <w:rStyle w:val="-"/>
            <w:noProof/>
            <w:color w:val="auto"/>
            <w:u w:val="none"/>
          </w:rPr>
          <w:t>Διάγραμμα 1.3.:</w:t>
        </w:r>
        <w:r>
          <w:rPr>
            <w:rStyle w:val="-"/>
            <w:noProof/>
            <w:color w:val="auto"/>
            <w:u w:val="none"/>
          </w:rPr>
          <w:tab/>
        </w:r>
        <w:r w:rsidRPr="00B81E88">
          <w:rPr>
            <w:rStyle w:val="-"/>
            <w:noProof/>
            <w:color w:val="auto"/>
            <w:u w:val="none"/>
          </w:rPr>
          <w:t>Τελική εγχώρια ζήτηση στις χώρες της Ευρωζώνης, 2024 και 2025</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_Toc241773238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12</w:t>
        </w:r>
        <w:r w:rsidRPr="00B81E88">
          <w:rPr>
            <w:rStyle w:val="-"/>
            <w:noProof/>
            <w:webHidden/>
            <w:color w:val="auto"/>
            <w:u w:val="none"/>
          </w:rPr>
          <w:fldChar w:fldCharType="end"/>
        </w:r>
      </w:hyperlink>
    </w:p>
    <w:p w14:paraId="274F18B3" w14:textId="34C9A07D" w:rsidR="00B81E88" w:rsidRPr="00B81E88" w:rsidRDefault="00B81E88" w:rsidP="00B81E88">
      <w:pPr>
        <w:pStyle w:val="afd"/>
        <w:jc w:val="left"/>
        <w:rPr>
          <w:rStyle w:val="-"/>
          <w:noProof/>
          <w:color w:val="auto"/>
          <w:u w:val="none"/>
        </w:rPr>
      </w:pPr>
      <w:hyperlink w:anchor="_Toc241773239" w:history="1">
        <w:r w:rsidRPr="00B81E88">
          <w:rPr>
            <w:rStyle w:val="-"/>
            <w:noProof/>
            <w:color w:val="auto"/>
            <w:u w:val="none"/>
          </w:rPr>
          <w:t>Διάγραμμα 1.4.:</w:t>
        </w:r>
        <w:r>
          <w:rPr>
            <w:rStyle w:val="-"/>
            <w:noProof/>
            <w:color w:val="auto"/>
            <w:u w:val="none"/>
          </w:rPr>
          <w:tab/>
        </w:r>
        <w:r w:rsidRPr="00B81E88">
          <w:rPr>
            <w:rStyle w:val="-"/>
            <w:noProof/>
            <w:color w:val="auto"/>
            <w:u w:val="none"/>
          </w:rPr>
          <w:t>Ανάλυση του ετήσιου ρυθμού μεταβολής του πραγματικού ΑΕΠ κατά συνιστώσα</w:t>
        </w:r>
        <w:r>
          <w:rPr>
            <w:rStyle w:val="-"/>
            <w:noProof/>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_Toc241773239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13</w:t>
        </w:r>
        <w:r w:rsidRPr="00B81E88">
          <w:rPr>
            <w:rStyle w:val="-"/>
            <w:noProof/>
            <w:webHidden/>
            <w:color w:val="auto"/>
            <w:u w:val="none"/>
          </w:rPr>
          <w:fldChar w:fldCharType="end"/>
        </w:r>
      </w:hyperlink>
    </w:p>
    <w:p w14:paraId="207358CE" w14:textId="50368B4A" w:rsidR="00B81E88" w:rsidRPr="00B81E88" w:rsidRDefault="00B81E88" w:rsidP="00B81E88">
      <w:pPr>
        <w:pStyle w:val="afd"/>
        <w:jc w:val="left"/>
        <w:rPr>
          <w:rStyle w:val="-"/>
          <w:noProof/>
          <w:color w:val="auto"/>
          <w:u w:val="none"/>
        </w:rPr>
      </w:pPr>
      <w:hyperlink w:anchor="_Toc241773240" w:history="1">
        <w:r w:rsidRPr="00B81E88">
          <w:rPr>
            <w:rStyle w:val="-"/>
            <w:noProof/>
            <w:color w:val="auto"/>
            <w:u w:val="none"/>
          </w:rPr>
          <w:t>Διάγραμμα 1.5.:</w:t>
        </w:r>
        <w:r w:rsidR="00431236">
          <w:rPr>
            <w:rStyle w:val="-"/>
            <w:noProof/>
            <w:color w:val="auto"/>
            <w:u w:val="none"/>
          </w:rPr>
          <w:tab/>
        </w:r>
        <w:r w:rsidRPr="00B81E88">
          <w:rPr>
            <w:rStyle w:val="-"/>
            <w:noProof/>
            <w:color w:val="auto"/>
            <w:u w:val="none"/>
          </w:rPr>
          <w:t xml:space="preserve">Εξέλιξη της Ακαθάριστης Προστιθέμενης Αξίας κατά βασικό κλάδο οικονομικής </w:t>
        </w:r>
        <w:r w:rsidR="00431236">
          <w:rPr>
            <w:rStyle w:val="-"/>
            <w:noProof/>
            <w:color w:val="auto"/>
            <w:u w:val="none"/>
          </w:rPr>
          <w:tab/>
        </w:r>
        <w:r w:rsidRPr="00B81E88">
          <w:rPr>
            <w:rStyle w:val="-"/>
            <w:noProof/>
            <w:color w:val="auto"/>
            <w:u w:val="none"/>
          </w:rPr>
          <w:t>δραστηριότητας</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_Toc241773240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13</w:t>
        </w:r>
        <w:r w:rsidRPr="00B81E88">
          <w:rPr>
            <w:rStyle w:val="-"/>
            <w:noProof/>
            <w:webHidden/>
            <w:color w:val="auto"/>
            <w:u w:val="none"/>
          </w:rPr>
          <w:fldChar w:fldCharType="end"/>
        </w:r>
      </w:hyperlink>
    </w:p>
    <w:p w14:paraId="04229F25" w14:textId="7337F189" w:rsidR="00B81E88" w:rsidRPr="00B81E88" w:rsidRDefault="00B81E88" w:rsidP="00B81E88">
      <w:pPr>
        <w:pStyle w:val="afd"/>
        <w:jc w:val="left"/>
        <w:rPr>
          <w:rStyle w:val="-"/>
          <w:noProof/>
          <w:color w:val="auto"/>
          <w:u w:val="none"/>
        </w:rPr>
      </w:pPr>
      <w:hyperlink w:anchor="_Toc241773241" w:history="1">
        <w:r w:rsidRPr="00B81E88">
          <w:rPr>
            <w:rStyle w:val="-"/>
            <w:noProof/>
            <w:color w:val="auto"/>
            <w:u w:val="none"/>
          </w:rPr>
          <w:t>Διάγραμμα 1.6.:</w:t>
        </w:r>
        <w:r w:rsidR="00431236">
          <w:rPr>
            <w:rStyle w:val="-"/>
            <w:noProof/>
            <w:color w:val="auto"/>
            <w:u w:val="none"/>
          </w:rPr>
          <w:tab/>
        </w:r>
        <w:r w:rsidRPr="00B81E88">
          <w:rPr>
            <w:rStyle w:val="-"/>
            <w:noProof/>
            <w:color w:val="auto"/>
            <w:u w:val="none"/>
          </w:rPr>
          <w:t>Εξέλιξη διεθνών τιμών ενέργειας</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_Toc241773241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15</w:t>
        </w:r>
        <w:r w:rsidRPr="00B81E88">
          <w:rPr>
            <w:rStyle w:val="-"/>
            <w:noProof/>
            <w:webHidden/>
            <w:color w:val="auto"/>
            <w:u w:val="none"/>
          </w:rPr>
          <w:fldChar w:fldCharType="end"/>
        </w:r>
      </w:hyperlink>
    </w:p>
    <w:p w14:paraId="3F400CC8" w14:textId="7F555377" w:rsidR="00B81E88" w:rsidRPr="00B81E88" w:rsidRDefault="00B81E88" w:rsidP="00B81E88">
      <w:pPr>
        <w:pStyle w:val="afd"/>
        <w:jc w:val="left"/>
        <w:rPr>
          <w:rStyle w:val="-"/>
          <w:noProof/>
          <w:color w:val="auto"/>
          <w:u w:val="none"/>
        </w:rPr>
      </w:pPr>
      <w:hyperlink w:anchor="_Toc241773242" w:history="1">
        <w:r w:rsidRPr="00B81E88">
          <w:rPr>
            <w:rStyle w:val="-"/>
            <w:noProof/>
            <w:color w:val="auto"/>
            <w:u w:val="none"/>
          </w:rPr>
          <w:t>Διάγραμμα 1.7.:</w:t>
        </w:r>
        <w:r w:rsidR="00431236">
          <w:rPr>
            <w:rStyle w:val="-"/>
            <w:noProof/>
            <w:color w:val="auto"/>
            <w:u w:val="none"/>
          </w:rPr>
          <w:tab/>
        </w:r>
        <w:r w:rsidRPr="00B81E88">
          <w:rPr>
            <w:rStyle w:val="-"/>
            <w:noProof/>
            <w:color w:val="auto"/>
            <w:u w:val="none"/>
          </w:rPr>
          <w:t>Εξέλιξη του ισοζυγίου τρεχουσών συναλλαγών και των επιμέρους ισοζυγίων</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_Toc241773242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16</w:t>
        </w:r>
        <w:r w:rsidRPr="00B81E88">
          <w:rPr>
            <w:rStyle w:val="-"/>
            <w:noProof/>
            <w:webHidden/>
            <w:color w:val="auto"/>
            <w:u w:val="none"/>
          </w:rPr>
          <w:fldChar w:fldCharType="end"/>
        </w:r>
      </w:hyperlink>
    </w:p>
    <w:p w14:paraId="1737334B" w14:textId="6CDDEF62" w:rsidR="00B81E88" w:rsidRPr="00B81E88" w:rsidRDefault="00B81E88" w:rsidP="00B81E88">
      <w:pPr>
        <w:pStyle w:val="afd"/>
        <w:jc w:val="left"/>
        <w:rPr>
          <w:rStyle w:val="-"/>
          <w:noProof/>
          <w:color w:val="auto"/>
          <w:u w:val="none"/>
        </w:rPr>
      </w:pPr>
      <w:hyperlink w:anchor="_Toc241773243" w:history="1">
        <w:r w:rsidRPr="00B81E88">
          <w:rPr>
            <w:rStyle w:val="-"/>
            <w:noProof/>
            <w:color w:val="auto"/>
            <w:u w:val="none"/>
          </w:rPr>
          <w:t>Διάγραμμα 1.8.:</w:t>
        </w:r>
        <w:r w:rsidR="00676FF5">
          <w:rPr>
            <w:rStyle w:val="-"/>
            <w:noProof/>
            <w:color w:val="auto"/>
            <w:u w:val="none"/>
          </w:rPr>
          <w:tab/>
        </w:r>
        <w:r w:rsidRPr="00B81E88">
          <w:rPr>
            <w:rStyle w:val="-"/>
            <w:noProof/>
            <w:color w:val="auto"/>
            <w:u w:val="none"/>
          </w:rPr>
          <w:t xml:space="preserve">Επενδύσεις ως % του ΑΕΠ στην Ελλάδα και την Ευρωζώνη και </w:t>
        </w:r>
        <w:r w:rsidR="00676FF5">
          <w:rPr>
            <w:rStyle w:val="-"/>
            <w:noProof/>
            <w:color w:val="auto"/>
            <w:u w:val="none"/>
          </w:rPr>
          <w:br/>
        </w:r>
        <w:r w:rsidR="00676FF5">
          <w:rPr>
            <w:rStyle w:val="-"/>
            <w:noProof/>
            <w:color w:val="auto"/>
            <w:u w:val="none"/>
          </w:rPr>
          <w:tab/>
        </w:r>
        <w:r w:rsidRPr="00B81E88">
          <w:rPr>
            <w:rStyle w:val="-"/>
            <w:noProof/>
            <w:color w:val="auto"/>
            <w:u w:val="none"/>
          </w:rPr>
          <w:t>επενδυτική απόκλιση</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_Toc241773243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22</w:t>
        </w:r>
        <w:r w:rsidRPr="00B81E88">
          <w:rPr>
            <w:rStyle w:val="-"/>
            <w:noProof/>
            <w:webHidden/>
            <w:color w:val="auto"/>
            <w:u w:val="none"/>
          </w:rPr>
          <w:fldChar w:fldCharType="end"/>
        </w:r>
      </w:hyperlink>
    </w:p>
    <w:p w14:paraId="1C228EF6" w14:textId="339799CA" w:rsidR="00B81E88" w:rsidRDefault="00B81E88" w:rsidP="00E07004">
      <w:pPr>
        <w:pStyle w:val="afd"/>
        <w:jc w:val="left"/>
        <w:rPr>
          <w:noProof/>
        </w:rPr>
      </w:pPr>
      <w:hyperlink w:anchor="_Toc241773244" w:history="1">
        <w:r w:rsidRPr="00B81E88">
          <w:rPr>
            <w:rStyle w:val="-"/>
            <w:noProof/>
            <w:color w:val="auto"/>
            <w:u w:val="none"/>
          </w:rPr>
          <w:t>Διάγραμμα 1.9.:</w:t>
        </w:r>
        <w:r w:rsidR="00676FF5">
          <w:rPr>
            <w:rStyle w:val="-"/>
            <w:noProof/>
            <w:color w:val="auto"/>
            <w:u w:val="none"/>
          </w:rPr>
          <w:tab/>
        </w:r>
        <w:r w:rsidRPr="00B81E88">
          <w:rPr>
            <w:rStyle w:val="-"/>
            <w:noProof/>
            <w:color w:val="auto"/>
            <w:u w:val="none"/>
          </w:rPr>
          <w:t>Ετήσιος ρυθμός μεταβολής του πραγματικού κατά κεφαλήν ΑΕΠ - Ελλάδα, ΕΕ</w:t>
        </w:r>
        <w:r w:rsidR="00676FF5">
          <w:rPr>
            <w:rStyle w:val="-"/>
            <w:noProof/>
            <w:color w:val="auto"/>
            <w:u w:val="none"/>
          </w:rPr>
          <w:br/>
        </w:r>
        <w:r w:rsidR="00676FF5">
          <w:rPr>
            <w:rStyle w:val="-"/>
            <w:noProof/>
            <w:color w:val="auto"/>
            <w:u w:val="none"/>
          </w:rPr>
          <w:tab/>
        </w:r>
        <w:r w:rsidRPr="00B81E88">
          <w:rPr>
            <w:rStyle w:val="-"/>
            <w:noProof/>
            <w:color w:val="auto"/>
            <w:u w:val="none"/>
          </w:rPr>
          <w:t>και Ευρωζώνη</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_Toc241773244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23</w:t>
        </w:r>
        <w:r w:rsidRPr="00B81E88">
          <w:rPr>
            <w:rStyle w:val="-"/>
            <w:noProof/>
            <w:webHidden/>
            <w:color w:val="auto"/>
            <w:u w:val="none"/>
          </w:rPr>
          <w:fldChar w:fldCharType="end"/>
        </w:r>
      </w:hyperlink>
      <w:r w:rsidR="00780A76" w:rsidRPr="00B81E88">
        <w:rPr>
          <w:rStyle w:val="-"/>
          <w:noProof/>
          <w:color w:val="auto"/>
          <w:u w:val="none"/>
        </w:rPr>
        <w:fldChar w:fldCharType="end"/>
      </w:r>
      <w:r w:rsidR="007C66A9" w:rsidRPr="00B81E88">
        <w:rPr>
          <w:rStyle w:val="-"/>
          <w:noProof/>
          <w:color w:val="auto"/>
          <w:u w:val="none"/>
        </w:rPr>
        <w:fldChar w:fldCharType="begin"/>
      </w:r>
      <w:r w:rsidR="007C66A9" w:rsidRPr="00B81E88">
        <w:rPr>
          <w:rStyle w:val="-"/>
          <w:noProof/>
          <w:color w:val="auto"/>
          <w:u w:val="none"/>
        </w:rPr>
        <w:instrText xml:space="preserve"> TOC \h \z \c "Διάγραμμα 3." </w:instrText>
      </w:r>
      <w:r w:rsidR="007C66A9" w:rsidRPr="00B81E88">
        <w:rPr>
          <w:rStyle w:val="-"/>
          <w:noProof/>
          <w:color w:val="auto"/>
          <w:u w:val="none"/>
        </w:rPr>
        <w:fldChar w:fldCharType="separate"/>
      </w:r>
    </w:p>
    <w:p w14:paraId="74D333A7" w14:textId="74DFE5AE" w:rsidR="00B81E88" w:rsidRPr="00B81E88" w:rsidRDefault="00B81E88" w:rsidP="00B81E88">
      <w:pPr>
        <w:pStyle w:val="afd"/>
        <w:jc w:val="left"/>
        <w:rPr>
          <w:rStyle w:val="-"/>
          <w:noProof/>
          <w:color w:val="auto"/>
          <w:u w:val="none"/>
        </w:rPr>
      </w:pPr>
      <w:hyperlink w:anchor="_Toc241773293" w:history="1">
        <w:r w:rsidRPr="00B81E88">
          <w:rPr>
            <w:rStyle w:val="-"/>
            <w:noProof/>
            <w:color w:val="auto"/>
            <w:u w:val="none"/>
          </w:rPr>
          <w:t>Διάγραμμα 3.1.:</w:t>
        </w:r>
        <w:r w:rsidR="00676FF5">
          <w:rPr>
            <w:rStyle w:val="-"/>
            <w:noProof/>
            <w:color w:val="auto"/>
            <w:u w:val="none"/>
          </w:rPr>
          <w:tab/>
        </w:r>
        <w:r w:rsidRPr="00B81E88">
          <w:rPr>
            <w:rStyle w:val="-"/>
            <w:noProof/>
            <w:color w:val="auto"/>
            <w:u w:val="none"/>
          </w:rPr>
          <w:t>Χρονοδιάγραμμα λήξης χρέους της Κεντρικής Διοίκησης την 31η.8.2026</w:t>
        </w:r>
        <w:r w:rsidRPr="00B81E88">
          <w:rPr>
            <w:rStyle w:val="-"/>
            <w:noProof/>
            <w:webHidden/>
            <w:color w:val="auto"/>
            <w:u w:val="none"/>
          </w:rPr>
          <w:tab/>
        </w:r>
        <w:r w:rsidRPr="00B81E88">
          <w:rPr>
            <w:rStyle w:val="-"/>
            <w:noProof/>
            <w:webHidden/>
            <w:color w:val="auto"/>
            <w:u w:val="none"/>
          </w:rPr>
          <w:fldChar w:fldCharType="begin"/>
        </w:r>
        <w:r w:rsidRPr="00B81E88">
          <w:rPr>
            <w:rStyle w:val="-"/>
            <w:noProof/>
            <w:webHidden/>
            <w:color w:val="auto"/>
            <w:u w:val="none"/>
          </w:rPr>
          <w:instrText xml:space="preserve"> PAGEREF _Toc241773293 \h </w:instrText>
        </w:r>
        <w:r w:rsidRPr="00B81E88">
          <w:rPr>
            <w:rStyle w:val="-"/>
            <w:noProof/>
            <w:webHidden/>
            <w:color w:val="auto"/>
            <w:u w:val="none"/>
          </w:rPr>
        </w:r>
        <w:r w:rsidRPr="00B81E88">
          <w:rPr>
            <w:rStyle w:val="-"/>
            <w:noProof/>
            <w:webHidden/>
            <w:color w:val="auto"/>
            <w:u w:val="none"/>
          </w:rPr>
          <w:fldChar w:fldCharType="separate"/>
        </w:r>
        <w:r w:rsidR="007F6D9C">
          <w:rPr>
            <w:rStyle w:val="-"/>
            <w:noProof/>
            <w:webHidden/>
            <w:color w:val="auto"/>
            <w:u w:val="none"/>
          </w:rPr>
          <w:t>59</w:t>
        </w:r>
        <w:r w:rsidRPr="00B81E88">
          <w:rPr>
            <w:rStyle w:val="-"/>
            <w:noProof/>
            <w:webHidden/>
            <w:color w:val="auto"/>
            <w:u w:val="none"/>
          </w:rPr>
          <w:fldChar w:fldCharType="end"/>
        </w:r>
      </w:hyperlink>
    </w:p>
    <w:p w14:paraId="58CABE35" w14:textId="77777777" w:rsidR="00A84E52" w:rsidRPr="005578ED" w:rsidRDefault="007C66A9" w:rsidP="00B81E88">
      <w:pPr>
        <w:pStyle w:val="afd"/>
        <w:jc w:val="left"/>
        <w:rPr>
          <w:rStyle w:val="-"/>
          <w:color w:val="auto"/>
          <w:u w:val="none"/>
        </w:rPr>
      </w:pPr>
      <w:r w:rsidRPr="00B81E88">
        <w:rPr>
          <w:rStyle w:val="-"/>
          <w:noProof/>
          <w:color w:val="auto"/>
          <w:u w:val="none"/>
        </w:rPr>
        <w:fldChar w:fldCharType="end"/>
      </w:r>
    </w:p>
    <w:p w14:paraId="74EFE4A5" w14:textId="77777777" w:rsidR="00A84E52" w:rsidRPr="005578ED" w:rsidRDefault="00A84E52" w:rsidP="00070452">
      <w:pPr>
        <w:rPr>
          <w:rStyle w:val="-"/>
          <w:color w:val="auto"/>
          <w:u w:val="none"/>
        </w:rPr>
      </w:pPr>
    </w:p>
    <w:p w14:paraId="322395A3" w14:textId="77777777" w:rsidR="00874235" w:rsidRPr="00C60926" w:rsidRDefault="00874235" w:rsidP="003F05C7">
      <w:pPr>
        <w:pStyle w:val="aff"/>
      </w:pPr>
      <w:r w:rsidRPr="00C60926">
        <w:t>ΠΙΝΑΚΕΣ</w:t>
      </w:r>
    </w:p>
    <w:p w14:paraId="3AE1B7FA" w14:textId="2C7E7067" w:rsidR="00CE34E9" w:rsidRPr="00CE34E9" w:rsidRDefault="007C66A9" w:rsidP="00CE34E9">
      <w:pPr>
        <w:pStyle w:val="afd"/>
        <w:jc w:val="left"/>
        <w:rPr>
          <w:rStyle w:val="-"/>
          <w:noProof/>
          <w:color w:val="auto"/>
          <w:u w:val="none"/>
        </w:rPr>
      </w:pPr>
      <w:r w:rsidRPr="00C2481F">
        <w:rPr>
          <w:rStyle w:val="-"/>
          <w:noProof/>
          <w:color w:val="auto"/>
          <w:u w:val="none"/>
        </w:rPr>
        <w:fldChar w:fldCharType="begin"/>
      </w:r>
      <w:r w:rsidRPr="00C2481F">
        <w:rPr>
          <w:rStyle w:val="-"/>
          <w:noProof/>
          <w:color w:val="auto"/>
          <w:u w:val="none"/>
        </w:rPr>
        <w:instrText xml:space="preserve"> TOC \h \z \c "Πίνακας 1." </w:instrText>
      </w:r>
      <w:r w:rsidRPr="00C2481F">
        <w:rPr>
          <w:rStyle w:val="-"/>
          <w:noProof/>
          <w:color w:val="auto"/>
          <w:u w:val="none"/>
        </w:rPr>
        <w:fldChar w:fldCharType="separate"/>
      </w:r>
      <w:hyperlink w:anchor="_Toc241773165" w:history="1">
        <w:r w:rsidR="00CE34E9" w:rsidRPr="00CE34E9">
          <w:rPr>
            <w:rStyle w:val="-"/>
            <w:noProof/>
            <w:color w:val="auto"/>
            <w:u w:val="none"/>
          </w:rPr>
          <w:t>Πίνακας 1.1.:</w:t>
        </w:r>
        <w:r w:rsidR="00CE34E9">
          <w:rPr>
            <w:rStyle w:val="-"/>
            <w:noProof/>
            <w:color w:val="auto"/>
            <w:u w:val="none"/>
          </w:rPr>
          <w:tab/>
        </w:r>
        <w:r w:rsidR="00CE34E9" w:rsidRPr="00CE34E9">
          <w:rPr>
            <w:rStyle w:val="-"/>
            <w:noProof/>
            <w:color w:val="auto"/>
            <w:u w:val="none"/>
          </w:rPr>
          <w:t>Βασικές διεθνείς μακροοικονομικές προβλέψεις και παραδοχές</w:t>
        </w:r>
        <w:r w:rsidR="00CE34E9" w:rsidRPr="00CE34E9">
          <w:rPr>
            <w:rStyle w:val="-"/>
            <w:noProof/>
            <w:webHidden/>
            <w:color w:val="auto"/>
            <w:u w:val="none"/>
          </w:rPr>
          <w:tab/>
        </w:r>
        <w:r w:rsidR="00CE34E9" w:rsidRPr="00CE34E9">
          <w:rPr>
            <w:rStyle w:val="-"/>
            <w:noProof/>
            <w:webHidden/>
            <w:color w:val="auto"/>
            <w:u w:val="none"/>
          </w:rPr>
          <w:fldChar w:fldCharType="begin"/>
        </w:r>
        <w:r w:rsidR="00CE34E9" w:rsidRPr="00CE34E9">
          <w:rPr>
            <w:rStyle w:val="-"/>
            <w:noProof/>
            <w:webHidden/>
            <w:color w:val="auto"/>
            <w:u w:val="none"/>
          </w:rPr>
          <w:instrText xml:space="preserve"> PAGEREF _Toc241773165 \h </w:instrText>
        </w:r>
        <w:r w:rsidR="00CE34E9" w:rsidRPr="00CE34E9">
          <w:rPr>
            <w:rStyle w:val="-"/>
            <w:noProof/>
            <w:webHidden/>
            <w:color w:val="auto"/>
            <w:u w:val="none"/>
          </w:rPr>
        </w:r>
        <w:r w:rsidR="00CE34E9" w:rsidRPr="00CE34E9">
          <w:rPr>
            <w:rStyle w:val="-"/>
            <w:noProof/>
            <w:webHidden/>
            <w:color w:val="auto"/>
            <w:u w:val="none"/>
          </w:rPr>
          <w:fldChar w:fldCharType="separate"/>
        </w:r>
        <w:r w:rsidR="007F6D9C">
          <w:rPr>
            <w:rStyle w:val="-"/>
            <w:noProof/>
            <w:webHidden/>
            <w:color w:val="auto"/>
            <w:u w:val="none"/>
          </w:rPr>
          <w:t>21</w:t>
        </w:r>
        <w:r w:rsidR="00CE34E9" w:rsidRPr="00CE34E9">
          <w:rPr>
            <w:rStyle w:val="-"/>
            <w:noProof/>
            <w:webHidden/>
            <w:color w:val="auto"/>
            <w:u w:val="none"/>
          </w:rPr>
          <w:fldChar w:fldCharType="end"/>
        </w:r>
      </w:hyperlink>
    </w:p>
    <w:p w14:paraId="5D903CFC" w14:textId="7BB0F29B" w:rsidR="00C66CBC" w:rsidRPr="00C66CBC" w:rsidRDefault="00CE34E9" w:rsidP="00CE34E9">
      <w:pPr>
        <w:pStyle w:val="afd"/>
        <w:jc w:val="left"/>
        <w:rPr>
          <w:rStyle w:val="-"/>
          <w:noProof/>
          <w:color w:val="auto"/>
          <w:u w:val="none"/>
        </w:rPr>
      </w:pPr>
      <w:hyperlink w:anchor="_Toc241773166" w:history="1">
        <w:r w:rsidRPr="00CE34E9">
          <w:rPr>
            <w:rStyle w:val="-"/>
            <w:noProof/>
            <w:color w:val="auto"/>
            <w:u w:val="none"/>
          </w:rPr>
          <w:t>Πίνακας 1.2.:</w:t>
        </w:r>
        <w:r>
          <w:rPr>
            <w:rStyle w:val="-"/>
            <w:noProof/>
            <w:color w:val="auto"/>
            <w:u w:val="none"/>
          </w:rPr>
          <w:tab/>
        </w:r>
        <w:r w:rsidRPr="00CE34E9">
          <w:rPr>
            <w:rStyle w:val="-"/>
            <w:noProof/>
            <w:color w:val="auto"/>
            <w:u w:val="none"/>
          </w:rPr>
          <w:t>Βασικά μακροοικονομικά μεγέθη της ελληνικής οικονομίας</w:t>
        </w:r>
        <w:r w:rsidRPr="00CE34E9">
          <w:rPr>
            <w:rStyle w:val="-"/>
            <w:noProof/>
            <w:webHidden/>
            <w:color w:val="auto"/>
            <w:u w:val="none"/>
          </w:rPr>
          <w:tab/>
        </w:r>
        <w:r w:rsidRPr="00CE34E9">
          <w:rPr>
            <w:rStyle w:val="-"/>
            <w:noProof/>
            <w:webHidden/>
            <w:color w:val="auto"/>
            <w:u w:val="none"/>
          </w:rPr>
          <w:fldChar w:fldCharType="begin"/>
        </w:r>
        <w:r w:rsidRPr="00CE34E9">
          <w:rPr>
            <w:rStyle w:val="-"/>
            <w:noProof/>
            <w:webHidden/>
            <w:color w:val="auto"/>
            <w:u w:val="none"/>
          </w:rPr>
          <w:instrText xml:space="preserve"> PAGEREF _Toc241773166 \h </w:instrText>
        </w:r>
        <w:r w:rsidRPr="00CE34E9">
          <w:rPr>
            <w:rStyle w:val="-"/>
            <w:noProof/>
            <w:webHidden/>
            <w:color w:val="auto"/>
            <w:u w:val="none"/>
          </w:rPr>
        </w:r>
        <w:r w:rsidRPr="00CE34E9">
          <w:rPr>
            <w:rStyle w:val="-"/>
            <w:noProof/>
            <w:webHidden/>
            <w:color w:val="auto"/>
            <w:u w:val="none"/>
          </w:rPr>
          <w:fldChar w:fldCharType="separate"/>
        </w:r>
        <w:r w:rsidR="007F6D9C">
          <w:rPr>
            <w:rStyle w:val="-"/>
            <w:noProof/>
            <w:webHidden/>
            <w:color w:val="auto"/>
            <w:u w:val="none"/>
          </w:rPr>
          <w:t>24</w:t>
        </w:r>
        <w:r w:rsidRPr="00CE34E9">
          <w:rPr>
            <w:rStyle w:val="-"/>
            <w:noProof/>
            <w:webHidden/>
            <w:color w:val="auto"/>
            <w:u w:val="none"/>
          </w:rPr>
          <w:fldChar w:fldCharType="end"/>
        </w:r>
      </w:hyperlink>
      <w:r w:rsidR="007C66A9" w:rsidRPr="00C2481F">
        <w:rPr>
          <w:rStyle w:val="-"/>
          <w:noProof/>
          <w:color w:val="auto"/>
          <w:u w:val="none"/>
        </w:rPr>
        <w:fldChar w:fldCharType="end"/>
      </w:r>
      <w:r w:rsidR="00BA32BF" w:rsidRPr="00C2481F">
        <w:rPr>
          <w:rStyle w:val="-"/>
          <w:noProof/>
          <w:color w:val="auto"/>
          <w:u w:val="none"/>
        </w:rPr>
        <w:fldChar w:fldCharType="begin"/>
      </w:r>
      <w:r w:rsidR="00BA32BF" w:rsidRPr="00C2481F">
        <w:rPr>
          <w:rStyle w:val="-"/>
          <w:noProof/>
          <w:color w:val="auto"/>
          <w:u w:val="none"/>
        </w:rPr>
        <w:instrText xml:space="preserve"> TOC \h \z \c "Πίνακας 2." </w:instrText>
      </w:r>
      <w:r w:rsidR="00BA32BF" w:rsidRPr="00C2481F">
        <w:rPr>
          <w:rStyle w:val="-"/>
          <w:noProof/>
          <w:color w:val="auto"/>
          <w:u w:val="none"/>
        </w:rPr>
        <w:fldChar w:fldCharType="separate"/>
      </w:r>
    </w:p>
    <w:p w14:paraId="3AD598E8" w14:textId="2788DB3C" w:rsidR="00C66CBC" w:rsidRPr="00C66CBC" w:rsidRDefault="00C66CBC" w:rsidP="00C66CBC">
      <w:pPr>
        <w:pStyle w:val="afd"/>
        <w:jc w:val="left"/>
        <w:rPr>
          <w:rStyle w:val="-"/>
          <w:noProof/>
          <w:color w:val="auto"/>
          <w:u w:val="none"/>
        </w:rPr>
      </w:pPr>
      <w:hyperlink w:anchor="_Toc241953648" w:history="1">
        <w:r w:rsidRPr="00C66CBC">
          <w:rPr>
            <w:rStyle w:val="-"/>
            <w:noProof/>
            <w:color w:val="auto"/>
            <w:u w:val="none"/>
          </w:rPr>
          <w:t>Πίνακας 2.1.:</w:t>
        </w:r>
        <w:r>
          <w:rPr>
            <w:rStyle w:val="-"/>
            <w:noProof/>
            <w:color w:val="auto"/>
            <w:u w:val="none"/>
          </w:rPr>
          <w:tab/>
        </w:r>
        <w:r w:rsidRPr="00C66CBC">
          <w:rPr>
            <w:rStyle w:val="-"/>
            <w:noProof/>
            <w:color w:val="auto"/>
            <w:u w:val="none"/>
          </w:rPr>
          <w:t>Ισοζύγιο Γενικής Κυβέρνησης σύμφωνα με τη μεθοδολογία ESA</w:t>
        </w:r>
        <w:r w:rsidRPr="00C66CBC">
          <w:rPr>
            <w:rStyle w:val="-"/>
            <w:noProof/>
            <w:webHidden/>
            <w:color w:val="auto"/>
            <w:u w:val="none"/>
          </w:rPr>
          <w:tab/>
        </w:r>
        <w:r w:rsidRPr="00C66CBC">
          <w:rPr>
            <w:rStyle w:val="-"/>
            <w:noProof/>
            <w:webHidden/>
            <w:color w:val="auto"/>
            <w:u w:val="none"/>
          </w:rPr>
          <w:fldChar w:fldCharType="begin"/>
        </w:r>
        <w:r w:rsidRPr="00C66CBC">
          <w:rPr>
            <w:rStyle w:val="-"/>
            <w:noProof/>
            <w:webHidden/>
            <w:color w:val="auto"/>
            <w:u w:val="none"/>
          </w:rPr>
          <w:instrText xml:space="preserve"> PAGEREF _Toc241953648 \h </w:instrText>
        </w:r>
        <w:r w:rsidRPr="00C66CBC">
          <w:rPr>
            <w:rStyle w:val="-"/>
            <w:noProof/>
            <w:webHidden/>
            <w:color w:val="auto"/>
            <w:u w:val="none"/>
          </w:rPr>
        </w:r>
        <w:r w:rsidRPr="00C66CBC">
          <w:rPr>
            <w:rStyle w:val="-"/>
            <w:noProof/>
            <w:webHidden/>
            <w:color w:val="auto"/>
            <w:u w:val="none"/>
          </w:rPr>
          <w:fldChar w:fldCharType="separate"/>
        </w:r>
        <w:r w:rsidR="007F6D9C">
          <w:rPr>
            <w:rStyle w:val="-"/>
            <w:noProof/>
            <w:webHidden/>
            <w:color w:val="auto"/>
            <w:u w:val="none"/>
          </w:rPr>
          <w:t>28</w:t>
        </w:r>
        <w:r w:rsidRPr="00C66CBC">
          <w:rPr>
            <w:rStyle w:val="-"/>
            <w:noProof/>
            <w:webHidden/>
            <w:color w:val="auto"/>
            <w:u w:val="none"/>
          </w:rPr>
          <w:fldChar w:fldCharType="end"/>
        </w:r>
      </w:hyperlink>
    </w:p>
    <w:p w14:paraId="2F57D6DF" w14:textId="291E6D05" w:rsidR="00C66CBC" w:rsidRPr="00C66CBC" w:rsidRDefault="00C66CBC" w:rsidP="00C66CBC">
      <w:pPr>
        <w:pStyle w:val="afd"/>
        <w:jc w:val="left"/>
        <w:rPr>
          <w:rStyle w:val="-"/>
          <w:noProof/>
          <w:color w:val="auto"/>
          <w:u w:val="none"/>
        </w:rPr>
      </w:pPr>
      <w:hyperlink w:anchor="_Toc241953649" w:history="1">
        <w:r w:rsidRPr="00C66CBC">
          <w:rPr>
            <w:rStyle w:val="-"/>
            <w:noProof/>
            <w:color w:val="auto"/>
            <w:u w:val="none"/>
          </w:rPr>
          <w:t>Πίνακας 2.2.:</w:t>
        </w:r>
        <w:r>
          <w:rPr>
            <w:rStyle w:val="-"/>
            <w:noProof/>
            <w:color w:val="auto"/>
            <w:u w:val="none"/>
          </w:rPr>
          <w:tab/>
        </w:r>
        <w:r w:rsidRPr="00C66CBC">
          <w:rPr>
            <w:rStyle w:val="-"/>
            <w:noProof/>
            <w:color w:val="auto"/>
            <w:u w:val="none"/>
          </w:rPr>
          <w:t>Εξέλιξη ληξιπρόθεσμων υποχρεώσεων της Γενικής Κυβέρνησης</w:t>
        </w:r>
        <w:r w:rsidRPr="00C66CBC">
          <w:rPr>
            <w:rStyle w:val="-"/>
            <w:noProof/>
            <w:webHidden/>
            <w:color w:val="auto"/>
            <w:u w:val="none"/>
          </w:rPr>
          <w:tab/>
        </w:r>
        <w:r w:rsidRPr="00C66CBC">
          <w:rPr>
            <w:rStyle w:val="-"/>
            <w:noProof/>
            <w:webHidden/>
            <w:color w:val="auto"/>
            <w:u w:val="none"/>
          </w:rPr>
          <w:fldChar w:fldCharType="begin"/>
        </w:r>
        <w:r w:rsidRPr="00C66CBC">
          <w:rPr>
            <w:rStyle w:val="-"/>
            <w:noProof/>
            <w:webHidden/>
            <w:color w:val="auto"/>
            <w:u w:val="none"/>
          </w:rPr>
          <w:instrText xml:space="preserve"> PAGEREF _Toc241953649 \h </w:instrText>
        </w:r>
        <w:r w:rsidRPr="00C66CBC">
          <w:rPr>
            <w:rStyle w:val="-"/>
            <w:noProof/>
            <w:webHidden/>
            <w:color w:val="auto"/>
            <w:u w:val="none"/>
          </w:rPr>
        </w:r>
        <w:r w:rsidRPr="00C66CBC">
          <w:rPr>
            <w:rStyle w:val="-"/>
            <w:noProof/>
            <w:webHidden/>
            <w:color w:val="auto"/>
            <w:u w:val="none"/>
          </w:rPr>
          <w:fldChar w:fldCharType="separate"/>
        </w:r>
        <w:r w:rsidR="007F6D9C">
          <w:rPr>
            <w:rStyle w:val="-"/>
            <w:noProof/>
            <w:webHidden/>
            <w:color w:val="auto"/>
            <w:u w:val="none"/>
          </w:rPr>
          <w:t>38</w:t>
        </w:r>
        <w:r w:rsidRPr="00C66CBC">
          <w:rPr>
            <w:rStyle w:val="-"/>
            <w:noProof/>
            <w:webHidden/>
            <w:color w:val="auto"/>
            <w:u w:val="none"/>
          </w:rPr>
          <w:fldChar w:fldCharType="end"/>
        </w:r>
      </w:hyperlink>
    </w:p>
    <w:p w14:paraId="57DAFF1A" w14:textId="00F64496" w:rsidR="00C66CBC" w:rsidRPr="00C66CBC" w:rsidRDefault="00C66CBC" w:rsidP="00C66CBC">
      <w:pPr>
        <w:pStyle w:val="afd"/>
        <w:jc w:val="left"/>
        <w:rPr>
          <w:rStyle w:val="-"/>
          <w:noProof/>
          <w:color w:val="auto"/>
          <w:u w:val="none"/>
        </w:rPr>
      </w:pPr>
      <w:hyperlink w:anchor="_Toc241953650" w:history="1">
        <w:r w:rsidRPr="00C66CBC">
          <w:rPr>
            <w:rStyle w:val="-"/>
            <w:noProof/>
            <w:color w:val="auto"/>
            <w:u w:val="none"/>
          </w:rPr>
          <w:t>Πίνακας 2.3.:</w:t>
        </w:r>
        <w:r>
          <w:rPr>
            <w:rStyle w:val="-"/>
            <w:noProof/>
            <w:color w:val="auto"/>
            <w:u w:val="none"/>
          </w:rPr>
          <w:tab/>
        </w:r>
        <w:r w:rsidRPr="00C66CBC">
          <w:rPr>
            <w:rStyle w:val="-"/>
            <w:noProof/>
            <w:color w:val="auto"/>
            <w:u w:val="none"/>
          </w:rPr>
          <w:t>Εξέλιξη εκκρεμών επιστροφών φόρων</w:t>
        </w:r>
        <w:r w:rsidRPr="00C66CBC">
          <w:rPr>
            <w:rStyle w:val="-"/>
            <w:noProof/>
            <w:webHidden/>
            <w:color w:val="auto"/>
            <w:u w:val="none"/>
          </w:rPr>
          <w:tab/>
        </w:r>
        <w:r w:rsidRPr="00C66CBC">
          <w:rPr>
            <w:rStyle w:val="-"/>
            <w:noProof/>
            <w:webHidden/>
            <w:color w:val="auto"/>
            <w:u w:val="none"/>
          </w:rPr>
          <w:fldChar w:fldCharType="begin"/>
        </w:r>
        <w:r w:rsidRPr="00C66CBC">
          <w:rPr>
            <w:rStyle w:val="-"/>
            <w:noProof/>
            <w:webHidden/>
            <w:color w:val="auto"/>
            <w:u w:val="none"/>
          </w:rPr>
          <w:instrText xml:space="preserve"> PAGEREF _Toc241953650 \h </w:instrText>
        </w:r>
        <w:r w:rsidRPr="00C66CBC">
          <w:rPr>
            <w:rStyle w:val="-"/>
            <w:noProof/>
            <w:webHidden/>
            <w:color w:val="auto"/>
            <w:u w:val="none"/>
          </w:rPr>
        </w:r>
        <w:r w:rsidRPr="00C66CBC">
          <w:rPr>
            <w:rStyle w:val="-"/>
            <w:noProof/>
            <w:webHidden/>
            <w:color w:val="auto"/>
            <w:u w:val="none"/>
          </w:rPr>
          <w:fldChar w:fldCharType="separate"/>
        </w:r>
        <w:r w:rsidR="007F6D9C">
          <w:rPr>
            <w:rStyle w:val="-"/>
            <w:noProof/>
            <w:webHidden/>
            <w:color w:val="auto"/>
            <w:u w:val="none"/>
          </w:rPr>
          <w:t>38</w:t>
        </w:r>
        <w:r w:rsidRPr="00C66CBC">
          <w:rPr>
            <w:rStyle w:val="-"/>
            <w:noProof/>
            <w:webHidden/>
            <w:color w:val="auto"/>
            <w:u w:val="none"/>
          </w:rPr>
          <w:fldChar w:fldCharType="end"/>
        </w:r>
      </w:hyperlink>
    </w:p>
    <w:p w14:paraId="07797D56" w14:textId="7BA16B00" w:rsidR="00C66CBC" w:rsidRPr="00C66CBC" w:rsidRDefault="00C66CBC" w:rsidP="00C66CBC">
      <w:pPr>
        <w:pStyle w:val="afd"/>
        <w:jc w:val="left"/>
        <w:rPr>
          <w:rStyle w:val="-"/>
          <w:noProof/>
          <w:color w:val="auto"/>
          <w:u w:val="none"/>
        </w:rPr>
      </w:pPr>
      <w:hyperlink w:anchor="_Toc241953651" w:history="1">
        <w:r w:rsidRPr="00C66CBC">
          <w:rPr>
            <w:rStyle w:val="-"/>
            <w:noProof/>
            <w:color w:val="auto"/>
            <w:u w:val="none"/>
          </w:rPr>
          <w:t>Πίνακας 2.4.:</w:t>
        </w:r>
        <w:r>
          <w:rPr>
            <w:rStyle w:val="-"/>
            <w:noProof/>
            <w:color w:val="auto"/>
            <w:u w:val="none"/>
          </w:rPr>
          <w:tab/>
        </w:r>
        <w:r w:rsidRPr="00C66CBC">
          <w:rPr>
            <w:rStyle w:val="-"/>
            <w:noProof/>
            <w:color w:val="auto"/>
            <w:u w:val="none"/>
          </w:rPr>
          <w:t>Πορεία καθαρών δαπανών</w:t>
        </w:r>
        <w:r w:rsidRPr="00C66CBC">
          <w:rPr>
            <w:rStyle w:val="-"/>
            <w:noProof/>
            <w:webHidden/>
            <w:color w:val="auto"/>
            <w:u w:val="none"/>
          </w:rPr>
          <w:tab/>
        </w:r>
        <w:r w:rsidRPr="00C66CBC">
          <w:rPr>
            <w:rStyle w:val="-"/>
            <w:noProof/>
            <w:webHidden/>
            <w:color w:val="auto"/>
            <w:u w:val="none"/>
          </w:rPr>
          <w:fldChar w:fldCharType="begin"/>
        </w:r>
        <w:r w:rsidRPr="00C66CBC">
          <w:rPr>
            <w:rStyle w:val="-"/>
            <w:noProof/>
            <w:webHidden/>
            <w:color w:val="auto"/>
            <w:u w:val="none"/>
          </w:rPr>
          <w:instrText xml:space="preserve"> PAGEREF _Toc241953651 \h </w:instrText>
        </w:r>
        <w:r w:rsidRPr="00C66CBC">
          <w:rPr>
            <w:rStyle w:val="-"/>
            <w:noProof/>
            <w:webHidden/>
            <w:color w:val="auto"/>
            <w:u w:val="none"/>
          </w:rPr>
        </w:r>
        <w:r w:rsidRPr="00C66CBC">
          <w:rPr>
            <w:rStyle w:val="-"/>
            <w:noProof/>
            <w:webHidden/>
            <w:color w:val="auto"/>
            <w:u w:val="none"/>
          </w:rPr>
          <w:fldChar w:fldCharType="separate"/>
        </w:r>
        <w:r w:rsidR="007F6D9C">
          <w:rPr>
            <w:rStyle w:val="-"/>
            <w:noProof/>
            <w:webHidden/>
            <w:color w:val="auto"/>
            <w:u w:val="none"/>
          </w:rPr>
          <w:t>40</w:t>
        </w:r>
        <w:r w:rsidRPr="00C66CBC">
          <w:rPr>
            <w:rStyle w:val="-"/>
            <w:noProof/>
            <w:webHidden/>
            <w:color w:val="auto"/>
            <w:u w:val="none"/>
          </w:rPr>
          <w:fldChar w:fldCharType="end"/>
        </w:r>
      </w:hyperlink>
    </w:p>
    <w:p w14:paraId="0C785500" w14:textId="6C495E1C" w:rsidR="00CE34E9" w:rsidRPr="00CE34E9" w:rsidRDefault="00C66CBC" w:rsidP="00CE34E9">
      <w:pPr>
        <w:pStyle w:val="afd"/>
        <w:jc w:val="left"/>
        <w:rPr>
          <w:rStyle w:val="-"/>
          <w:noProof/>
          <w:color w:val="auto"/>
          <w:u w:val="none"/>
        </w:rPr>
      </w:pPr>
      <w:hyperlink w:anchor="_Toc241953652" w:history="1">
        <w:r w:rsidRPr="00C66CBC">
          <w:rPr>
            <w:rStyle w:val="-"/>
            <w:noProof/>
            <w:color w:val="auto"/>
            <w:u w:val="none"/>
          </w:rPr>
          <w:t>Πίνακας 2.5.:</w:t>
        </w:r>
        <w:r>
          <w:rPr>
            <w:rStyle w:val="-"/>
            <w:noProof/>
            <w:color w:val="auto"/>
            <w:u w:val="none"/>
          </w:rPr>
          <w:tab/>
        </w:r>
        <w:r w:rsidRPr="00C66CBC">
          <w:rPr>
            <w:rStyle w:val="-"/>
            <w:noProof/>
            <w:color w:val="auto"/>
            <w:u w:val="none"/>
          </w:rPr>
          <w:t>Κυριότερες μόνιμες δημοσιονομικές παρεμβάσεις 2026 - 2027</w:t>
        </w:r>
        <w:r w:rsidRPr="00C66CBC">
          <w:rPr>
            <w:rStyle w:val="-"/>
            <w:noProof/>
            <w:webHidden/>
            <w:color w:val="auto"/>
            <w:u w:val="none"/>
          </w:rPr>
          <w:tab/>
        </w:r>
        <w:r w:rsidRPr="00C66CBC">
          <w:rPr>
            <w:rStyle w:val="-"/>
            <w:noProof/>
            <w:webHidden/>
            <w:color w:val="auto"/>
            <w:u w:val="none"/>
          </w:rPr>
          <w:fldChar w:fldCharType="begin"/>
        </w:r>
        <w:r w:rsidRPr="00C66CBC">
          <w:rPr>
            <w:rStyle w:val="-"/>
            <w:noProof/>
            <w:webHidden/>
            <w:color w:val="auto"/>
            <w:u w:val="none"/>
          </w:rPr>
          <w:instrText xml:space="preserve"> PAGEREF _Toc241953652 \h </w:instrText>
        </w:r>
        <w:r w:rsidRPr="00C66CBC">
          <w:rPr>
            <w:rStyle w:val="-"/>
            <w:noProof/>
            <w:webHidden/>
            <w:color w:val="auto"/>
            <w:u w:val="none"/>
          </w:rPr>
        </w:r>
        <w:r w:rsidRPr="00C66CBC">
          <w:rPr>
            <w:rStyle w:val="-"/>
            <w:noProof/>
            <w:webHidden/>
            <w:color w:val="auto"/>
            <w:u w:val="none"/>
          </w:rPr>
          <w:fldChar w:fldCharType="separate"/>
        </w:r>
        <w:r w:rsidR="007F6D9C">
          <w:rPr>
            <w:rStyle w:val="-"/>
            <w:noProof/>
            <w:webHidden/>
            <w:color w:val="auto"/>
            <w:u w:val="none"/>
          </w:rPr>
          <w:t>54</w:t>
        </w:r>
        <w:r w:rsidRPr="00C66CBC">
          <w:rPr>
            <w:rStyle w:val="-"/>
            <w:noProof/>
            <w:webHidden/>
            <w:color w:val="auto"/>
            <w:u w:val="none"/>
          </w:rPr>
          <w:fldChar w:fldCharType="end"/>
        </w:r>
      </w:hyperlink>
      <w:r w:rsidR="00BA32BF" w:rsidRPr="00C2481F">
        <w:rPr>
          <w:rStyle w:val="-"/>
          <w:noProof/>
          <w:color w:val="auto"/>
          <w:u w:val="none"/>
        </w:rPr>
        <w:fldChar w:fldCharType="end"/>
      </w:r>
      <w:r w:rsidR="005924E5" w:rsidRPr="00C2481F">
        <w:rPr>
          <w:rStyle w:val="-"/>
          <w:noProof/>
          <w:color w:val="auto"/>
          <w:u w:val="none"/>
        </w:rPr>
        <w:fldChar w:fldCharType="begin"/>
      </w:r>
      <w:r w:rsidR="005924E5" w:rsidRPr="00C2481F">
        <w:rPr>
          <w:rStyle w:val="-"/>
          <w:noProof/>
          <w:color w:val="auto"/>
          <w:u w:val="none"/>
        </w:rPr>
        <w:instrText xml:space="preserve"> TOC \h \z \c "Πίνακας 3." </w:instrText>
      </w:r>
      <w:r w:rsidR="005924E5" w:rsidRPr="00C2481F">
        <w:rPr>
          <w:rStyle w:val="-"/>
          <w:noProof/>
          <w:color w:val="auto"/>
          <w:u w:val="none"/>
        </w:rPr>
        <w:fldChar w:fldCharType="separate"/>
      </w:r>
    </w:p>
    <w:p w14:paraId="7F6186C3" w14:textId="4D770743" w:rsidR="00CE34E9" w:rsidRPr="00CE34E9" w:rsidRDefault="00CE34E9" w:rsidP="00CE34E9">
      <w:pPr>
        <w:pStyle w:val="afd"/>
        <w:jc w:val="left"/>
        <w:rPr>
          <w:rStyle w:val="-"/>
          <w:noProof/>
          <w:color w:val="auto"/>
          <w:u w:val="none"/>
        </w:rPr>
      </w:pPr>
      <w:hyperlink w:anchor="_Toc241773182" w:history="1">
        <w:r w:rsidRPr="00CE34E9">
          <w:rPr>
            <w:rStyle w:val="-"/>
            <w:noProof/>
            <w:color w:val="auto"/>
            <w:u w:val="none"/>
          </w:rPr>
          <w:t>Πίνακας 3.1.:</w:t>
        </w:r>
        <w:r>
          <w:rPr>
            <w:rStyle w:val="-"/>
            <w:noProof/>
            <w:color w:val="auto"/>
            <w:u w:val="none"/>
          </w:rPr>
          <w:tab/>
        </w:r>
        <w:r w:rsidRPr="00CE34E9">
          <w:rPr>
            <w:rStyle w:val="-"/>
            <w:noProof/>
            <w:color w:val="auto"/>
            <w:u w:val="none"/>
          </w:rPr>
          <w:t>Σύνθεση δημοσίου χρέους</w:t>
        </w:r>
        <w:r w:rsidRPr="00CE34E9">
          <w:rPr>
            <w:rStyle w:val="-"/>
            <w:noProof/>
            <w:webHidden/>
            <w:color w:val="auto"/>
            <w:u w:val="none"/>
          </w:rPr>
          <w:tab/>
        </w:r>
        <w:r w:rsidRPr="00CE34E9">
          <w:rPr>
            <w:rStyle w:val="-"/>
            <w:noProof/>
            <w:webHidden/>
            <w:color w:val="auto"/>
            <w:u w:val="none"/>
          </w:rPr>
          <w:fldChar w:fldCharType="begin"/>
        </w:r>
        <w:r w:rsidRPr="00CE34E9">
          <w:rPr>
            <w:rStyle w:val="-"/>
            <w:noProof/>
            <w:webHidden/>
            <w:color w:val="auto"/>
            <w:u w:val="none"/>
          </w:rPr>
          <w:instrText xml:space="preserve"> PAGEREF _Toc241773182 \h </w:instrText>
        </w:r>
        <w:r w:rsidRPr="00CE34E9">
          <w:rPr>
            <w:rStyle w:val="-"/>
            <w:noProof/>
            <w:webHidden/>
            <w:color w:val="auto"/>
            <w:u w:val="none"/>
          </w:rPr>
        </w:r>
        <w:r w:rsidRPr="00CE34E9">
          <w:rPr>
            <w:rStyle w:val="-"/>
            <w:noProof/>
            <w:webHidden/>
            <w:color w:val="auto"/>
            <w:u w:val="none"/>
          </w:rPr>
          <w:fldChar w:fldCharType="separate"/>
        </w:r>
        <w:r w:rsidR="007F6D9C">
          <w:rPr>
            <w:rStyle w:val="-"/>
            <w:noProof/>
            <w:webHidden/>
            <w:color w:val="auto"/>
            <w:u w:val="none"/>
          </w:rPr>
          <w:t>58</w:t>
        </w:r>
        <w:r w:rsidRPr="00CE34E9">
          <w:rPr>
            <w:rStyle w:val="-"/>
            <w:noProof/>
            <w:webHidden/>
            <w:color w:val="auto"/>
            <w:u w:val="none"/>
          </w:rPr>
          <w:fldChar w:fldCharType="end"/>
        </w:r>
      </w:hyperlink>
    </w:p>
    <w:p w14:paraId="5B7BD5A8" w14:textId="4593D599" w:rsidR="00CE34E9" w:rsidRPr="00CE34E9" w:rsidRDefault="00CE34E9" w:rsidP="00CE34E9">
      <w:pPr>
        <w:pStyle w:val="afd"/>
        <w:jc w:val="left"/>
        <w:rPr>
          <w:rStyle w:val="-"/>
          <w:noProof/>
          <w:color w:val="auto"/>
          <w:u w:val="none"/>
        </w:rPr>
      </w:pPr>
      <w:hyperlink w:anchor="_Toc241773183" w:history="1">
        <w:r w:rsidRPr="00CE34E9">
          <w:rPr>
            <w:rStyle w:val="-"/>
            <w:noProof/>
            <w:color w:val="auto"/>
            <w:u w:val="none"/>
          </w:rPr>
          <w:t>Πίνακας 3.2.:</w:t>
        </w:r>
        <w:r>
          <w:rPr>
            <w:rStyle w:val="-"/>
            <w:noProof/>
            <w:color w:val="auto"/>
            <w:u w:val="none"/>
          </w:rPr>
          <w:tab/>
        </w:r>
        <w:r w:rsidRPr="00CE34E9">
          <w:rPr>
            <w:rStyle w:val="-"/>
            <w:noProof/>
            <w:color w:val="auto"/>
            <w:u w:val="none"/>
          </w:rPr>
          <w:t>Ύψος δαπανών για τόκους χρέους</w:t>
        </w:r>
        <w:r w:rsidRPr="00CE34E9">
          <w:rPr>
            <w:rStyle w:val="-"/>
            <w:noProof/>
            <w:webHidden/>
            <w:color w:val="auto"/>
            <w:u w:val="none"/>
          </w:rPr>
          <w:tab/>
        </w:r>
        <w:r w:rsidRPr="00CE34E9">
          <w:rPr>
            <w:rStyle w:val="-"/>
            <w:noProof/>
            <w:webHidden/>
            <w:color w:val="auto"/>
            <w:u w:val="none"/>
          </w:rPr>
          <w:fldChar w:fldCharType="begin"/>
        </w:r>
        <w:r w:rsidRPr="00CE34E9">
          <w:rPr>
            <w:rStyle w:val="-"/>
            <w:noProof/>
            <w:webHidden/>
            <w:color w:val="auto"/>
            <w:u w:val="none"/>
          </w:rPr>
          <w:instrText xml:space="preserve"> PAGEREF _Toc241773183 \h </w:instrText>
        </w:r>
        <w:r w:rsidRPr="00CE34E9">
          <w:rPr>
            <w:rStyle w:val="-"/>
            <w:noProof/>
            <w:webHidden/>
            <w:color w:val="auto"/>
            <w:u w:val="none"/>
          </w:rPr>
        </w:r>
        <w:r w:rsidRPr="00CE34E9">
          <w:rPr>
            <w:rStyle w:val="-"/>
            <w:noProof/>
            <w:webHidden/>
            <w:color w:val="auto"/>
            <w:u w:val="none"/>
          </w:rPr>
          <w:fldChar w:fldCharType="separate"/>
        </w:r>
        <w:r w:rsidR="007F6D9C">
          <w:rPr>
            <w:rStyle w:val="-"/>
            <w:noProof/>
            <w:webHidden/>
            <w:color w:val="auto"/>
            <w:u w:val="none"/>
          </w:rPr>
          <w:t>60</w:t>
        </w:r>
        <w:r w:rsidRPr="00CE34E9">
          <w:rPr>
            <w:rStyle w:val="-"/>
            <w:noProof/>
            <w:webHidden/>
            <w:color w:val="auto"/>
            <w:u w:val="none"/>
          </w:rPr>
          <w:fldChar w:fldCharType="end"/>
        </w:r>
      </w:hyperlink>
    </w:p>
    <w:p w14:paraId="54707A15" w14:textId="77777777" w:rsidR="007B4361" w:rsidRPr="005578ED" w:rsidRDefault="005924E5" w:rsidP="00CE34E9">
      <w:pPr>
        <w:pStyle w:val="afd"/>
        <w:jc w:val="left"/>
        <w:rPr>
          <w:rStyle w:val="-"/>
          <w:color w:val="auto"/>
          <w:u w:val="none"/>
        </w:rPr>
      </w:pPr>
      <w:r w:rsidRPr="00C2481F">
        <w:rPr>
          <w:rStyle w:val="-"/>
          <w:noProof/>
          <w:color w:val="auto"/>
          <w:u w:val="none"/>
        </w:rPr>
        <w:fldChar w:fldCharType="end"/>
      </w:r>
    </w:p>
    <w:p w14:paraId="7A084819" w14:textId="77777777" w:rsidR="003B29A8" w:rsidRDefault="003B29A8" w:rsidP="00070452">
      <w:pPr>
        <w:rPr>
          <w:highlight w:val="yellow"/>
        </w:rPr>
      </w:pPr>
    </w:p>
    <w:p w14:paraId="2AC2EA6F" w14:textId="77777777" w:rsidR="003B29A8" w:rsidRPr="003B29A8" w:rsidRDefault="003B29A8" w:rsidP="00070452">
      <w:pPr>
        <w:rPr>
          <w:highlight w:val="yellow"/>
        </w:rPr>
      </w:pPr>
    </w:p>
    <w:tbl>
      <w:tblPr>
        <w:tblW w:w="9553" w:type="dxa"/>
        <w:jc w:val="center"/>
        <w:tblLook w:val="04A0" w:firstRow="1" w:lastRow="0" w:firstColumn="1" w:lastColumn="0" w:noHBand="0" w:noVBand="1"/>
      </w:tblPr>
      <w:tblGrid>
        <w:gridCol w:w="9553"/>
      </w:tblGrid>
      <w:tr w:rsidR="008E2C9B" w:rsidRPr="00515AD1" w14:paraId="61A44978" w14:textId="77777777" w:rsidTr="00515AD1">
        <w:trPr>
          <w:jc w:val="center"/>
        </w:trPr>
        <w:tc>
          <w:tcPr>
            <w:tcW w:w="9553" w:type="dxa"/>
            <w:vAlign w:val="center"/>
          </w:tcPr>
          <w:p w14:paraId="12A867D6" w14:textId="77777777" w:rsidR="008E2C9B" w:rsidRPr="00515AD1" w:rsidRDefault="008E2C9B" w:rsidP="005924E5">
            <w:pPr>
              <w:tabs>
                <w:tab w:val="left" w:pos="2100"/>
              </w:tabs>
              <w:spacing w:before="60" w:after="60"/>
              <w:jc w:val="center"/>
              <w:rPr>
                <w:rFonts w:cs="Arial"/>
                <w:szCs w:val="20"/>
              </w:rPr>
            </w:pPr>
            <w:r w:rsidRPr="00515AD1">
              <w:rPr>
                <w:rFonts w:cs="Arial"/>
                <w:szCs w:val="20"/>
              </w:rPr>
              <w:t xml:space="preserve">Σημείωση: </w:t>
            </w:r>
            <w:r w:rsidR="00515AD1" w:rsidRPr="00515AD1">
              <w:rPr>
                <w:rFonts w:cs="Arial"/>
                <w:szCs w:val="20"/>
              </w:rPr>
              <w:t>Ενδεχόμενες</w:t>
            </w:r>
            <w:r w:rsidRPr="00515AD1">
              <w:rPr>
                <w:rFonts w:cs="Arial"/>
                <w:szCs w:val="20"/>
              </w:rPr>
              <w:t xml:space="preserve"> διαφορές ποσών ή ποσοστών στους πίνακες οφείλονται σε στρογγυλοποιήσεις</w:t>
            </w:r>
            <w:r w:rsidR="005924E5" w:rsidRPr="00515AD1">
              <w:rPr>
                <w:rFonts w:cs="Arial"/>
                <w:szCs w:val="20"/>
              </w:rPr>
              <w:t>.</w:t>
            </w:r>
          </w:p>
        </w:tc>
      </w:tr>
    </w:tbl>
    <w:p w14:paraId="76A35A6E" w14:textId="77777777" w:rsidR="007B4361" w:rsidRPr="003D73A3" w:rsidRDefault="007B4361" w:rsidP="00BB55F9">
      <w:pPr>
        <w:tabs>
          <w:tab w:val="left" w:pos="2100"/>
        </w:tabs>
        <w:rPr>
          <w:rFonts w:cs="Arial"/>
          <w:sz w:val="40"/>
          <w:szCs w:val="22"/>
          <w:highlight w:val="yellow"/>
        </w:rPr>
      </w:pPr>
    </w:p>
    <w:p w14:paraId="73D125FE" w14:textId="77777777" w:rsidR="007B4361" w:rsidRPr="003652CF" w:rsidRDefault="007B4361" w:rsidP="00BB55F9">
      <w:pPr>
        <w:tabs>
          <w:tab w:val="left" w:pos="2100"/>
        </w:tabs>
        <w:rPr>
          <w:rFonts w:ascii="Arial Narrow" w:hAnsi="Arial Narrow"/>
          <w:sz w:val="40"/>
          <w:szCs w:val="22"/>
          <w:highlight w:val="yellow"/>
        </w:rPr>
      </w:pPr>
    </w:p>
    <w:p w14:paraId="39AB812D" w14:textId="116D87AB" w:rsidR="00A11329" w:rsidRDefault="00A11329">
      <w:pPr>
        <w:spacing w:after="0" w:line="240" w:lineRule="auto"/>
        <w:jc w:val="left"/>
        <w:rPr>
          <w:rFonts w:ascii="Arial Narrow" w:hAnsi="Arial Narrow"/>
          <w:sz w:val="40"/>
          <w:szCs w:val="22"/>
          <w:highlight w:val="yellow"/>
        </w:rPr>
      </w:pPr>
      <w:r>
        <w:rPr>
          <w:rFonts w:ascii="Arial Narrow" w:hAnsi="Arial Narrow"/>
          <w:sz w:val="40"/>
          <w:szCs w:val="22"/>
          <w:highlight w:val="yellow"/>
        </w:rPr>
        <w:br w:type="page"/>
      </w:r>
    </w:p>
    <w:p w14:paraId="66EAA15D"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1934BB77"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3C1B9E76"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713DD008"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4545ED8B"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4AF917B6"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5882AAF8"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37E990D6"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6C2DC79B"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0CEFC245"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4152A538" w14:textId="334F86B6" w:rsidR="005B5B96" w:rsidRPr="005868B3" w:rsidRDefault="005B5B96" w:rsidP="00C832DE">
      <w:pPr>
        <w:spacing w:after="0"/>
        <w:jc w:val="center"/>
        <w:rPr>
          <w:rFonts w:eastAsia="Calibri" w:cs="Arial"/>
          <w:b/>
          <w:szCs w:val="20"/>
          <w:lang w:eastAsia="en-US"/>
        </w:rPr>
      </w:pPr>
      <w:r w:rsidRPr="005868B3">
        <w:rPr>
          <w:rFonts w:eastAsia="Calibri" w:cs="Arial"/>
          <w:b/>
          <w:szCs w:val="20"/>
          <w:lang w:eastAsia="en-US"/>
        </w:rPr>
        <w:t>Γνώμη του Ελληνικού Δημοσιονομικού Συμβουλίου</w:t>
      </w:r>
    </w:p>
    <w:p w14:paraId="1A991B08" w14:textId="0B33BE2A" w:rsidR="005B5B96" w:rsidRPr="005868B3" w:rsidRDefault="005B5B96" w:rsidP="00C832DE">
      <w:pPr>
        <w:spacing w:after="0"/>
        <w:jc w:val="center"/>
        <w:rPr>
          <w:rFonts w:eastAsia="Calibri" w:cs="Arial"/>
          <w:b/>
          <w:szCs w:val="20"/>
          <w:lang w:eastAsia="en-US"/>
        </w:rPr>
      </w:pPr>
      <w:r w:rsidRPr="005868B3">
        <w:rPr>
          <w:rFonts w:eastAsia="Calibri" w:cs="Arial"/>
          <w:b/>
          <w:szCs w:val="20"/>
          <w:lang w:eastAsia="en-US"/>
        </w:rPr>
        <w:t>(παρ.</w:t>
      </w:r>
      <w:r w:rsidR="004749F2">
        <w:rPr>
          <w:rFonts w:eastAsia="Calibri" w:cs="Arial"/>
          <w:b/>
          <w:szCs w:val="20"/>
          <w:lang w:eastAsia="en-US"/>
        </w:rPr>
        <w:t xml:space="preserve"> </w:t>
      </w:r>
      <w:r w:rsidRPr="005868B3">
        <w:rPr>
          <w:rFonts w:eastAsia="Calibri" w:cs="Arial"/>
          <w:b/>
          <w:szCs w:val="20"/>
          <w:lang w:eastAsia="en-US"/>
        </w:rPr>
        <w:t>4α</w:t>
      </w:r>
      <w:r w:rsidR="005868B3" w:rsidRPr="005868B3">
        <w:rPr>
          <w:rFonts w:eastAsia="Calibri" w:cs="Arial"/>
          <w:b/>
          <w:szCs w:val="20"/>
          <w:lang w:eastAsia="en-US"/>
        </w:rPr>
        <w:t xml:space="preserve"> του</w:t>
      </w:r>
      <w:r w:rsidRPr="005868B3">
        <w:rPr>
          <w:rFonts w:eastAsia="Calibri" w:cs="Arial"/>
          <w:b/>
          <w:szCs w:val="20"/>
          <w:lang w:eastAsia="en-US"/>
        </w:rPr>
        <w:t xml:space="preserve"> άρθρο</w:t>
      </w:r>
      <w:r w:rsidR="005868B3" w:rsidRPr="005868B3">
        <w:rPr>
          <w:rFonts w:eastAsia="Calibri" w:cs="Arial"/>
          <w:b/>
          <w:szCs w:val="20"/>
          <w:lang w:eastAsia="en-US"/>
        </w:rPr>
        <w:t>υ</w:t>
      </w:r>
      <w:r w:rsidRPr="005868B3">
        <w:rPr>
          <w:rFonts w:eastAsia="Calibri" w:cs="Arial"/>
          <w:b/>
          <w:szCs w:val="20"/>
          <w:lang w:eastAsia="en-US"/>
        </w:rPr>
        <w:t xml:space="preserve"> 2 και παρ.</w:t>
      </w:r>
      <w:r w:rsidR="004749F2">
        <w:rPr>
          <w:rFonts w:eastAsia="Calibri" w:cs="Arial"/>
          <w:b/>
          <w:szCs w:val="20"/>
          <w:lang w:eastAsia="en-US"/>
        </w:rPr>
        <w:t xml:space="preserve"> </w:t>
      </w:r>
      <w:r w:rsidRPr="005868B3">
        <w:rPr>
          <w:rFonts w:eastAsia="Calibri" w:cs="Arial"/>
          <w:b/>
          <w:szCs w:val="20"/>
          <w:lang w:eastAsia="en-US"/>
        </w:rPr>
        <w:t>2</w:t>
      </w:r>
      <w:r w:rsidR="005868B3" w:rsidRPr="005868B3">
        <w:rPr>
          <w:rFonts w:eastAsia="Calibri" w:cs="Arial"/>
          <w:b/>
          <w:szCs w:val="20"/>
          <w:lang w:eastAsia="en-US"/>
        </w:rPr>
        <w:t xml:space="preserve"> του </w:t>
      </w:r>
      <w:r w:rsidRPr="005868B3">
        <w:rPr>
          <w:rFonts w:eastAsia="Calibri" w:cs="Arial"/>
          <w:b/>
          <w:szCs w:val="20"/>
          <w:lang w:eastAsia="en-US"/>
        </w:rPr>
        <w:t>άρθρο</w:t>
      </w:r>
      <w:r w:rsidR="005868B3" w:rsidRPr="005868B3">
        <w:rPr>
          <w:rFonts w:eastAsia="Calibri" w:cs="Arial"/>
          <w:b/>
          <w:szCs w:val="20"/>
          <w:lang w:eastAsia="en-US"/>
        </w:rPr>
        <w:t>υ</w:t>
      </w:r>
      <w:r w:rsidRPr="005868B3">
        <w:rPr>
          <w:rFonts w:eastAsia="Calibri" w:cs="Arial"/>
          <w:b/>
          <w:szCs w:val="20"/>
          <w:lang w:eastAsia="en-US"/>
        </w:rPr>
        <w:t xml:space="preserve"> 58 του ν.4270/2014, Α’ 143</w:t>
      </w:r>
      <w:r w:rsidRPr="005868B3">
        <w:rPr>
          <w:rFonts w:cs="Arial"/>
          <w:b/>
          <w:szCs w:val="20"/>
        </w:rPr>
        <w:t>)</w:t>
      </w:r>
    </w:p>
    <w:p w14:paraId="3EC45E77" w14:textId="42214A54" w:rsidR="00F03AC3" w:rsidRDefault="00F03AC3" w:rsidP="00F03AC3">
      <w:pPr>
        <w:spacing w:before="240" w:after="0"/>
        <w:ind w:left="425" w:right="652"/>
        <w:rPr>
          <w:rFonts w:eastAsia="Calibri" w:cs="Arial"/>
          <w:szCs w:val="20"/>
          <w:lang w:eastAsia="en-US"/>
        </w:rPr>
      </w:pPr>
      <w:r>
        <w:rPr>
          <w:rFonts w:eastAsia="Calibri" w:cs="Arial"/>
          <w:szCs w:val="20"/>
          <w:lang w:val="en-US" w:eastAsia="en-US"/>
        </w:rPr>
        <w:t>To</w:t>
      </w:r>
      <w:r w:rsidRPr="00B640AF">
        <w:rPr>
          <w:rFonts w:eastAsia="Calibri" w:cs="Arial"/>
          <w:szCs w:val="20"/>
          <w:lang w:eastAsia="en-US"/>
        </w:rPr>
        <w:t xml:space="preserve"> </w:t>
      </w:r>
      <w:r w:rsidRPr="005868B3">
        <w:rPr>
          <w:rFonts w:eastAsia="Calibri" w:cs="Arial"/>
          <w:szCs w:val="20"/>
          <w:lang w:eastAsia="en-US"/>
        </w:rPr>
        <w:t>Ελληνικό Δημοσιονομικό Συμβούλιο</w:t>
      </w:r>
      <w:r w:rsidRPr="00B640AF">
        <w:rPr>
          <w:rFonts w:eastAsia="Calibri" w:cs="Arial"/>
          <w:szCs w:val="20"/>
          <w:lang w:eastAsia="en-US"/>
        </w:rPr>
        <w:t xml:space="preserve"> </w:t>
      </w:r>
      <w:r w:rsidRPr="00B313A9">
        <w:rPr>
          <w:rFonts w:eastAsia="Calibri" w:cs="Arial"/>
          <w:szCs w:val="20"/>
          <w:lang w:eastAsia="en-US"/>
        </w:rPr>
        <w:t>υιοθετεί</w:t>
      </w:r>
      <w:r w:rsidRPr="00B640AF">
        <w:rPr>
          <w:rFonts w:eastAsia="Calibri" w:cs="Arial"/>
          <w:szCs w:val="20"/>
          <w:lang w:eastAsia="en-US"/>
        </w:rPr>
        <w:t xml:space="preserve"> τις μακροοικονομικές προβλέψεις </w:t>
      </w:r>
      <w:r>
        <w:rPr>
          <w:rFonts w:eastAsia="Calibri" w:cs="Arial"/>
          <w:szCs w:val="20"/>
          <w:lang w:eastAsia="en-US"/>
        </w:rPr>
        <w:t>στις οποίες</w:t>
      </w:r>
      <w:r w:rsidRPr="00B640AF">
        <w:rPr>
          <w:rFonts w:eastAsia="Calibri" w:cs="Arial"/>
          <w:szCs w:val="20"/>
          <w:lang w:eastAsia="en-US"/>
        </w:rPr>
        <w:t xml:space="preserve"> βασίζεται το </w:t>
      </w:r>
      <w:r>
        <w:rPr>
          <w:rFonts w:eastAsia="Calibri" w:cs="Arial"/>
          <w:szCs w:val="20"/>
          <w:lang w:eastAsia="en-US"/>
        </w:rPr>
        <w:t>π</w:t>
      </w:r>
      <w:r w:rsidRPr="00B640AF">
        <w:rPr>
          <w:rFonts w:eastAsia="Calibri" w:cs="Arial"/>
          <w:szCs w:val="20"/>
          <w:lang w:eastAsia="en-US"/>
        </w:rPr>
        <w:t xml:space="preserve">ροσχέδιο του </w:t>
      </w:r>
      <w:r>
        <w:rPr>
          <w:rFonts w:eastAsia="Calibri" w:cs="Arial"/>
          <w:szCs w:val="20"/>
          <w:lang w:eastAsia="en-US"/>
        </w:rPr>
        <w:t>κ</w:t>
      </w:r>
      <w:r w:rsidRPr="00B640AF">
        <w:rPr>
          <w:rFonts w:eastAsia="Calibri" w:cs="Arial"/>
          <w:szCs w:val="20"/>
          <w:lang w:eastAsia="en-US"/>
        </w:rPr>
        <w:t xml:space="preserve">ρατικού </w:t>
      </w:r>
      <w:r>
        <w:rPr>
          <w:rFonts w:eastAsia="Calibri" w:cs="Arial"/>
          <w:szCs w:val="20"/>
          <w:lang w:eastAsia="en-US"/>
        </w:rPr>
        <w:t>π</w:t>
      </w:r>
      <w:r w:rsidRPr="00B640AF">
        <w:rPr>
          <w:rFonts w:eastAsia="Calibri" w:cs="Arial"/>
          <w:szCs w:val="20"/>
          <w:lang w:eastAsia="en-US"/>
        </w:rPr>
        <w:t xml:space="preserve">ροϋπολογισμού </w:t>
      </w:r>
      <w:r>
        <w:rPr>
          <w:rFonts w:eastAsia="Calibri" w:cs="Arial"/>
          <w:szCs w:val="20"/>
          <w:lang w:eastAsia="en-US"/>
        </w:rPr>
        <w:t xml:space="preserve">οικονομικού έτους </w:t>
      </w:r>
      <w:r w:rsidRPr="00B640AF">
        <w:rPr>
          <w:rFonts w:eastAsia="Calibri" w:cs="Arial"/>
          <w:szCs w:val="20"/>
          <w:lang w:eastAsia="en-US"/>
        </w:rPr>
        <w:t>202</w:t>
      </w:r>
      <w:r w:rsidR="00130B0B">
        <w:rPr>
          <w:rFonts w:eastAsia="Calibri" w:cs="Arial"/>
          <w:szCs w:val="20"/>
          <w:lang w:eastAsia="en-US"/>
        </w:rPr>
        <w:t>7</w:t>
      </w:r>
      <w:r>
        <w:rPr>
          <w:rFonts w:eastAsia="Calibri" w:cs="Arial"/>
          <w:szCs w:val="20"/>
          <w:lang w:eastAsia="en-US"/>
        </w:rPr>
        <w:t>, ενώ παράλληλα, κατόπιν αξιολόγησης των</w:t>
      </w:r>
      <w:r w:rsidRPr="00B640AF">
        <w:rPr>
          <w:rFonts w:eastAsia="Calibri" w:cs="Arial"/>
          <w:szCs w:val="20"/>
          <w:lang w:eastAsia="en-US"/>
        </w:rPr>
        <w:t xml:space="preserve"> δημοσιονομικ</w:t>
      </w:r>
      <w:r>
        <w:rPr>
          <w:rFonts w:eastAsia="Calibri" w:cs="Arial"/>
          <w:szCs w:val="20"/>
          <w:lang w:eastAsia="en-US"/>
        </w:rPr>
        <w:t>ών</w:t>
      </w:r>
      <w:r w:rsidRPr="00B640AF">
        <w:rPr>
          <w:rFonts w:eastAsia="Calibri" w:cs="Arial"/>
          <w:szCs w:val="20"/>
          <w:lang w:eastAsia="en-US"/>
        </w:rPr>
        <w:t xml:space="preserve"> προβλέψε</w:t>
      </w:r>
      <w:r>
        <w:rPr>
          <w:rFonts w:eastAsia="Calibri" w:cs="Arial"/>
          <w:szCs w:val="20"/>
          <w:lang w:eastAsia="en-US"/>
        </w:rPr>
        <w:t>ων, διαπιστώνει</w:t>
      </w:r>
      <w:r w:rsidRPr="00B640AF">
        <w:rPr>
          <w:rFonts w:eastAsia="Calibri" w:cs="Arial"/>
          <w:szCs w:val="20"/>
          <w:lang w:eastAsia="en-US"/>
        </w:rPr>
        <w:t xml:space="preserve"> τη συμμόρφωσ</w:t>
      </w:r>
      <w:r>
        <w:rPr>
          <w:rFonts w:eastAsia="Calibri" w:cs="Arial"/>
          <w:szCs w:val="20"/>
          <w:lang w:eastAsia="en-US"/>
        </w:rPr>
        <w:t>η</w:t>
      </w:r>
      <w:r w:rsidRPr="00B640AF">
        <w:rPr>
          <w:rFonts w:eastAsia="Calibri" w:cs="Arial"/>
          <w:szCs w:val="20"/>
          <w:lang w:eastAsia="en-US"/>
        </w:rPr>
        <w:t xml:space="preserve"> </w:t>
      </w:r>
      <w:r>
        <w:rPr>
          <w:rFonts w:eastAsia="Calibri" w:cs="Arial"/>
          <w:szCs w:val="20"/>
          <w:lang w:eastAsia="en-US"/>
        </w:rPr>
        <w:t>αυτών</w:t>
      </w:r>
      <w:r w:rsidRPr="00B640AF">
        <w:rPr>
          <w:rFonts w:eastAsia="Calibri" w:cs="Arial"/>
          <w:szCs w:val="20"/>
          <w:lang w:eastAsia="en-US"/>
        </w:rPr>
        <w:t xml:space="preserve"> με τους </w:t>
      </w:r>
      <w:r w:rsidR="008C2448">
        <w:rPr>
          <w:rFonts w:eastAsia="Calibri" w:cs="Arial"/>
          <w:szCs w:val="20"/>
          <w:lang w:eastAsia="en-US"/>
        </w:rPr>
        <w:t xml:space="preserve">ειδικούς </w:t>
      </w:r>
      <w:r w:rsidRPr="00B640AF">
        <w:rPr>
          <w:rFonts w:eastAsia="Calibri" w:cs="Arial"/>
          <w:szCs w:val="20"/>
          <w:lang w:eastAsia="en-US"/>
        </w:rPr>
        <w:t>αριθμητικούς δημοσιονομικούς κανόνες.</w:t>
      </w:r>
    </w:p>
    <w:p w14:paraId="7DEFC921" w14:textId="7303FAC9" w:rsidR="00A11329" w:rsidRDefault="00A11329" w:rsidP="005B5B96">
      <w:pPr>
        <w:rPr>
          <w:highlight w:val="yellow"/>
        </w:rPr>
      </w:pPr>
    </w:p>
    <w:p w14:paraId="7AB8DE56" w14:textId="21368A0C" w:rsidR="00A11329" w:rsidRDefault="00A11329" w:rsidP="005B5B96">
      <w:pPr>
        <w:rPr>
          <w:highlight w:val="yellow"/>
        </w:rPr>
      </w:pPr>
    </w:p>
    <w:p w14:paraId="65FB5727" w14:textId="77777777" w:rsidR="00A11329" w:rsidRDefault="00A11329" w:rsidP="005B5B96">
      <w:pPr>
        <w:rPr>
          <w:highlight w:val="yellow"/>
        </w:rPr>
      </w:pPr>
    </w:p>
    <w:p w14:paraId="413DE657" w14:textId="2FA910D5" w:rsidR="00041D44" w:rsidRDefault="00041D44">
      <w:pPr>
        <w:spacing w:after="0" w:line="240" w:lineRule="auto"/>
        <w:jc w:val="left"/>
        <w:rPr>
          <w:highlight w:val="yellow"/>
        </w:rPr>
      </w:pPr>
      <w:r>
        <w:rPr>
          <w:highlight w:val="yellow"/>
        </w:rPr>
        <w:br w:type="page"/>
      </w:r>
    </w:p>
    <w:p w14:paraId="03877797" w14:textId="77777777" w:rsidR="007B4361" w:rsidRPr="003652CF" w:rsidRDefault="007B4361" w:rsidP="00041D44">
      <w:pPr>
        <w:rPr>
          <w:highlight w:val="yellow"/>
        </w:rPr>
      </w:pPr>
    </w:p>
    <w:p w14:paraId="7F037FF8" w14:textId="77777777" w:rsidR="007B4361" w:rsidRPr="003652CF" w:rsidRDefault="007B4361" w:rsidP="00BB55F9">
      <w:pPr>
        <w:tabs>
          <w:tab w:val="left" w:pos="2100"/>
        </w:tabs>
        <w:rPr>
          <w:rFonts w:ascii="Arial Narrow" w:hAnsi="Arial Narrow"/>
          <w:sz w:val="40"/>
          <w:szCs w:val="22"/>
          <w:highlight w:val="yellow"/>
        </w:rPr>
        <w:sectPr w:rsidR="007B4361" w:rsidRPr="003652CF" w:rsidSect="00A20B6E">
          <w:headerReference w:type="even" r:id="rId10"/>
          <w:pgSz w:w="11906" w:h="16838" w:code="9"/>
          <w:pgMar w:top="1310" w:right="1418" w:bottom="1310" w:left="1418" w:header="652" w:footer="652" w:gutter="0"/>
          <w:pgNumType w:start="1"/>
          <w:cols w:space="708"/>
          <w:docGrid w:linePitch="360"/>
        </w:sectPr>
      </w:pPr>
    </w:p>
    <w:p w14:paraId="44513C10" w14:textId="77777777" w:rsidR="00AB5E1D" w:rsidRPr="007E531C" w:rsidRDefault="00AB5E1D" w:rsidP="008462EC">
      <w:pPr>
        <w:pStyle w:val="1"/>
        <w:keepNext w:val="0"/>
      </w:pPr>
      <w:bookmarkStart w:id="0" w:name="_Toc242019533"/>
      <w:bookmarkStart w:id="1" w:name="OLE_LINK1"/>
      <w:bookmarkEnd w:id="0"/>
    </w:p>
    <w:p w14:paraId="7B7A0C19" w14:textId="77777777" w:rsidR="00AB5E1D" w:rsidRPr="00B70FB5" w:rsidRDefault="00AB5E1D" w:rsidP="008462EC">
      <w:pPr>
        <w:pStyle w:val="2"/>
        <w:keepNext w:val="0"/>
        <w:rPr>
          <w:lang w:val="en-US"/>
        </w:rPr>
      </w:pPr>
      <w:bookmarkStart w:id="2" w:name="_Toc242019534"/>
      <w:r w:rsidRPr="006A035C">
        <w:t>ΟΙΚΟΝΟΜΙΚΕΣ</w:t>
      </w:r>
      <w:r w:rsidRPr="00B067F4">
        <w:t xml:space="preserve"> ΕΞΕΛΙΞΕΙΣ</w:t>
      </w:r>
      <w:r>
        <w:t xml:space="preserve"> </w:t>
      </w:r>
      <w:r w:rsidRPr="00B067F4">
        <w:t>ΚΑΙ ΠΡΟΟΠΤΙΚΕΣ</w:t>
      </w:r>
      <w:bookmarkEnd w:id="2"/>
    </w:p>
    <w:p w14:paraId="142F1691" w14:textId="00A6B556" w:rsidR="00AB5E1D" w:rsidRPr="007C5924" w:rsidRDefault="00AB5E1D" w:rsidP="008462EC">
      <w:pPr>
        <w:pStyle w:val="3"/>
        <w:keepNext w:val="0"/>
      </w:pPr>
      <w:bookmarkStart w:id="3" w:name="_Toc242019535"/>
      <w:r w:rsidRPr="00F44BF9">
        <w:t>Μακροοικονομικές</w:t>
      </w:r>
      <w:r w:rsidRPr="007C5924">
        <w:t xml:space="preserve"> εξελίξεις </w:t>
      </w:r>
      <w:r w:rsidRPr="00C047FE">
        <w:t>το 202</w:t>
      </w:r>
      <w:r w:rsidR="006A4C4B">
        <w:rPr>
          <w:lang w:val="el-GR"/>
        </w:rPr>
        <w:t>6</w:t>
      </w:r>
      <w:bookmarkEnd w:id="3"/>
    </w:p>
    <w:p w14:paraId="100F644C" w14:textId="7DCF96F7" w:rsidR="006A4C4B" w:rsidRPr="005A133C" w:rsidRDefault="006A4C4B" w:rsidP="004736DE">
      <w:r w:rsidRPr="005A133C">
        <w:t xml:space="preserve">Το </w:t>
      </w:r>
      <w:r w:rsidR="00615638" w:rsidRPr="00615638">
        <w:t xml:space="preserve">2026 </w:t>
      </w:r>
      <w:r w:rsidR="00615638">
        <w:t xml:space="preserve">το </w:t>
      </w:r>
      <w:r w:rsidRPr="005A133C">
        <w:t xml:space="preserve">διεθνές οικονομικό περιβάλλον </w:t>
      </w:r>
      <w:r w:rsidR="00020AFD">
        <w:t>διέπεται</w:t>
      </w:r>
      <w:r w:rsidRPr="005A133C">
        <w:t xml:space="preserve"> από αυξημένη γεωπολιτική αβεβαιότητα, διαταραχές στις αγορές ενέργειας και ενίσχυση των περιορισμών στο διεθνές εμπόριο. Οι συνεχιζόμενες γεωπολιτικές εντάσεις στην Ουκρανία και στη Μέση Ανατολή επηρέασαν τις διεθνείς ενεργειακές αγορές και τις θαλάσσιες εμπορικές ροές, ιδίως μέσω των Στενών του </w:t>
      </w:r>
      <w:proofErr w:type="spellStart"/>
      <w:r w:rsidRPr="005A133C">
        <w:t>Ορμούζ</w:t>
      </w:r>
      <w:proofErr w:type="spellEnd"/>
      <w:r w:rsidRPr="005A133C">
        <w:t>, απ</w:t>
      </w:r>
      <w:r w:rsidR="00615638">
        <w:t>ό</w:t>
      </w:r>
      <w:r w:rsidRPr="005A133C">
        <w:t xml:space="preserve"> όπου διέρχεται περίπου το ένα πέμπτο της παγκόσμιας προσφοράς πετρελαίου. Οι εξελίξεις αυτές συν</w:t>
      </w:r>
      <w:r w:rsidR="00615638">
        <w:t xml:space="preserve">ετέλεσαν </w:t>
      </w:r>
      <w:r w:rsidR="006E4E52">
        <w:t xml:space="preserve">σε ισχυρές διακυμάνσεις και σημαντικές αυξήσεις των </w:t>
      </w:r>
      <w:r w:rsidRPr="005A133C">
        <w:t xml:space="preserve">τιμών της ενέργειας </w:t>
      </w:r>
      <w:r w:rsidR="006E4E52">
        <w:t xml:space="preserve">καθώς </w:t>
      </w:r>
      <w:r w:rsidRPr="005A133C">
        <w:t>και σε περαιτέρω προσαρμογές των παγκ</w:t>
      </w:r>
      <w:r w:rsidR="00615638">
        <w:t>ο</w:t>
      </w:r>
      <w:r w:rsidRPr="005A133C">
        <w:t>σμ</w:t>
      </w:r>
      <w:r w:rsidR="00615638">
        <w:t>ί</w:t>
      </w:r>
      <w:r w:rsidRPr="005A133C">
        <w:t>ων εφοδιαστικών αλυσίδων, με αρνητικές επιδράσεις στην οικονομική δραστηριότητα και στο διεθνές εμπόριο. Παράλληλα, οι περιορισμοί στην προσφορά λιπασμάτων από την περιοχή του Περσικού Κόλπου άσκησαν πρόσθετες</w:t>
      </w:r>
      <w:r w:rsidR="006E4E52">
        <w:t xml:space="preserve"> ανοδικές</w:t>
      </w:r>
      <w:r w:rsidRPr="005A133C">
        <w:t xml:space="preserve"> πιέσεις στις διεθνείς τιμές των τροφίμων και κατ’ επέκταση στον πληθωρισμό. Στο πεδίο της εμπορικής πολιτικής η αυξημένη αβεβαιότητα ως προς το διεθνές εμπορικό πλαίσιο επηρεάζ</w:t>
      </w:r>
      <w:r>
        <w:t>ει</w:t>
      </w:r>
      <w:r w:rsidRPr="005A133C">
        <w:t xml:space="preserve"> αρνητικά τις επενδυτικές αποφάσεις</w:t>
      </w:r>
      <w:r>
        <w:t>.</w:t>
      </w:r>
    </w:p>
    <w:p w14:paraId="39875F79" w14:textId="05E5F2C6" w:rsidR="006A4C4B" w:rsidRDefault="006A4C4B" w:rsidP="004736DE">
      <w:r w:rsidRPr="005A133C">
        <w:t xml:space="preserve">Η αύξηση των διεθνών τιμών της ενέργειας ανέκοψε εντός του 2026 την προηγούμενη πορεία αποκλιμάκωσης του πληθωρισμού, ενισχύοντας εκ νέου τις πιέσεις από την πλευρά της προσφοράς. Η αντιμετώπιση των </w:t>
      </w:r>
      <w:r w:rsidR="00335732">
        <w:t xml:space="preserve">εν λόγω </w:t>
      </w:r>
      <w:r w:rsidRPr="005A133C">
        <w:t xml:space="preserve">πιέσεων μέσω της νομισματικής πολιτικής καθίσταται δυσχερέστερη σε συνθήκες ταυτόχρονης επιβράδυνσης της οικονομικής δραστηριότητας. Στην Ευρωζώνη ο εναρμονισμένος πληθωρισμός διαμορφώθηκε σε 3,2% τον Μάιο 2026, 2,8% τον Ιούνιο, 2,9% τον Ιούλιο και 3,2% τον Αύγουστο, ενώ τον τελευταίο μήνα ο ετήσιος ρυθμός μεταβολής των τιμών της ενέργειας ανήλθε σε </w:t>
      </w:r>
      <w:r w:rsidRPr="004662D5">
        <w:t>14,3%.</w:t>
      </w:r>
      <w:r w:rsidRPr="005A133C">
        <w:t xml:space="preserve"> Υπό τις συνθήκες αυτές η Ευρωπαϊκή Κεντρική Τράπεζα (ΕΚΤ) διέκοψε τον κύκλο χαλάρωσης της νομισματικής πολιτικής και </w:t>
      </w:r>
      <w:r w:rsidR="00335732">
        <w:t>προέβη</w:t>
      </w:r>
      <w:r w:rsidRPr="005A133C">
        <w:t xml:space="preserve"> σε αυξήσεις των βασικών επιτοκίων κατά 25 μονάδες βάσης τον Ιούνιο και τον Σεπτέμβριο 2026, με το επιτόκιο της διευκόλυνσης αποδοχής καταθέσεων να διαμορφώνεται σε 2,5%.</w:t>
      </w:r>
    </w:p>
    <w:p w14:paraId="52D4B3CA" w14:textId="34D0A747" w:rsidR="00FC0004" w:rsidRPr="001C1B00" w:rsidRDefault="001C1B00" w:rsidP="00863B6F">
      <w:pPr>
        <w:pStyle w:val="afc"/>
        <w:keepNext/>
        <w:spacing w:before="240" w:after="60" w:line="276" w:lineRule="auto"/>
        <w:jc w:val="center"/>
        <w:rPr>
          <w:color w:val="000000"/>
          <w:sz w:val="18"/>
          <w:szCs w:val="18"/>
        </w:rPr>
      </w:pPr>
      <w:bookmarkStart w:id="4" w:name="_Ref241224968"/>
      <w:bookmarkStart w:id="5" w:name="_Toc241773236"/>
      <w:r w:rsidRPr="001C1B00">
        <w:rPr>
          <w:sz w:val="18"/>
          <w:szCs w:val="18"/>
        </w:rPr>
        <w:t>Διάγραμμα 1.</w:t>
      </w:r>
      <w:r w:rsidRPr="001C1B00">
        <w:rPr>
          <w:sz w:val="18"/>
          <w:szCs w:val="18"/>
        </w:rPr>
        <w:fldChar w:fldCharType="begin"/>
      </w:r>
      <w:r w:rsidRPr="001C1B00">
        <w:rPr>
          <w:sz w:val="18"/>
          <w:szCs w:val="18"/>
        </w:rPr>
        <w:instrText xml:space="preserve"> SEQ Διάγραμμα_1. \* ARABIC </w:instrText>
      </w:r>
      <w:r w:rsidRPr="001C1B00">
        <w:rPr>
          <w:sz w:val="18"/>
          <w:szCs w:val="18"/>
        </w:rPr>
        <w:fldChar w:fldCharType="separate"/>
      </w:r>
      <w:r w:rsidR="007F6D9C">
        <w:rPr>
          <w:noProof/>
          <w:sz w:val="18"/>
          <w:szCs w:val="18"/>
        </w:rPr>
        <w:t>1</w:t>
      </w:r>
      <w:r w:rsidRPr="001C1B00">
        <w:rPr>
          <w:sz w:val="18"/>
          <w:szCs w:val="18"/>
        </w:rPr>
        <w:fldChar w:fldCharType="end"/>
      </w:r>
      <w:bookmarkEnd w:id="4"/>
      <w:r w:rsidRPr="001C1B00">
        <w:rPr>
          <w:sz w:val="18"/>
          <w:szCs w:val="18"/>
        </w:rPr>
        <w:t xml:space="preserve">.: </w:t>
      </w:r>
      <w:r w:rsidR="00E332B8" w:rsidRPr="001C1B00">
        <w:rPr>
          <w:color w:val="000000"/>
          <w:sz w:val="18"/>
          <w:szCs w:val="18"/>
        </w:rPr>
        <w:t>Ετήσιος ρυθμός μεταβολής του πραγματικού ΑΕΠ στα κράτη</w:t>
      </w:r>
      <w:r w:rsidRPr="001C1B00">
        <w:rPr>
          <w:color w:val="000000"/>
          <w:sz w:val="18"/>
          <w:szCs w:val="18"/>
        </w:rPr>
        <w:t xml:space="preserve"> </w:t>
      </w:r>
      <w:r w:rsidR="00E332B8" w:rsidRPr="001C1B00">
        <w:rPr>
          <w:color w:val="000000"/>
          <w:sz w:val="18"/>
          <w:szCs w:val="18"/>
        </w:rPr>
        <w:t>-</w:t>
      </w:r>
      <w:r w:rsidRPr="001C1B00">
        <w:rPr>
          <w:color w:val="000000"/>
          <w:sz w:val="18"/>
          <w:szCs w:val="18"/>
        </w:rPr>
        <w:t xml:space="preserve"> </w:t>
      </w:r>
      <w:r w:rsidR="00E332B8" w:rsidRPr="001C1B00">
        <w:rPr>
          <w:color w:val="000000"/>
          <w:sz w:val="18"/>
          <w:szCs w:val="18"/>
        </w:rPr>
        <w:t>μέλη της ΕΕ,</w:t>
      </w:r>
      <w:r>
        <w:rPr>
          <w:color w:val="000000"/>
          <w:sz w:val="18"/>
          <w:szCs w:val="18"/>
        </w:rPr>
        <w:br/>
      </w:r>
      <w:r w:rsidR="00E332B8" w:rsidRPr="001C1B00">
        <w:rPr>
          <w:color w:val="000000"/>
          <w:sz w:val="18"/>
          <w:szCs w:val="18"/>
        </w:rPr>
        <w:t>2ο τρίμηνο 2026 (%)</w:t>
      </w:r>
      <w:bookmarkEnd w:id="5"/>
    </w:p>
    <w:p w14:paraId="4BEFAD4B" w14:textId="3F18C8A9" w:rsidR="001C1B00" w:rsidRDefault="00C61BF5" w:rsidP="00EA2D0D">
      <w:pPr>
        <w:spacing w:after="0"/>
        <w:jc w:val="center"/>
      </w:pPr>
      <w:r>
        <w:rPr>
          <w:noProof/>
        </w:rPr>
        <w:drawing>
          <wp:inline distT="0" distB="0" distL="0" distR="0" wp14:anchorId="34D6DB27" wp14:editId="5F5B1AA1">
            <wp:extent cx="5759450" cy="2520000"/>
            <wp:effectExtent l="0" t="0" r="12700" b="13970"/>
            <wp:docPr id="11" name="Γράφημα 11">
              <a:extLst xmlns:a="http://schemas.openxmlformats.org/drawingml/2006/main">
                <a:ext uri="{FF2B5EF4-FFF2-40B4-BE49-F238E27FC236}">
                  <a16:creationId xmlns:a16="http://schemas.microsoft.com/office/drawing/2014/main" id="{84A0940F-D5AA-46BD-A7D1-D7E9C84813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69AF65" w14:textId="77777777" w:rsidR="004169E1" w:rsidRDefault="004169E1" w:rsidP="001405D3">
      <w:pPr>
        <w:spacing w:before="60" w:after="240" w:line="276" w:lineRule="auto"/>
        <w:rPr>
          <w:rFonts w:cs="Arial"/>
          <w:color w:val="000000"/>
          <w:sz w:val="16"/>
          <w:szCs w:val="16"/>
        </w:rPr>
      </w:pPr>
      <w:r>
        <w:rPr>
          <w:rFonts w:cs="Arial"/>
          <w:color w:val="000000"/>
          <w:sz w:val="16"/>
          <w:szCs w:val="16"/>
        </w:rPr>
        <w:t xml:space="preserve">Πηγή: Τριμηνιαίοι Εθνικοί Λογαριασμοί (ΕΛΣΤΑΤ, </w:t>
      </w:r>
      <w:proofErr w:type="spellStart"/>
      <w:r>
        <w:rPr>
          <w:rFonts w:cs="Arial"/>
          <w:color w:val="000000"/>
          <w:sz w:val="16"/>
          <w:szCs w:val="16"/>
        </w:rPr>
        <w:t>Eurostat</w:t>
      </w:r>
      <w:proofErr w:type="spellEnd"/>
      <w:r>
        <w:rPr>
          <w:rFonts w:cs="Arial"/>
          <w:color w:val="000000"/>
          <w:sz w:val="16"/>
          <w:szCs w:val="16"/>
        </w:rPr>
        <w:t>), επεξεργασία Υπουργείου Εθνικής Οικονομίας και Οικονομικών</w:t>
      </w:r>
    </w:p>
    <w:p w14:paraId="354759F1" w14:textId="73E7C0A4" w:rsidR="001405D3" w:rsidRPr="008E7700" w:rsidRDefault="001405D3" w:rsidP="001405D3">
      <w:r w:rsidRPr="006B01F2">
        <w:t>Παρά την αυξημένη αβεβαιότητα</w:t>
      </w:r>
      <w:r>
        <w:t xml:space="preserve"> η ελληνική οικονομία </w:t>
      </w:r>
      <w:r w:rsidRPr="006B01F2">
        <w:t>διατηρεί θετικό ρυθμό μεγέθυνσης, υψηλότερο από τους αντ</w:t>
      </w:r>
      <w:r w:rsidR="008A65BC">
        <w:t>ί</w:t>
      </w:r>
      <w:r w:rsidRPr="006B01F2">
        <w:t>στο</w:t>
      </w:r>
      <w:r w:rsidR="008A65BC">
        <w:t>ι</w:t>
      </w:r>
      <w:r w:rsidRPr="006B01F2">
        <w:t>χους μέσους όρους της Ευρωζώνης και της Ευρωπαϊκής Ένωσης (ΕΕ). Η εξέλιξη αυτή συνεχίζει την τάση των προηγο</w:t>
      </w:r>
      <w:r w:rsidR="0098347C">
        <w:t>ύ</w:t>
      </w:r>
      <w:r w:rsidRPr="006B01F2">
        <w:t>μ</w:t>
      </w:r>
      <w:r w:rsidR="0098347C">
        <w:t>ε</w:t>
      </w:r>
      <w:r w:rsidRPr="006B01F2">
        <w:t xml:space="preserve">νων ετών, </w:t>
      </w:r>
      <w:r w:rsidR="00335732">
        <w:t>δεδομένου ότι</w:t>
      </w:r>
      <w:r w:rsidRPr="006B01F2">
        <w:t xml:space="preserve"> κατά την περίοδο 2021</w:t>
      </w:r>
      <w:r>
        <w:t xml:space="preserve"> </w:t>
      </w:r>
      <w:r w:rsidRPr="006B01F2">
        <w:t>-</w:t>
      </w:r>
      <w:r>
        <w:t xml:space="preserve"> </w:t>
      </w:r>
      <w:r w:rsidRPr="006B01F2">
        <w:t xml:space="preserve">2025 ο ετήσιος ρυθμός μεταβολής του πραγματικού </w:t>
      </w:r>
      <w:r w:rsidR="005E0234">
        <w:t>Ακαθάριστου Εγχώριου Προϊόντος (</w:t>
      </w:r>
      <w:r w:rsidRPr="006B01F2">
        <w:t>ΑΕΠ</w:t>
      </w:r>
      <w:r w:rsidR="005E0234">
        <w:t>)</w:t>
      </w:r>
      <w:r w:rsidRPr="006B01F2">
        <w:t xml:space="preserve"> της Ελλάδας υπερέβη τους αντ</w:t>
      </w:r>
      <w:r w:rsidR="0098347C">
        <w:t>ί</w:t>
      </w:r>
      <w:r w:rsidRPr="006B01F2">
        <w:t>στο</w:t>
      </w:r>
      <w:r w:rsidR="0098347C">
        <w:t>ι</w:t>
      </w:r>
      <w:r w:rsidRPr="006B01F2">
        <w:t xml:space="preserve">χους ρυθμούς </w:t>
      </w:r>
      <w:r w:rsidRPr="008E7700">
        <w:t>της Ευρωζώνης</w:t>
      </w:r>
      <w:r w:rsidRPr="008E7700">
        <w:rPr>
          <w:rStyle w:val="ab"/>
          <w:color w:val="000000"/>
        </w:rPr>
        <w:footnoteReference w:id="2"/>
      </w:r>
      <w:r w:rsidRPr="008E7700">
        <w:t xml:space="preserve"> και της</w:t>
      </w:r>
      <w:r w:rsidRPr="006B01F2">
        <w:t xml:space="preserve"> ΕΕ.</w:t>
      </w:r>
      <w:r>
        <w:t xml:space="preserve"> Ειδικότερα, κατά το 2ο τρίμηνο του 2026, σύμφωνα με τα στοιχεία της </w:t>
      </w:r>
      <w:r w:rsidR="002453B8" w:rsidRPr="002453B8">
        <w:t xml:space="preserve">Ευρωπαϊκής Στατιστικής </w:t>
      </w:r>
      <w:r w:rsidR="002453B8" w:rsidRPr="008E7700">
        <w:t>Υπηρεσίας (</w:t>
      </w:r>
      <w:r w:rsidRPr="008E7700">
        <w:t>Eurostat</w:t>
      </w:r>
      <w:r w:rsidR="002453B8" w:rsidRPr="008E7700">
        <w:t>)</w:t>
      </w:r>
      <w:r w:rsidRPr="008E7700">
        <w:rPr>
          <w:rStyle w:val="ab"/>
          <w:color w:val="000000"/>
        </w:rPr>
        <w:footnoteReference w:id="3"/>
      </w:r>
      <w:r w:rsidRPr="008E7700">
        <w:t>, ο</w:t>
      </w:r>
      <w:r>
        <w:t xml:space="preserve"> ετήσιος ρυθμός μεταβολής του πραγματικού ΑΕΠ της Ελλάδας διαμορφώθηκε σε 1,9%</w:t>
      </w:r>
      <w:r w:rsidR="008A1D9B">
        <w:t xml:space="preserve"> </w:t>
      </w:r>
      <w:r>
        <w:t xml:space="preserve">έναντι 1,2% στην Ευρωζώνη και 1,4% στην ΕΕ, όπως αποτυπώνεται </w:t>
      </w:r>
      <w:r w:rsidRPr="008E7700">
        <w:t xml:space="preserve">στο </w:t>
      </w:r>
      <w:r w:rsidRPr="008E7700">
        <w:fldChar w:fldCharType="begin"/>
      </w:r>
      <w:r w:rsidRPr="008E7700">
        <w:instrText xml:space="preserve"> REF _Ref241224968 \h  \* MERGEFORMAT </w:instrText>
      </w:r>
      <w:r w:rsidRPr="008E7700">
        <w:fldChar w:fldCharType="separate"/>
      </w:r>
      <w:r w:rsidR="007F6D9C" w:rsidRPr="008E7700">
        <w:t>Διάγραμμα 1.1</w:t>
      </w:r>
      <w:r w:rsidRPr="008E7700">
        <w:fldChar w:fldCharType="end"/>
      </w:r>
      <w:r w:rsidRPr="008E7700">
        <w:t>.</w:t>
      </w:r>
    </w:p>
    <w:p w14:paraId="595F5124" w14:textId="453889FB" w:rsidR="004169E1" w:rsidRDefault="00D63D01" w:rsidP="00337F29">
      <w:pPr>
        <w:pStyle w:val="afc"/>
        <w:keepNext/>
        <w:spacing w:before="240" w:after="60" w:line="276" w:lineRule="auto"/>
        <w:jc w:val="center"/>
        <w:rPr>
          <w:sz w:val="18"/>
          <w:szCs w:val="18"/>
        </w:rPr>
      </w:pPr>
      <w:bookmarkStart w:id="6" w:name="_Ref241254562"/>
      <w:bookmarkStart w:id="7" w:name="_Toc241773237"/>
      <w:r w:rsidRPr="00D63D01">
        <w:rPr>
          <w:sz w:val="18"/>
          <w:szCs w:val="18"/>
        </w:rPr>
        <w:t>Διάγραμμα 1.</w:t>
      </w:r>
      <w:r w:rsidRPr="00D63D01">
        <w:rPr>
          <w:sz w:val="18"/>
          <w:szCs w:val="18"/>
        </w:rPr>
        <w:fldChar w:fldCharType="begin"/>
      </w:r>
      <w:r w:rsidRPr="00D63D01">
        <w:rPr>
          <w:sz w:val="18"/>
          <w:szCs w:val="18"/>
        </w:rPr>
        <w:instrText xml:space="preserve"> SEQ Διάγραμμα_1. \* ARABIC </w:instrText>
      </w:r>
      <w:r w:rsidRPr="00D63D01">
        <w:rPr>
          <w:sz w:val="18"/>
          <w:szCs w:val="18"/>
        </w:rPr>
        <w:fldChar w:fldCharType="separate"/>
      </w:r>
      <w:r w:rsidR="007F6D9C">
        <w:rPr>
          <w:noProof/>
          <w:sz w:val="18"/>
          <w:szCs w:val="18"/>
        </w:rPr>
        <w:t>2</w:t>
      </w:r>
      <w:r w:rsidRPr="00D63D01">
        <w:rPr>
          <w:sz w:val="18"/>
          <w:szCs w:val="18"/>
        </w:rPr>
        <w:fldChar w:fldCharType="end"/>
      </w:r>
      <w:bookmarkEnd w:id="6"/>
      <w:r w:rsidRPr="00D63D01">
        <w:rPr>
          <w:sz w:val="18"/>
          <w:szCs w:val="18"/>
        </w:rPr>
        <w:t xml:space="preserve">.: </w:t>
      </w:r>
      <w:r w:rsidR="004169E1" w:rsidRPr="00D63D01">
        <w:rPr>
          <w:color w:val="000000"/>
          <w:sz w:val="18"/>
          <w:szCs w:val="18"/>
        </w:rPr>
        <w:t>Απόκλιση</w:t>
      </w:r>
      <w:r w:rsidR="004169E1">
        <w:rPr>
          <w:color w:val="000000"/>
          <w:sz w:val="18"/>
          <w:szCs w:val="18"/>
        </w:rPr>
        <w:t xml:space="preserve"> τριμηνιαίου ΑΕΠ και συνιστωσών </w:t>
      </w:r>
      <w:r w:rsidR="0098347C">
        <w:rPr>
          <w:color w:val="000000"/>
          <w:sz w:val="18"/>
          <w:szCs w:val="18"/>
        </w:rPr>
        <w:t>Ελλάδας - Ευρωζώνης</w:t>
      </w:r>
      <w:r w:rsidR="0098347C" w:rsidRPr="0098347C">
        <w:rPr>
          <w:color w:val="000000"/>
          <w:sz w:val="18"/>
          <w:szCs w:val="18"/>
        </w:rPr>
        <w:t xml:space="preserve"> </w:t>
      </w:r>
      <w:r w:rsidR="004169E1">
        <w:rPr>
          <w:color w:val="000000"/>
          <w:sz w:val="18"/>
          <w:szCs w:val="18"/>
          <w:lang w:val="en-US"/>
        </w:rPr>
        <w:t>Q</w:t>
      </w:r>
      <w:r w:rsidR="004169E1" w:rsidRPr="00255DF1">
        <w:rPr>
          <w:color w:val="000000"/>
          <w:sz w:val="18"/>
          <w:szCs w:val="18"/>
        </w:rPr>
        <w:t>4 2019</w:t>
      </w:r>
      <w:r w:rsidR="004169E1">
        <w:rPr>
          <w:color w:val="000000"/>
          <w:sz w:val="18"/>
          <w:szCs w:val="18"/>
        </w:rPr>
        <w:t xml:space="preserve"> </w:t>
      </w:r>
      <w:r w:rsidR="00905578">
        <w:rPr>
          <w:color w:val="000000"/>
          <w:sz w:val="18"/>
          <w:szCs w:val="18"/>
        </w:rPr>
        <w:t>-</w:t>
      </w:r>
      <w:r w:rsidR="004169E1">
        <w:rPr>
          <w:color w:val="000000"/>
          <w:sz w:val="18"/>
          <w:szCs w:val="18"/>
        </w:rPr>
        <w:t xml:space="preserve"> </w:t>
      </w:r>
      <w:r w:rsidR="004169E1">
        <w:rPr>
          <w:color w:val="000000"/>
          <w:sz w:val="18"/>
          <w:szCs w:val="18"/>
          <w:lang w:val="en-US"/>
        </w:rPr>
        <w:t>Q</w:t>
      </w:r>
      <w:r w:rsidR="004169E1" w:rsidRPr="00255DF1">
        <w:rPr>
          <w:color w:val="000000"/>
          <w:sz w:val="18"/>
          <w:szCs w:val="18"/>
        </w:rPr>
        <w:t>2 2026</w:t>
      </w:r>
      <w:r w:rsidR="00337F29">
        <w:rPr>
          <w:color w:val="000000"/>
          <w:sz w:val="18"/>
          <w:szCs w:val="18"/>
        </w:rPr>
        <w:br/>
      </w:r>
      <w:r w:rsidR="004169E1" w:rsidRPr="00337F29">
        <w:rPr>
          <w:sz w:val="18"/>
          <w:szCs w:val="18"/>
        </w:rPr>
        <w:t>(σταθερές τιμές, εποχικά διορθωμένα στοιχεία, ως % του ΑΕΠ 4ου τριμήνου 2019)</w:t>
      </w:r>
      <w:bookmarkEnd w:id="7"/>
    </w:p>
    <w:p w14:paraId="4FD96B7A" w14:textId="7EF4CE78" w:rsidR="001C1B00" w:rsidRDefault="00847919" w:rsidP="002F77F4">
      <w:pPr>
        <w:spacing w:after="0"/>
        <w:jc w:val="center"/>
      </w:pPr>
      <w:r>
        <w:rPr>
          <w:noProof/>
        </w:rPr>
        <w:drawing>
          <wp:inline distT="0" distB="0" distL="0" distR="0" wp14:anchorId="1E518B83" wp14:editId="03AA557A">
            <wp:extent cx="5759450" cy="2628000"/>
            <wp:effectExtent l="0" t="0" r="12700" b="1270"/>
            <wp:docPr id="8" name="Γράφημα 8">
              <a:extLst xmlns:a="http://schemas.openxmlformats.org/drawingml/2006/main">
                <a:ext uri="{FF2B5EF4-FFF2-40B4-BE49-F238E27FC236}">
                  <a16:creationId xmlns:a16="http://schemas.microsoft.com/office/drawing/2014/main" id="{D06ACB4B-3B1A-47FF-AB9F-3C638BFF9C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0A1CA62" w14:textId="77777777" w:rsidR="00DE4331" w:rsidRDefault="00DE4331" w:rsidP="00DE4331"/>
    <w:p w14:paraId="2002897B" w14:textId="553D7A50" w:rsidR="001C1B00" w:rsidRDefault="0059403B" w:rsidP="002F77F4">
      <w:pPr>
        <w:spacing w:after="0"/>
        <w:jc w:val="center"/>
      </w:pPr>
      <w:r>
        <w:rPr>
          <w:noProof/>
        </w:rPr>
        <w:drawing>
          <wp:inline distT="0" distB="0" distL="0" distR="0" wp14:anchorId="328A3BA2" wp14:editId="389DD262">
            <wp:extent cx="5759450" cy="2628000"/>
            <wp:effectExtent l="0" t="0" r="12700" b="1270"/>
            <wp:docPr id="9" name="Γράφημα 9">
              <a:extLst xmlns:a="http://schemas.openxmlformats.org/drawingml/2006/main">
                <a:ext uri="{FF2B5EF4-FFF2-40B4-BE49-F238E27FC236}">
                  <a16:creationId xmlns:a16="http://schemas.microsoft.com/office/drawing/2014/main" id="{20EA551A-35EF-46DE-8767-51C5E52F21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DE80F7" w14:textId="7D46534C" w:rsidR="00563F32" w:rsidRPr="00F3421E" w:rsidRDefault="00563F32" w:rsidP="00563F32">
      <w:pPr>
        <w:tabs>
          <w:tab w:val="left" w:pos="0"/>
        </w:tabs>
        <w:spacing w:before="60" w:after="60" w:line="276" w:lineRule="auto"/>
        <w:rPr>
          <w:i/>
          <w:noProof/>
          <w:sz w:val="16"/>
          <w:szCs w:val="16"/>
        </w:rPr>
      </w:pPr>
      <w:r w:rsidRPr="00F3421E">
        <w:rPr>
          <w:b/>
          <w:bCs/>
          <w:i/>
          <w:noProof/>
          <w:sz w:val="16"/>
          <w:szCs w:val="16"/>
        </w:rPr>
        <w:t>Σημείωση</w:t>
      </w:r>
      <w:r w:rsidRPr="00F3421E">
        <w:rPr>
          <w:i/>
          <w:noProof/>
          <w:sz w:val="16"/>
          <w:szCs w:val="16"/>
        </w:rPr>
        <w:t xml:space="preserve">: Η γραμμή αποτυπώνει τη συνολική μεταβολή του πραγματικού ΑΕΠ σε </w:t>
      </w:r>
      <w:r w:rsidR="006542B9">
        <w:rPr>
          <w:i/>
          <w:noProof/>
          <w:sz w:val="16"/>
          <w:szCs w:val="16"/>
        </w:rPr>
        <w:t>σύγκριση</w:t>
      </w:r>
      <w:r w:rsidRPr="00F3421E">
        <w:rPr>
          <w:i/>
          <w:noProof/>
          <w:sz w:val="16"/>
          <w:szCs w:val="16"/>
        </w:rPr>
        <w:t xml:space="preserve"> με το 4ο τρίμηνο του </w:t>
      </w:r>
      <w:r w:rsidRPr="001D2EB2">
        <w:rPr>
          <w:i/>
          <w:noProof/>
          <w:sz w:val="16"/>
          <w:szCs w:val="16"/>
        </w:rPr>
        <w:t>2019, ενώ οι ράβδοι</w:t>
      </w:r>
      <w:r w:rsidRPr="00F3421E">
        <w:rPr>
          <w:i/>
          <w:noProof/>
          <w:sz w:val="16"/>
          <w:szCs w:val="16"/>
        </w:rPr>
        <w:t xml:space="preserve"> αποτυπώνουν τη συμβολή των επιμέρους συνιστωσών στη</w:t>
      </w:r>
      <w:r w:rsidR="00DF40C2">
        <w:rPr>
          <w:i/>
          <w:noProof/>
          <w:sz w:val="16"/>
          <w:szCs w:val="16"/>
        </w:rPr>
        <w:t>ν</w:t>
      </w:r>
      <w:r w:rsidRPr="00F3421E">
        <w:rPr>
          <w:i/>
          <w:noProof/>
          <w:sz w:val="16"/>
          <w:szCs w:val="16"/>
        </w:rPr>
        <w:t xml:space="preserve"> εν λόγω μεταβολή.</w:t>
      </w:r>
    </w:p>
    <w:p w14:paraId="1E7CAE61" w14:textId="77777777" w:rsidR="008933FC" w:rsidRDefault="008933FC" w:rsidP="00563F32">
      <w:pPr>
        <w:tabs>
          <w:tab w:val="left" w:pos="0"/>
        </w:tabs>
        <w:spacing w:before="60" w:after="240" w:line="276" w:lineRule="auto"/>
        <w:rPr>
          <w:rFonts w:cs="Arial"/>
          <w:color w:val="000000"/>
          <w:sz w:val="16"/>
          <w:szCs w:val="16"/>
        </w:rPr>
      </w:pPr>
      <w:r>
        <w:rPr>
          <w:rFonts w:cs="Arial"/>
          <w:color w:val="000000"/>
          <w:sz w:val="16"/>
          <w:szCs w:val="16"/>
        </w:rPr>
        <w:t xml:space="preserve">Πηγή: Τριμηνιαίοι Εθνικοί Λογαριασμοί (ΕΛΣΤΑΤ, </w:t>
      </w:r>
      <w:proofErr w:type="spellStart"/>
      <w:r>
        <w:rPr>
          <w:rFonts w:cs="Arial"/>
          <w:color w:val="000000"/>
          <w:sz w:val="16"/>
          <w:szCs w:val="16"/>
        </w:rPr>
        <w:t>Eurostat</w:t>
      </w:r>
      <w:proofErr w:type="spellEnd"/>
      <w:r>
        <w:rPr>
          <w:rFonts w:cs="Arial"/>
          <w:color w:val="000000"/>
          <w:sz w:val="16"/>
          <w:szCs w:val="16"/>
        </w:rPr>
        <w:t>), επεξεργασία Υπουργείου Εθνικής Οικονομίας και Οικονομικών</w:t>
      </w:r>
    </w:p>
    <w:p w14:paraId="6ABF0EEF" w14:textId="7FA3624B" w:rsidR="00337F29" w:rsidRDefault="00337F29" w:rsidP="00337F29">
      <w:r w:rsidRPr="00D96EC1">
        <w:t>Οι ρυθμοί μεταβολής του πραγματικού ΑΕΠ κατά το 2ο τρίμηνο του 2026 παρουσιάζουν σημαντικές διαφοροποιήσεις μεταξύ των κρατών</w:t>
      </w:r>
      <w:r>
        <w:t xml:space="preserve"> </w:t>
      </w:r>
      <w:r w:rsidRPr="00D96EC1">
        <w:t>-</w:t>
      </w:r>
      <w:r>
        <w:t xml:space="preserve"> </w:t>
      </w:r>
      <w:r w:rsidRPr="00D96EC1">
        <w:t xml:space="preserve">μελών της ΕΕ. </w:t>
      </w:r>
      <w:r w:rsidR="007C221B">
        <w:t xml:space="preserve">Οι </w:t>
      </w:r>
      <w:r w:rsidRPr="00D96EC1">
        <w:t>υψηλότερο</w:t>
      </w:r>
      <w:r w:rsidR="007C221B">
        <w:t xml:space="preserve">ι </w:t>
      </w:r>
      <w:r w:rsidRPr="00D96EC1">
        <w:t>ετήσιο</w:t>
      </w:r>
      <w:r w:rsidR="007C221B">
        <w:t>ι</w:t>
      </w:r>
      <w:r w:rsidRPr="00D96EC1">
        <w:t xml:space="preserve"> ρυθμο</w:t>
      </w:r>
      <w:r w:rsidR="007C221B">
        <w:t>ί</w:t>
      </w:r>
      <w:r w:rsidRPr="00D96EC1">
        <w:t xml:space="preserve"> μεταβολής κατ</w:t>
      </w:r>
      <w:r w:rsidR="007C221B">
        <w:t>εγράφησαν στ</w:t>
      </w:r>
      <w:r w:rsidRPr="00D96EC1">
        <w:t xml:space="preserve">η Μάλτα (5,0%), </w:t>
      </w:r>
      <w:r w:rsidR="007C221B">
        <w:t>στ</w:t>
      </w:r>
      <w:r w:rsidRPr="00D96EC1">
        <w:t xml:space="preserve">η Σλοβενία (4,8%) και </w:t>
      </w:r>
      <w:r w:rsidR="007C221B">
        <w:t>στ</w:t>
      </w:r>
      <w:r w:rsidRPr="00D96EC1">
        <w:t xml:space="preserve">η Δανία (4,6%). Αντίθετα, στις μεγαλύτερες οικονομίες της Ευρωζώνης οι ρυθμοί μεγέθυνσης παρέμειναν χαμηλότεροι, με το ΑΕΠ να αυξάνεται κατά 1,0% στη Γερμανία και </w:t>
      </w:r>
      <w:r w:rsidR="007C221B">
        <w:t>σ</w:t>
      </w:r>
      <w:r w:rsidRPr="00D96EC1">
        <w:t>την Ιταλία και κατά 0,5% στη Γαλλία, ενώ αντίστοιχα χαμηλοί ρυθμοί κατ</w:t>
      </w:r>
      <w:r w:rsidR="007C221B">
        <w:t>ε</w:t>
      </w:r>
      <w:r w:rsidRPr="00D96EC1">
        <w:t>γράφη</w:t>
      </w:r>
      <w:r w:rsidR="007C221B">
        <w:t>σ</w:t>
      </w:r>
      <w:r w:rsidRPr="00D96EC1">
        <w:t xml:space="preserve">αν στο Βέλγιο (0,5%) και </w:t>
      </w:r>
      <w:r w:rsidR="007C221B">
        <w:t>σ</w:t>
      </w:r>
      <w:r w:rsidRPr="00D96EC1">
        <w:t>την Αυστρία (0,4%). Αρνητική ετήσια μεταβολή κατ</w:t>
      </w:r>
      <w:r w:rsidR="007C221B">
        <w:t xml:space="preserve">εγράφη </w:t>
      </w:r>
      <w:r w:rsidRPr="00D96EC1">
        <w:t xml:space="preserve">στη Ρουμανία (-2,0%) και </w:t>
      </w:r>
      <w:r w:rsidR="007C221B">
        <w:t>σ</w:t>
      </w:r>
      <w:r w:rsidRPr="00D96EC1">
        <w:t>την Ιρλανδία (-0,4%). Στην περίπτωση της Ιρλανδίας η</w:t>
      </w:r>
      <w:r w:rsidR="007C221B">
        <w:t xml:space="preserve"> εν λόγω</w:t>
      </w:r>
      <w:r w:rsidRPr="00D96EC1">
        <w:t xml:space="preserve"> μεταβολή</w:t>
      </w:r>
      <w:r w:rsidR="007C221B">
        <w:t xml:space="preserve"> </w:t>
      </w:r>
      <w:r w:rsidRPr="00D96EC1">
        <w:t>ακολούθησε τη σημαντική υποχώρηση του ΑΕΠ κατά 13,4% σε ετήσια βάση το 1ο τρίμηνο του 2026.</w:t>
      </w:r>
    </w:p>
    <w:p w14:paraId="3EACE42E" w14:textId="04915A1B" w:rsidR="00337F29" w:rsidRDefault="00337F29" w:rsidP="00337F29">
      <w:r w:rsidRPr="00BC041C">
        <w:t>Πέρα από τη σύγκριση των τρεχόντων ρυθμών μεγέθυνσης, η σωρευτική εξέλιξη του πραγματικού ΑΕΠ μετά το 2019 αποτυπώνει τη διαφοροποίηση της αναπτυξιακής πορείας της Ελλάδας έναντι της Ευρωζώνης.</w:t>
      </w:r>
      <w:r>
        <w:t xml:space="preserve"> </w:t>
      </w:r>
      <w:r w:rsidRPr="00962F59">
        <w:t xml:space="preserve">Η εξέλιξη του πραγματικού ΑΕΠ και η συμβολή των επιμέρους συνιστωσών του </w:t>
      </w:r>
      <w:r w:rsidR="009A5BBD">
        <w:t>συγκριτικά</w:t>
      </w:r>
      <w:r w:rsidRPr="00962F59">
        <w:t xml:space="preserve"> με το προ πανδημίας επίπεδο του 4ου τριμήνου του 2019 παρουσιάζονται </w:t>
      </w:r>
      <w:r w:rsidRPr="008E7700">
        <w:t xml:space="preserve">στο </w:t>
      </w:r>
      <w:r w:rsidRPr="008E7700">
        <w:rPr>
          <w:szCs w:val="20"/>
        </w:rPr>
        <w:fldChar w:fldCharType="begin"/>
      </w:r>
      <w:r w:rsidRPr="008E7700">
        <w:rPr>
          <w:szCs w:val="20"/>
        </w:rPr>
        <w:instrText xml:space="preserve"> REF _Ref241254562 \h  \* MERGEFORMAT </w:instrText>
      </w:r>
      <w:r w:rsidRPr="008E7700">
        <w:rPr>
          <w:szCs w:val="20"/>
        </w:rPr>
      </w:r>
      <w:r w:rsidRPr="008E7700">
        <w:rPr>
          <w:szCs w:val="20"/>
        </w:rPr>
        <w:fldChar w:fldCharType="separate"/>
      </w:r>
      <w:r w:rsidR="007F6D9C" w:rsidRPr="008E7700">
        <w:rPr>
          <w:szCs w:val="20"/>
        </w:rPr>
        <w:t>Διάγραμμα 1.2</w:t>
      </w:r>
      <w:r w:rsidRPr="008E7700">
        <w:rPr>
          <w:szCs w:val="20"/>
        </w:rPr>
        <w:fldChar w:fldCharType="end"/>
      </w:r>
      <w:r w:rsidRPr="008E7700">
        <w:rPr>
          <w:szCs w:val="20"/>
        </w:rPr>
        <w:t xml:space="preserve">. </w:t>
      </w:r>
      <w:r w:rsidRPr="008E7700">
        <w:t>για</w:t>
      </w:r>
      <w:r w:rsidRPr="00962F59">
        <w:t xml:space="preserve"> την Ελλάδα και την Ευρωζώνη.</w:t>
      </w:r>
    </w:p>
    <w:p w14:paraId="395354D4" w14:textId="6BE4DB93" w:rsidR="00454C89" w:rsidRDefault="00454C89" w:rsidP="00454C89">
      <w:r>
        <w:t>Το 2ο τρίμηνο του 2026 αποτέλεσε το εικοστό πρώτο διαδοχικό τρίμηνο θετικού ετ</w:t>
      </w:r>
      <w:r w:rsidR="002D40E4">
        <w:t>ή</w:t>
      </w:r>
      <w:r>
        <w:t>σ</w:t>
      </w:r>
      <w:r w:rsidR="002D40E4">
        <w:t>ι</w:t>
      </w:r>
      <w:r>
        <w:t>ου ρυθμού μεταβολής του πραγματικού ΑΕΠ από το 2ο τρίμηνο του 2021. Ο ετήσιος ρυθμός αύξησης του ΑΕΠ διαμορφώθηκε σε 1,9%, με την ιδιωτική κατανάλωση και τις επενδύσεις παγίου κεφαλαίου να αποτελούν τις βασικές συνιστώσες της εγχ</w:t>
      </w:r>
      <w:r w:rsidR="00892EDE">
        <w:t>ώ</w:t>
      </w:r>
      <w:r>
        <w:t>ρ</w:t>
      </w:r>
      <w:r w:rsidR="00892EDE">
        <w:t>ι</w:t>
      </w:r>
      <w:r>
        <w:t xml:space="preserve">ας ζήτησης. Το εν λόγω τρίμηνο ο ακαθάριστος σχηματισμός παγίου κεφαλαίου αυξήθηκε κατά 6,1% σε </w:t>
      </w:r>
      <w:r w:rsidR="002049C9">
        <w:t>σύγκριση</w:t>
      </w:r>
      <w:r>
        <w:t xml:space="preserve"> με το 2</w:t>
      </w:r>
      <w:r w:rsidR="008E68EB">
        <w:t>ο</w:t>
      </w:r>
      <w:r>
        <w:t xml:space="preserve"> τρίμηνο του 2025, ενώ η κατανάλωση των νοικοκυριών αυξήθηκε κατά 1,7% και η καταναλωτική δαπάνη της Γενικής Κυβέρνησης κατά 1,0%. Επιπλέον, οι εξαγωγές αγαθών και υπηρεσιών αυξήθηκαν κατά 2,2%, με τις εξαγωγές αγαθών να καταγράφουν αύξηση 6,6%. Παράλληλα, οι ταξιδιωτικές εισπράξεις κατά την περίοδο Ιανουαρίου</w:t>
      </w:r>
      <w:r w:rsidR="003F4953">
        <w:t xml:space="preserve"> </w:t>
      </w:r>
      <w:r>
        <w:t>-</w:t>
      </w:r>
      <w:r w:rsidR="007E13FA">
        <w:t xml:space="preserve"> </w:t>
      </w:r>
      <w:r>
        <w:t>Ιουνίου 2026 διαμορφώθηκαν σε 8,</w:t>
      </w:r>
      <w:r w:rsidR="00EE005A">
        <w:t>6</w:t>
      </w:r>
      <w:r>
        <w:t xml:space="preserve"> δισ. ευρώ, αυξημένες κατά 1</w:t>
      </w:r>
      <w:r w:rsidR="00EE005A">
        <w:t>2</w:t>
      </w:r>
      <w:r>
        <w:t>,</w:t>
      </w:r>
      <w:r w:rsidR="00EE005A">
        <w:t>3</w:t>
      </w:r>
      <w:r>
        <w:t xml:space="preserve">% </w:t>
      </w:r>
      <w:r w:rsidR="003008C0">
        <w:t xml:space="preserve">έναντι </w:t>
      </w:r>
      <w:r>
        <w:t>τη</w:t>
      </w:r>
      <w:r w:rsidR="003008C0">
        <w:t>ς</w:t>
      </w:r>
      <w:r>
        <w:t xml:space="preserve"> αντίστοιχη</w:t>
      </w:r>
      <w:r w:rsidR="003008C0">
        <w:t>ς</w:t>
      </w:r>
      <w:r>
        <w:t xml:space="preserve"> περ</w:t>
      </w:r>
      <w:r w:rsidR="003008C0">
        <w:t>ιόδου</w:t>
      </w:r>
      <w:r>
        <w:t xml:space="preserve"> του 2025.</w:t>
      </w:r>
    </w:p>
    <w:p w14:paraId="0335DA9D" w14:textId="16153852" w:rsidR="008933FC" w:rsidRDefault="008933FC" w:rsidP="00F06055">
      <w:r>
        <w:t>Η άμεση έκθεση της ελληνικής οικονομίας στις δασμολογικές μεταβολές των ΗΠΑ παραμένει σχετικά περιορισμένη, καθ</w:t>
      </w:r>
      <w:r w:rsidR="00A1412A">
        <w:t xml:space="preserve">’ όσον </w:t>
      </w:r>
      <w:r>
        <w:t xml:space="preserve">οι εξαγωγές αγαθών προς τις ΗΠΑ αντιστοιχούσαν το 2025 σε </w:t>
      </w:r>
      <w:r w:rsidRPr="00173C6D">
        <w:t>4,9%</w:t>
      </w:r>
      <w:r w:rsidRPr="00D328AD">
        <w:t xml:space="preserve"> της </w:t>
      </w:r>
      <w:r>
        <w:t xml:space="preserve">συνολικής αξίας των ελληνικών εξαγωγών αγαθών. Οι σημαντικότεροι εξωτερικοί κίνδυνοι για την οικονομική δραστηριότητα το 2026 </w:t>
      </w:r>
      <w:r w:rsidR="00A1412A">
        <w:t>συσχετίζονται</w:t>
      </w:r>
      <w:r>
        <w:t xml:space="preserve"> κυρίως με τις εξελίξεις στις διεθνείς αγορές ενέργειας και </w:t>
      </w:r>
      <w:r w:rsidR="00A1412A">
        <w:t xml:space="preserve">διαχέονται </w:t>
      </w:r>
      <w:r>
        <w:t xml:space="preserve">στην ελληνική οικονομία μέσω τριών βασικών διαύλων: των τιμών εισαγόμενης ενέργειας και των συνακόλουθων πληθωριστικών πιέσεων, της επίδρασης της </w:t>
      </w:r>
      <w:r w:rsidR="002D40E4">
        <w:t xml:space="preserve">οικονομικής </w:t>
      </w:r>
      <w:r>
        <w:t>επιβράδυνσης των εμπορικών εταίρων στην εξωτερική ζήτηση και των επιδράσεων του υψηλότερου ενεργειακού κόστους στις διεθνείς τιμές βασικών εμπορευμάτων και τροφίμων.</w:t>
      </w:r>
      <w:r w:rsidRPr="00BC041C">
        <w:t xml:space="preserve"> Η ισχυρότερη σωρευτική εξέλιξη του πραγματικού ΑΕΠ στην Ελλάδα συνοδεύθηκε και από ισχυρότερη δυναμική της τελικής </w:t>
      </w:r>
      <w:r w:rsidR="00892EDE">
        <w:t xml:space="preserve">εγχώριας </w:t>
      </w:r>
      <w:r w:rsidRPr="00BC041C">
        <w:t>ζήτησης κατά την προηγούμενη διετία.</w:t>
      </w:r>
    </w:p>
    <w:p w14:paraId="4410616C" w14:textId="674C9A96" w:rsidR="008933FC" w:rsidRDefault="008933FC" w:rsidP="00F06055">
      <w:r w:rsidRPr="00641F26">
        <w:t xml:space="preserve">Η τελική εγχώρια ζήτηση, η οποία περιλαμβάνει την ιδιωτική και τη δημόσια τελική καταναλωτική δαπάνη </w:t>
      </w:r>
      <w:r w:rsidR="00A1412A">
        <w:t xml:space="preserve">καθώς </w:t>
      </w:r>
      <w:r w:rsidRPr="00641F26">
        <w:t xml:space="preserve">και τον ακαθάριστο σχηματισμό παγίου κεφαλαίου, αυξήθηκε στην Ευρωζώνη κατά 1,7% το 2025 έναντι 1,0% το 2024. Στην Ελλάδα ο αντίστοιχος ρυθμός αύξησης διαμορφώθηκε σε 2,8% το 2025 από 1,8% το 2024, υπερβαίνοντας κατά 1,1 ποσοστιαίες μονάδες τον αντίστοιχο ρυθμό της Ευρωζώνης </w:t>
      </w:r>
      <w:r w:rsidRPr="008E7700">
        <w:rPr>
          <w:szCs w:val="20"/>
        </w:rPr>
        <w:t>(</w:t>
      </w:r>
      <w:r w:rsidR="00E95172" w:rsidRPr="008E7700">
        <w:rPr>
          <w:szCs w:val="20"/>
        </w:rPr>
        <w:fldChar w:fldCharType="begin"/>
      </w:r>
      <w:r w:rsidR="00E95172" w:rsidRPr="008E7700">
        <w:rPr>
          <w:szCs w:val="20"/>
        </w:rPr>
        <w:instrText xml:space="preserve"> REF _Ref241258226 \h  \* MERGEFORMAT </w:instrText>
      </w:r>
      <w:r w:rsidR="00E95172" w:rsidRPr="008E7700">
        <w:rPr>
          <w:szCs w:val="20"/>
        </w:rPr>
      </w:r>
      <w:r w:rsidR="00E95172" w:rsidRPr="008E7700">
        <w:rPr>
          <w:szCs w:val="20"/>
        </w:rPr>
        <w:fldChar w:fldCharType="separate"/>
      </w:r>
      <w:r w:rsidR="007F6D9C" w:rsidRPr="008E7700">
        <w:rPr>
          <w:szCs w:val="20"/>
        </w:rPr>
        <w:t>Διάγραμμα 1.3</w:t>
      </w:r>
      <w:r w:rsidR="00E95172" w:rsidRPr="008E7700">
        <w:rPr>
          <w:szCs w:val="20"/>
        </w:rPr>
        <w:fldChar w:fldCharType="end"/>
      </w:r>
      <w:r w:rsidR="00E95172" w:rsidRPr="008E7700">
        <w:rPr>
          <w:szCs w:val="20"/>
        </w:rPr>
        <w:t>.</w:t>
      </w:r>
      <w:r w:rsidRPr="008E7700">
        <w:rPr>
          <w:szCs w:val="20"/>
        </w:rPr>
        <w:t>).</w:t>
      </w:r>
      <w:r w:rsidRPr="008E7700">
        <w:t xml:space="preserve"> </w:t>
      </w:r>
      <w:r w:rsidR="00CE79C3" w:rsidRPr="008E7700">
        <w:t>Η</w:t>
      </w:r>
      <w:r w:rsidR="00CE79C3">
        <w:t xml:space="preserve"> αύξηση </w:t>
      </w:r>
      <w:r w:rsidR="00CE79C3" w:rsidRPr="00641F26">
        <w:t xml:space="preserve">κατά </w:t>
      </w:r>
      <w:r w:rsidR="00CE79C3" w:rsidRPr="00173C6D">
        <w:t>0,7%</w:t>
      </w:r>
      <w:r w:rsidR="00CE79C3" w:rsidRPr="00641F26">
        <w:t xml:space="preserve"> το</w:t>
      </w:r>
      <w:r w:rsidR="00CE79C3">
        <w:t xml:space="preserve"> 2025</w:t>
      </w:r>
      <w:r w:rsidR="00CE79C3" w:rsidRPr="00641F26">
        <w:t xml:space="preserve"> </w:t>
      </w:r>
      <w:r w:rsidR="00CE79C3">
        <w:t>τ</w:t>
      </w:r>
      <w:r w:rsidR="00CE79C3" w:rsidRPr="00641F26">
        <w:t>η</w:t>
      </w:r>
      <w:r w:rsidR="00CE79C3">
        <w:t>ς</w:t>
      </w:r>
      <w:r w:rsidR="00CE79C3" w:rsidRPr="00641F26">
        <w:t xml:space="preserve"> </w:t>
      </w:r>
      <w:r w:rsidR="00D75562">
        <w:t xml:space="preserve">εγχώριας </w:t>
      </w:r>
      <w:r w:rsidR="00CE79C3" w:rsidRPr="00641F26">
        <w:t>ζήτηση</w:t>
      </w:r>
      <w:r w:rsidR="00CE79C3">
        <w:t>ς</w:t>
      </w:r>
      <w:r w:rsidR="00CE79C3" w:rsidRPr="00641F26">
        <w:t xml:space="preserve"> στην Ελλάδα</w:t>
      </w:r>
      <w:r w:rsidR="00CE79C3">
        <w:t>, σ</w:t>
      </w:r>
      <w:r w:rsidRPr="00641F26">
        <w:t xml:space="preserve">υμπεριλαμβανομένης της μεταβολής των αποθεμάτων, αντανακλά την αρνητική </w:t>
      </w:r>
      <w:r w:rsidR="00CE79C3">
        <w:t xml:space="preserve">επίδραση </w:t>
      </w:r>
      <w:r w:rsidRPr="00641F26">
        <w:t xml:space="preserve">της μεταβολής των αποθεμάτων. Η εξέταση της τελικής </w:t>
      </w:r>
      <w:r w:rsidR="00D75562">
        <w:t xml:space="preserve">εγχώριας </w:t>
      </w:r>
      <w:r w:rsidRPr="00641F26">
        <w:t xml:space="preserve">ζήτησης επιτρέπει την αποτύπωση της εξέλιξης των βασικών συνιστωσών της </w:t>
      </w:r>
      <w:r w:rsidR="00D75562">
        <w:t xml:space="preserve">εγχώριας </w:t>
      </w:r>
      <w:r w:rsidRPr="00641F26">
        <w:t>δαπάνης χωρίς την επίδραση των αποθεμάτων, τα οποία εμφανίζουν αυξημένη μεταβλητότητα.</w:t>
      </w:r>
    </w:p>
    <w:p w14:paraId="5011B937" w14:textId="4FFC4FED" w:rsidR="001C1B00" w:rsidRPr="00E95172" w:rsidRDefault="00E95172" w:rsidP="00E95172">
      <w:pPr>
        <w:pStyle w:val="afc"/>
        <w:keepNext/>
        <w:spacing w:before="240" w:after="60" w:line="276" w:lineRule="auto"/>
        <w:jc w:val="center"/>
        <w:rPr>
          <w:color w:val="000000"/>
          <w:sz w:val="18"/>
          <w:szCs w:val="18"/>
        </w:rPr>
      </w:pPr>
      <w:bookmarkStart w:id="8" w:name="_Ref241258226"/>
      <w:bookmarkStart w:id="9" w:name="_Toc241773238"/>
      <w:r w:rsidRPr="00E95172">
        <w:rPr>
          <w:sz w:val="18"/>
          <w:szCs w:val="18"/>
        </w:rPr>
        <w:t>Διάγραμμα 1.</w:t>
      </w:r>
      <w:r w:rsidRPr="00E95172">
        <w:rPr>
          <w:sz w:val="18"/>
          <w:szCs w:val="18"/>
        </w:rPr>
        <w:fldChar w:fldCharType="begin"/>
      </w:r>
      <w:r w:rsidRPr="00E95172">
        <w:rPr>
          <w:sz w:val="18"/>
          <w:szCs w:val="18"/>
        </w:rPr>
        <w:instrText xml:space="preserve"> SEQ Διάγραμμα_1. \* ARABIC </w:instrText>
      </w:r>
      <w:r w:rsidRPr="00E95172">
        <w:rPr>
          <w:sz w:val="18"/>
          <w:szCs w:val="18"/>
        </w:rPr>
        <w:fldChar w:fldCharType="separate"/>
      </w:r>
      <w:r w:rsidR="007F6D9C">
        <w:rPr>
          <w:noProof/>
          <w:sz w:val="18"/>
          <w:szCs w:val="18"/>
        </w:rPr>
        <w:t>3</w:t>
      </w:r>
      <w:r w:rsidRPr="00E95172">
        <w:rPr>
          <w:sz w:val="18"/>
          <w:szCs w:val="18"/>
        </w:rPr>
        <w:fldChar w:fldCharType="end"/>
      </w:r>
      <w:bookmarkEnd w:id="8"/>
      <w:r w:rsidRPr="00E95172">
        <w:rPr>
          <w:sz w:val="18"/>
          <w:szCs w:val="18"/>
        </w:rPr>
        <w:t>.</w:t>
      </w:r>
      <w:r w:rsidR="009E418F" w:rsidRPr="00E95172">
        <w:rPr>
          <w:color w:val="000000"/>
          <w:sz w:val="18"/>
          <w:szCs w:val="18"/>
        </w:rPr>
        <w:t>: Τελική εγχώρια ζήτηση στις χώρες της Ευρωζώνης, 2024 και 2025</w:t>
      </w:r>
      <w:r w:rsidR="00863B6F" w:rsidRPr="00E95172">
        <w:rPr>
          <w:color w:val="000000"/>
          <w:sz w:val="18"/>
          <w:szCs w:val="18"/>
        </w:rPr>
        <w:br/>
      </w:r>
      <w:r w:rsidR="009E418F" w:rsidRPr="00E95172">
        <w:rPr>
          <w:color w:val="000000"/>
          <w:sz w:val="18"/>
          <w:szCs w:val="18"/>
        </w:rPr>
        <w:t>(ετήσια μεταβολή σε όρους όγκου, %)</w:t>
      </w:r>
      <w:bookmarkEnd w:id="9"/>
    </w:p>
    <w:p w14:paraId="7BB9982B" w14:textId="1391432B" w:rsidR="008F5D5E" w:rsidRDefault="00910CC0" w:rsidP="0047681B">
      <w:pPr>
        <w:spacing w:after="0"/>
        <w:jc w:val="center"/>
        <w:rPr>
          <w:rFonts w:cs="Arial"/>
          <w:b/>
          <w:bCs/>
          <w:sz w:val="18"/>
          <w:szCs w:val="18"/>
        </w:rPr>
      </w:pPr>
      <w:r>
        <w:rPr>
          <w:noProof/>
        </w:rPr>
        <w:drawing>
          <wp:inline distT="0" distB="0" distL="0" distR="0" wp14:anchorId="46CA8709" wp14:editId="34FFEB0A">
            <wp:extent cx="5759450" cy="2520000"/>
            <wp:effectExtent l="0" t="0" r="12700" b="13970"/>
            <wp:docPr id="10" name="Γράφημα 10">
              <a:extLst xmlns:a="http://schemas.openxmlformats.org/drawingml/2006/main">
                <a:ext uri="{FF2B5EF4-FFF2-40B4-BE49-F238E27FC236}">
                  <a16:creationId xmlns:a16="http://schemas.microsoft.com/office/drawing/2014/main" id="{D220FE08-3432-4952-9EC2-0509995A1A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391B2C" w14:textId="77777777" w:rsidR="00CF3600" w:rsidRDefault="00CF3600" w:rsidP="00B43EB9">
      <w:pPr>
        <w:spacing w:before="60" w:after="240" w:line="276" w:lineRule="auto"/>
        <w:rPr>
          <w:rFonts w:cs="Arial"/>
          <w:sz w:val="16"/>
          <w:szCs w:val="16"/>
        </w:rPr>
      </w:pPr>
      <w:r>
        <w:rPr>
          <w:rFonts w:cs="Arial"/>
          <w:color w:val="000000"/>
          <w:sz w:val="16"/>
          <w:szCs w:val="16"/>
        </w:rPr>
        <w:t>Πηγή: Τριμηνιαίοι Εθνικοί Λογαριασμοί (Eurostat, namq_10_gdp), επεξεργασία Υπουργείου Εθνικής Οικονομίας και Οικονομικών</w:t>
      </w:r>
    </w:p>
    <w:p w14:paraId="3D4EFBFB" w14:textId="52D56DBD" w:rsidR="00CF3600" w:rsidRDefault="00CF3600" w:rsidP="007B629E">
      <w:r w:rsidRPr="00BC041C">
        <w:t xml:space="preserve">Η δυναμική της </w:t>
      </w:r>
      <w:r w:rsidR="00CF1B1F">
        <w:t xml:space="preserve">εγχώριας </w:t>
      </w:r>
      <w:r w:rsidRPr="00BC041C">
        <w:t xml:space="preserve">ζήτησης διατηρήθηκε και κατά το </w:t>
      </w:r>
      <w:r w:rsidR="00D813C9">
        <w:t xml:space="preserve">1ο </w:t>
      </w:r>
      <w:r w:rsidRPr="00BC041C">
        <w:t xml:space="preserve">εξάμηνο του 2026, με κύρια συμβολή </w:t>
      </w:r>
      <w:r w:rsidR="002D40E4">
        <w:t>από τις</w:t>
      </w:r>
      <w:r>
        <w:t xml:space="preserve"> </w:t>
      </w:r>
      <w:r w:rsidRPr="00BC041C">
        <w:t>επενδύσε</w:t>
      </w:r>
      <w:r w:rsidR="002D40E4">
        <w:t xml:space="preserve">ις </w:t>
      </w:r>
      <w:r w:rsidRPr="00BC041C">
        <w:t xml:space="preserve">παγίου κεφαλαίου και </w:t>
      </w:r>
      <w:r w:rsidR="00C674B1">
        <w:t xml:space="preserve">από </w:t>
      </w:r>
      <w:r w:rsidRPr="00BC041C">
        <w:t>τη</w:t>
      </w:r>
      <w:r w:rsidR="002D40E4">
        <w:t>ν</w:t>
      </w:r>
      <w:r w:rsidRPr="00BC041C">
        <w:t xml:space="preserve"> ιδιωτική κατανάλωση.</w:t>
      </w:r>
      <w:r>
        <w:t xml:space="preserve"> </w:t>
      </w:r>
      <w:r w:rsidRPr="00091FCD">
        <w:t xml:space="preserve">Κατά το 1ο εξάμηνο του 2026 το πραγματικό ΑΕΠ αυξήθηκε κατά 1,9% σε </w:t>
      </w:r>
      <w:r w:rsidR="00D813C9">
        <w:t>σύγκριση</w:t>
      </w:r>
      <w:r w:rsidRPr="00091FCD">
        <w:t xml:space="preserve"> με την αντίστοιχη περίοδο του 2025 έναντι αύξησης 2,1% το 1ο εξάμηνο του 2025</w:t>
      </w:r>
      <w:r>
        <w:t xml:space="preserve"> σε </w:t>
      </w:r>
      <w:r w:rsidR="00D813C9">
        <w:t>σύγκριση</w:t>
      </w:r>
      <w:r>
        <w:t xml:space="preserve"> με το αντίστοιχο του 2024</w:t>
      </w:r>
      <w:r w:rsidRPr="00091FCD">
        <w:t xml:space="preserve">. Ο αντίστοιχος ρυθμός μεταβολής διαμορφώθηκε σε 1,1% στην ΕΕ και σε 0,9% στην Ευρωζώνη. Οι επενδύσεις παγίου κεφαλαίου </w:t>
      </w:r>
      <w:r w:rsidRPr="00696629">
        <w:t xml:space="preserve">παρουσίασαν τη μεγαλύτερη θετική </w:t>
      </w:r>
      <w:r w:rsidR="00D813C9">
        <w:t xml:space="preserve">επίδραση </w:t>
      </w:r>
      <w:r w:rsidRPr="00696629">
        <w:t>στη μεταβολή του ΑΕΠ κατά 1,6 ποσοστιαίες μονάδε</w:t>
      </w:r>
      <w:r w:rsidR="00D813C9">
        <w:t>ς,</w:t>
      </w:r>
      <w:r w:rsidRPr="00696629">
        <w:t xml:space="preserve"> καταγράφοντας αύξηση 9,0% σε ετήσια βάση. Η συνολική τελική καταναλωτική δαπάνη αυξήθηκε κατά 1,1% και συνέβαλε κατά 1,0 ποσοστιαία μονάδα, με την κατανάλωση των νοικοκυριών να αυξάνεται κατά 0,9% και τη δημόσια κατανάλωση κατά 2,4%.</w:t>
      </w:r>
    </w:p>
    <w:p w14:paraId="316A8556" w14:textId="1488A87B" w:rsidR="00CF3600" w:rsidRPr="00696629" w:rsidRDefault="00CF3600" w:rsidP="007B629E">
      <w:r w:rsidRPr="00D22D86">
        <w:t>Στον εξωτερικό τομέα οι εξαγωγές αγαθών και υπηρεσιών αυξήθηκαν κατά 2,4% σε όρους όγκου κατά</w:t>
      </w:r>
      <w:r w:rsidRPr="00A27095">
        <w:t xml:space="preserve"> το 1</w:t>
      </w:r>
      <w:r w:rsidRPr="00A27095">
        <w:rPr>
          <w:lang w:val="en-US"/>
        </w:rPr>
        <w:t>o</w:t>
      </w:r>
      <w:r w:rsidRPr="00A27095">
        <w:t xml:space="preserve"> εξάμηνο του 2026, ενώ οι εισαγωγές αυξήθηκαν κατά 3,0%. Οι εξαγωγές αγαθών αυξήθηκαν κατά 4,9% και οι εξαγωγές υπηρεσιών κατά 0,5%, ενώ οι αντίστοιχες μεταβολές των εισαγωγών διαμορφώθηκαν σε 1,9% και </w:t>
      </w:r>
      <w:r w:rsidR="00F7262B">
        <w:t xml:space="preserve">σε </w:t>
      </w:r>
      <w:r w:rsidRPr="00A27095">
        <w:t>5,4%.</w:t>
      </w:r>
    </w:p>
    <w:p w14:paraId="5E89FD25" w14:textId="4C3F46E0" w:rsidR="00CF3600" w:rsidRPr="00091FCD" w:rsidRDefault="00CF3600" w:rsidP="007B629E">
      <w:r w:rsidRPr="00696629">
        <w:t xml:space="preserve">Κατά το 2ο τρίμηνο του 2026 η κατανάλωση των νοικοκυριών αυξήθηκε κατά 1,7% σε ετήσια βάση έναντι 0,2% το 1ο τρίμηνο, ενώ </w:t>
      </w:r>
      <w:r>
        <w:t>ο</w:t>
      </w:r>
      <w:r w:rsidRPr="00091FCD">
        <w:t xml:space="preserve">ι επενδύσεις παγίου κεφαλαίου αυξήθηκαν κατά 6,1% σε ετήσια βάση, μετά από αύξηση </w:t>
      </w:r>
      <w:r w:rsidR="00F7262B">
        <w:t xml:space="preserve">κατά </w:t>
      </w:r>
      <w:r w:rsidRPr="00091FCD">
        <w:t>12,1% το 1ο τρίμηνο, σε ένα περιβάλλον συνεχιζόμενης υλοποίησης επενδυτικών δαπανών μέσω του Αναπτυξιακού Προγράμματος Δημοσίων Επενδύσεων</w:t>
      </w:r>
      <w:r w:rsidR="00F7262B">
        <w:t xml:space="preserve"> (ΑΠΔΕ)</w:t>
      </w:r>
      <w:r w:rsidRPr="00091FCD">
        <w:t xml:space="preserve">, στο οποίο εντάσσονται και πόροι του Μηχανισμού Ανάκαμψης και Ανθεκτικότητας (RRF). Οι εξαγωγές αγαθών και υπηρεσιών αυξήθηκαν κατά 2,2%, με αύξηση των εξαγωγών αγαθών κατά 6,6% και </w:t>
      </w:r>
      <w:r w:rsidR="00A15E23">
        <w:t xml:space="preserve">με </w:t>
      </w:r>
      <w:r w:rsidRPr="00091FCD">
        <w:t>μείωση των εξαγωγών υπηρεσιών κατά 1,7%. Οι εισαγωγές αγαθών και υπηρεσιών αυξήθηκαν κατά 3,7%, με τις εισαγωγές αγαθών</w:t>
      </w:r>
      <w:r w:rsidR="00BB551F">
        <w:t xml:space="preserve"> να αυξάνονται</w:t>
      </w:r>
      <w:r w:rsidRPr="00091FCD">
        <w:t xml:space="preserve"> </w:t>
      </w:r>
      <w:r w:rsidR="00001844" w:rsidRPr="00091FCD">
        <w:t xml:space="preserve">κατά 2,0% </w:t>
      </w:r>
      <w:r w:rsidRPr="00091FCD">
        <w:t xml:space="preserve">και </w:t>
      </w:r>
      <w:r w:rsidR="00001844">
        <w:t xml:space="preserve">των </w:t>
      </w:r>
      <w:r w:rsidRPr="00091FCD">
        <w:t xml:space="preserve">υπηρεσιών </w:t>
      </w:r>
      <w:r w:rsidR="00001844">
        <w:t xml:space="preserve">κατά </w:t>
      </w:r>
      <w:r w:rsidRPr="00091FCD">
        <w:t>8,3%.</w:t>
      </w:r>
    </w:p>
    <w:p w14:paraId="6EC16A87" w14:textId="04806821" w:rsidR="00CF3600" w:rsidRDefault="00CF3600" w:rsidP="007B629E">
      <w:r w:rsidRPr="00091FCD">
        <w:t xml:space="preserve">Σε τρέχουσες τιμές το έλλειμμα του ισοζυγίου αγαθών και υπηρεσιών στους εθνικούς λογαριασμούς περιορίστηκε σε 2,5 δισ. ευρώ το 2ο τρίμηνο του 2026 από 2,7 δισ. ευρώ το αντίστοιχο τρίμηνο του 2025. Η </w:t>
      </w:r>
      <w:r w:rsidR="00F01617">
        <w:t>συγκεκριμέν</w:t>
      </w:r>
      <w:r w:rsidR="00DE2F48">
        <w:t>η</w:t>
      </w:r>
      <w:r w:rsidR="00F01617">
        <w:t xml:space="preserve"> </w:t>
      </w:r>
      <w:r w:rsidRPr="00091FCD">
        <w:t xml:space="preserve">εξέλιξη αντανακλά την ταχύτερη αύξηση της αξίας των εξαγωγών έναντι των εισαγωγών (16,7% και 14,1% αντίστοιχα). Η διαφοροποίηση </w:t>
      </w:r>
      <w:r w:rsidR="00BA4AF2">
        <w:t xml:space="preserve">συγκριτικά </w:t>
      </w:r>
      <w:r w:rsidRPr="00091FCD">
        <w:t>με τις μεταβολές σε όρους όγκου αντανακλά την επίδραση των μεταβολών των σχετικών τιμών.</w:t>
      </w:r>
      <w:r>
        <w:t xml:space="preserve"> </w:t>
      </w:r>
      <w:r w:rsidRPr="00BC041C">
        <w:t xml:space="preserve">Η σύνθεση της μεγέθυνσης κατά την περίοδο μετά την πανδημία και η μεταβολή της σχετικής συμβολής των επιμέρους συνιστωσών του ΑΕΠ αποτυπώνονται </w:t>
      </w:r>
      <w:r w:rsidRPr="008E7700">
        <w:t xml:space="preserve">στο </w:t>
      </w:r>
      <w:r w:rsidR="00725188" w:rsidRPr="008E7700">
        <w:rPr>
          <w:szCs w:val="20"/>
        </w:rPr>
        <w:fldChar w:fldCharType="begin"/>
      </w:r>
      <w:r w:rsidR="00725188" w:rsidRPr="008E7700">
        <w:rPr>
          <w:szCs w:val="20"/>
        </w:rPr>
        <w:instrText xml:space="preserve"> REF _Ref241258955 \h  \* MERGEFORMAT </w:instrText>
      </w:r>
      <w:r w:rsidR="00725188" w:rsidRPr="008E7700">
        <w:rPr>
          <w:szCs w:val="20"/>
        </w:rPr>
      </w:r>
      <w:r w:rsidR="00725188" w:rsidRPr="008E7700">
        <w:rPr>
          <w:szCs w:val="20"/>
        </w:rPr>
        <w:fldChar w:fldCharType="separate"/>
      </w:r>
      <w:r w:rsidR="007F6D9C" w:rsidRPr="008E7700">
        <w:rPr>
          <w:szCs w:val="20"/>
        </w:rPr>
        <w:t>Διάγραμμα 1.4</w:t>
      </w:r>
      <w:r w:rsidR="00725188" w:rsidRPr="008E7700">
        <w:rPr>
          <w:szCs w:val="20"/>
        </w:rPr>
        <w:fldChar w:fldCharType="end"/>
      </w:r>
      <w:r w:rsidR="00725188" w:rsidRPr="008E7700">
        <w:rPr>
          <w:szCs w:val="20"/>
        </w:rPr>
        <w:t>.</w:t>
      </w:r>
    </w:p>
    <w:p w14:paraId="37D01C43" w14:textId="39F19AFC" w:rsidR="00CF3600" w:rsidRPr="00725188" w:rsidRDefault="00725188" w:rsidP="00725188">
      <w:pPr>
        <w:pStyle w:val="afc"/>
        <w:keepNext/>
        <w:spacing w:before="240" w:after="60" w:line="276" w:lineRule="auto"/>
        <w:jc w:val="center"/>
        <w:rPr>
          <w:sz w:val="18"/>
          <w:szCs w:val="18"/>
        </w:rPr>
      </w:pPr>
      <w:bookmarkStart w:id="10" w:name="_Ref241258955"/>
      <w:bookmarkStart w:id="11" w:name="_Toc241773239"/>
      <w:r w:rsidRPr="00725188">
        <w:rPr>
          <w:sz w:val="18"/>
          <w:szCs w:val="18"/>
        </w:rPr>
        <w:t>Διάγραμμα 1.</w:t>
      </w:r>
      <w:r w:rsidRPr="00725188">
        <w:rPr>
          <w:sz w:val="18"/>
          <w:szCs w:val="18"/>
        </w:rPr>
        <w:fldChar w:fldCharType="begin"/>
      </w:r>
      <w:r w:rsidRPr="00725188">
        <w:rPr>
          <w:sz w:val="18"/>
          <w:szCs w:val="18"/>
        </w:rPr>
        <w:instrText xml:space="preserve"> SEQ Διάγραμμα_1. \* ARABIC </w:instrText>
      </w:r>
      <w:r w:rsidRPr="00725188">
        <w:rPr>
          <w:sz w:val="18"/>
          <w:szCs w:val="18"/>
        </w:rPr>
        <w:fldChar w:fldCharType="separate"/>
      </w:r>
      <w:r w:rsidR="007F6D9C">
        <w:rPr>
          <w:noProof/>
          <w:sz w:val="18"/>
          <w:szCs w:val="18"/>
        </w:rPr>
        <w:t>4</w:t>
      </w:r>
      <w:r w:rsidRPr="00725188">
        <w:rPr>
          <w:sz w:val="18"/>
          <w:szCs w:val="18"/>
        </w:rPr>
        <w:fldChar w:fldCharType="end"/>
      </w:r>
      <w:bookmarkEnd w:id="10"/>
      <w:r w:rsidRPr="00725188">
        <w:rPr>
          <w:sz w:val="18"/>
          <w:szCs w:val="18"/>
        </w:rPr>
        <w:t xml:space="preserve">.: </w:t>
      </w:r>
      <w:r w:rsidR="00CF3600" w:rsidRPr="00725188">
        <w:rPr>
          <w:color w:val="000000"/>
          <w:sz w:val="18"/>
          <w:szCs w:val="18"/>
        </w:rPr>
        <w:t>Ανάλυση του ετ</w:t>
      </w:r>
      <w:r w:rsidR="00AB2384">
        <w:rPr>
          <w:color w:val="000000"/>
          <w:sz w:val="18"/>
          <w:szCs w:val="18"/>
        </w:rPr>
        <w:t>ή</w:t>
      </w:r>
      <w:r w:rsidR="00CF3600" w:rsidRPr="00725188">
        <w:rPr>
          <w:color w:val="000000"/>
          <w:sz w:val="18"/>
          <w:szCs w:val="18"/>
        </w:rPr>
        <w:t>σ</w:t>
      </w:r>
      <w:r w:rsidR="00AB2384">
        <w:rPr>
          <w:color w:val="000000"/>
          <w:sz w:val="18"/>
          <w:szCs w:val="18"/>
        </w:rPr>
        <w:t>ι</w:t>
      </w:r>
      <w:r w:rsidR="00CF3600" w:rsidRPr="00725188">
        <w:rPr>
          <w:color w:val="000000"/>
          <w:sz w:val="18"/>
          <w:szCs w:val="18"/>
        </w:rPr>
        <w:t>ου ρυθμού μεταβολής του πραγματικού ΑΕΠ κατά συνιστώσα,</w:t>
      </w:r>
      <w:r>
        <w:rPr>
          <w:color w:val="000000"/>
          <w:sz w:val="18"/>
          <w:szCs w:val="18"/>
        </w:rPr>
        <w:br/>
      </w:r>
      <w:r w:rsidR="00CF3600" w:rsidRPr="00725188">
        <w:rPr>
          <w:color w:val="000000"/>
          <w:sz w:val="18"/>
          <w:szCs w:val="18"/>
        </w:rPr>
        <w:t>Q1 2021</w:t>
      </w:r>
      <w:r w:rsidR="007B629E" w:rsidRPr="00725188">
        <w:rPr>
          <w:color w:val="000000"/>
          <w:sz w:val="18"/>
          <w:szCs w:val="18"/>
        </w:rPr>
        <w:t xml:space="preserve"> - </w:t>
      </w:r>
      <w:r w:rsidR="00CF3600" w:rsidRPr="00725188">
        <w:rPr>
          <w:color w:val="000000"/>
          <w:sz w:val="18"/>
          <w:szCs w:val="18"/>
        </w:rPr>
        <w:t>Q2 2026</w:t>
      </w:r>
      <w:bookmarkEnd w:id="11"/>
    </w:p>
    <w:p w14:paraId="05EA97B2" w14:textId="7B5E030E" w:rsidR="00CF3600" w:rsidRPr="00CF3600" w:rsidRDefault="00531451" w:rsidP="006E2A62">
      <w:pPr>
        <w:spacing w:after="0"/>
        <w:jc w:val="center"/>
        <w:rPr>
          <w:rFonts w:cs="Arial"/>
          <w:szCs w:val="20"/>
          <w:highlight w:val="yellow"/>
        </w:rPr>
      </w:pPr>
      <w:r>
        <w:rPr>
          <w:noProof/>
        </w:rPr>
        <w:drawing>
          <wp:inline distT="0" distB="0" distL="0" distR="0" wp14:anchorId="60A83AED" wp14:editId="01B532F2">
            <wp:extent cx="5759450" cy="2664000"/>
            <wp:effectExtent l="0" t="0" r="12700" b="3175"/>
            <wp:docPr id="16" name="Γράφημα 16">
              <a:extLst xmlns:a="http://schemas.openxmlformats.org/drawingml/2006/main">
                <a:ext uri="{FF2B5EF4-FFF2-40B4-BE49-F238E27FC236}">
                  <a16:creationId xmlns:a16="http://schemas.microsoft.com/office/drawing/2014/main" id="{53526814-250A-4BAF-9B93-CE3BA76780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313AC7" w14:textId="77777777" w:rsidR="00CF3600" w:rsidRDefault="00CF3600" w:rsidP="008B5494">
      <w:pPr>
        <w:tabs>
          <w:tab w:val="left" w:pos="0"/>
        </w:tabs>
        <w:spacing w:before="60" w:after="240" w:line="276" w:lineRule="auto"/>
        <w:rPr>
          <w:rFonts w:cs="Arial"/>
          <w:color w:val="000000"/>
          <w:sz w:val="16"/>
          <w:szCs w:val="16"/>
        </w:rPr>
      </w:pPr>
      <w:r>
        <w:rPr>
          <w:rFonts w:cs="Arial"/>
          <w:color w:val="000000"/>
          <w:sz w:val="16"/>
          <w:szCs w:val="16"/>
        </w:rPr>
        <w:t>Πηγή: ΕΛΣΤΑΤ, επεξεργασία Υπουργείου Εθνικής Οικονομίας και Οικονομικών</w:t>
      </w:r>
    </w:p>
    <w:p w14:paraId="568E20C0" w14:textId="6A555BEA" w:rsidR="00CF3600" w:rsidRPr="00091FCD" w:rsidRDefault="00CF3600" w:rsidP="00F06055">
      <w:r w:rsidRPr="00091FCD">
        <w:t xml:space="preserve">Κατά το 2ο τρίμηνο του 2026 η ιδιωτική κατανάλωση και ο ακαθάριστος σχηματισμός παγίου κεφαλαίου είχαν τις μεγαλύτερες θετικές </w:t>
      </w:r>
      <w:r w:rsidR="00AD1EF8">
        <w:t>επιδράσεις</w:t>
      </w:r>
      <w:r w:rsidRPr="00091FCD">
        <w:t xml:space="preserve">, κατά 1,2 και 1,1 ποσοστιαίες μονάδες αντίστοιχα, ενώ η δημόσια κατανάλωση συνέβαλε κατά 0,2 ποσοστιαίες μονάδες. Η </w:t>
      </w:r>
      <w:r w:rsidR="001052F1">
        <w:t>επίδραση</w:t>
      </w:r>
      <w:r w:rsidRPr="00091FCD">
        <w:t xml:space="preserve"> </w:t>
      </w:r>
      <w:r w:rsidRPr="00D22D86">
        <w:t>του εξωτερικού τομέα ήταν</w:t>
      </w:r>
      <w:r w:rsidRPr="00091FCD">
        <w:t xml:space="preserve"> αρνητική, </w:t>
      </w:r>
      <w:r w:rsidR="00AD1EF8">
        <w:t>δεδομένου ότι</w:t>
      </w:r>
      <w:r w:rsidRPr="00091FCD">
        <w:t xml:space="preserve"> σε όρους όγκου οι εισαγωγές αυξήθηκαν ταχύτερα από τις εξαγωγές.</w:t>
      </w:r>
    </w:p>
    <w:p w14:paraId="258B54B9" w14:textId="148825C9" w:rsidR="00CF3600" w:rsidRPr="00091FCD" w:rsidRDefault="00CF3600" w:rsidP="00F06055">
      <w:r w:rsidRPr="00091FCD">
        <w:t>Για το σύνολο του 2026 ο ρυθμός αύξησης του πραγματικού ΑΕΠ εκτιμάται σε 2,0%. Οι επενδύσεις παγίου κεφαλαίου προβλέπεται να αυξηθούν κατά 7,7%, οι εξαγωγές αγαθών και υπηρεσιών κατά 2,9%, η ιδιωτική κατανάλωση κατά 1,4% και η δημόσια κατανάλωση κατά 1,1%.</w:t>
      </w:r>
    </w:p>
    <w:p w14:paraId="6D3DF10E" w14:textId="39229EF9" w:rsidR="00CF3600" w:rsidRDefault="00CF3600" w:rsidP="006E2A62">
      <w:r w:rsidRPr="001B32CD">
        <w:t>Η εικόνα που προκύπτει από την πλευρά της ζήτησης συμπληρώνεται από την εξέλιξη της παραγωγικής δραστηριότητας κατά κλάδο.</w:t>
      </w:r>
      <w:r>
        <w:t xml:space="preserve"> Η</w:t>
      </w:r>
      <w:r w:rsidRPr="00091FCD">
        <w:t xml:space="preserve"> Ακαθάριστη Προστιθέμενη Αξία </w:t>
      </w:r>
      <w:r w:rsidR="00AD1EF8">
        <w:t xml:space="preserve">(ΑΠΑ) </w:t>
      </w:r>
      <w:r w:rsidRPr="00091FCD">
        <w:t>αυξήθηκε κατά 1,6% το 1ο εξάμηνο του 2026 σε σ</w:t>
      </w:r>
      <w:r w:rsidR="00AD1EF8">
        <w:t xml:space="preserve">ύγκριση </w:t>
      </w:r>
      <w:r w:rsidRPr="00091FCD">
        <w:t>με την αντίστοιχη περίοδο του 2025.</w:t>
      </w:r>
    </w:p>
    <w:p w14:paraId="2089B541" w14:textId="3DF28C6B" w:rsidR="00CF3600" w:rsidRDefault="00563273" w:rsidP="006E2A62">
      <w:pPr>
        <w:pStyle w:val="afc"/>
        <w:keepNext/>
        <w:spacing w:before="240" w:after="60" w:line="276" w:lineRule="auto"/>
        <w:jc w:val="center"/>
        <w:rPr>
          <w:color w:val="000000"/>
          <w:sz w:val="18"/>
          <w:szCs w:val="18"/>
        </w:rPr>
      </w:pPr>
      <w:bookmarkStart w:id="12" w:name="_Ref241562432"/>
      <w:bookmarkStart w:id="13" w:name="_Ref241260342"/>
      <w:bookmarkStart w:id="14" w:name="_Toc241773240"/>
      <w:r w:rsidRPr="00563273">
        <w:rPr>
          <w:color w:val="000000"/>
          <w:sz w:val="18"/>
          <w:szCs w:val="18"/>
        </w:rPr>
        <w:t>Διάγραμμα 1.</w:t>
      </w:r>
      <w:r w:rsidRPr="00563273">
        <w:rPr>
          <w:color w:val="000000"/>
          <w:sz w:val="18"/>
          <w:szCs w:val="18"/>
        </w:rPr>
        <w:fldChar w:fldCharType="begin"/>
      </w:r>
      <w:r w:rsidRPr="00563273">
        <w:rPr>
          <w:color w:val="000000"/>
          <w:sz w:val="18"/>
          <w:szCs w:val="18"/>
        </w:rPr>
        <w:instrText xml:space="preserve"> SEQ Διάγραμμα_1. \* ARABIC </w:instrText>
      </w:r>
      <w:r w:rsidRPr="00563273">
        <w:rPr>
          <w:color w:val="000000"/>
          <w:sz w:val="18"/>
          <w:szCs w:val="18"/>
        </w:rPr>
        <w:fldChar w:fldCharType="separate"/>
      </w:r>
      <w:r w:rsidR="007F6D9C">
        <w:rPr>
          <w:noProof/>
          <w:color w:val="000000"/>
          <w:sz w:val="18"/>
          <w:szCs w:val="18"/>
        </w:rPr>
        <w:t>5</w:t>
      </w:r>
      <w:r w:rsidRPr="00563273">
        <w:rPr>
          <w:color w:val="000000"/>
          <w:sz w:val="18"/>
          <w:szCs w:val="18"/>
        </w:rPr>
        <w:fldChar w:fldCharType="end"/>
      </w:r>
      <w:bookmarkEnd w:id="12"/>
      <w:r w:rsidRPr="00563273">
        <w:rPr>
          <w:color w:val="000000"/>
          <w:sz w:val="18"/>
          <w:szCs w:val="18"/>
        </w:rPr>
        <w:t>.:</w:t>
      </w:r>
      <w:bookmarkEnd w:id="13"/>
      <w:r w:rsidRPr="00563273">
        <w:rPr>
          <w:color w:val="000000"/>
          <w:sz w:val="18"/>
          <w:szCs w:val="18"/>
        </w:rPr>
        <w:t xml:space="preserve"> </w:t>
      </w:r>
      <w:r w:rsidR="00CF3600" w:rsidRPr="007222B3">
        <w:rPr>
          <w:color w:val="000000"/>
          <w:sz w:val="18"/>
          <w:szCs w:val="18"/>
        </w:rPr>
        <w:t>Εξέλιξη της Ακαθάριστης Προστιθέμενης Αξίας κατά βασικό κλάδο οικονομικής δραστηριότητας, Q1 2022</w:t>
      </w:r>
      <w:r w:rsidR="007B629E">
        <w:rPr>
          <w:color w:val="000000"/>
          <w:sz w:val="18"/>
          <w:szCs w:val="18"/>
        </w:rPr>
        <w:t xml:space="preserve"> - </w:t>
      </w:r>
      <w:r w:rsidR="00CF3600" w:rsidRPr="007222B3">
        <w:rPr>
          <w:color w:val="000000"/>
          <w:sz w:val="18"/>
          <w:szCs w:val="18"/>
        </w:rPr>
        <w:t>Q2 2026</w:t>
      </w:r>
      <w:r w:rsidR="00346955">
        <w:rPr>
          <w:color w:val="000000"/>
          <w:sz w:val="18"/>
          <w:szCs w:val="18"/>
        </w:rPr>
        <w:t xml:space="preserve"> </w:t>
      </w:r>
      <w:r w:rsidR="00CF3600" w:rsidRPr="007222B3">
        <w:rPr>
          <w:color w:val="000000"/>
          <w:sz w:val="18"/>
          <w:szCs w:val="18"/>
        </w:rPr>
        <w:t>(αλυσωτοί δείκτες όγκου, εποχικά διορθωμένα στοιχεία, εκατ. ευρώ)</w:t>
      </w:r>
      <w:bookmarkEnd w:id="14"/>
    </w:p>
    <w:p w14:paraId="748117FB" w14:textId="4B0DDA02" w:rsidR="00403A08" w:rsidRDefault="00403A08" w:rsidP="00B42698">
      <w:pPr>
        <w:spacing w:after="0"/>
        <w:jc w:val="center"/>
      </w:pPr>
      <w:r>
        <w:rPr>
          <w:noProof/>
        </w:rPr>
        <w:drawing>
          <wp:inline distT="0" distB="0" distL="0" distR="0" wp14:anchorId="07FC191E" wp14:editId="5D54E70B">
            <wp:extent cx="5759450" cy="2520000"/>
            <wp:effectExtent l="0" t="0" r="12700" b="13970"/>
            <wp:docPr id="5" name="Γράφημα 5" descr="Διάρθρωση Κλάδων οικονομίας (εκατ. ευρώ, Σταθερές τιμές)">
              <a:extLst xmlns:a="http://schemas.openxmlformats.org/drawingml/2006/main">
                <a:ext uri="{FF2B5EF4-FFF2-40B4-BE49-F238E27FC236}">
                  <a16:creationId xmlns:a16="http://schemas.microsoft.com/office/drawing/2014/main" id="{53F0809A-23F7-43F5-A818-0160EC7A5D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12A7EE5" w14:textId="77777777" w:rsidR="00CF3600" w:rsidRDefault="00CF3600" w:rsidP="008B5494">
      <w:pPr>
        <w:spacing w:before="60" w:after="240" w:line="276" w:lineRule="auto"/>
        <w:rPr>
          <w:rFonts w:cs="Arial"/>
          <w:color w:val="000000"/>
          <w:sz w:val="16"/>
          <w:szCs w:val="16"/>
        </w:rPr>
      </w:pPr>
      <w:r>
        <w:rPr>
          <w:rFonts w:cs="Arial"/>
          <w:color w:val="000000"/>
          <w:sz w:val="16"/>
          <w:szCs w:val="16"/>
        </w:rPr>
        <w:t>Πηγή: ΕΛΣΤΑΤ, επεξεργασία Υπουργείου Εθνικής Οικονομίας και Οικονομικών</w:t>
      </w:r>
    </w:p>
    <w:p w14:paraId="000BE2D9" w14:textId="208453F9" w:rsidR="00CF3600" w:rsidRDefault="00CF3600" w:rsidP="003B037B">
      <w:r w:rsidRPr="008E7700">
        <w:t>Το</w:t>
      </w:r>
      <w:r w:rsidRPr="008E7700">
        <w:rPr>
          <w:szCs w:val="20"/>
        </w:rPr>
        <w:t xml:space="preserve"> </w:t>
      </w:r>
      <w:r w:rsidR="00E44A4E" w:rsidRPr="008E7700">
        <w:rPr>
          <w:szCs w:val="20"/>
        </w:rPr>
        <w:fldChar w:fldCharType="begin"/>
      </w:r>
      <w:r w:rsidR="00E44A4E" w:rsidRPr="008E7700">
        <w:rPr>
          <w:szCs w:val="20"/>
        </w:rPr>
        <w:instrText xml:space="preserve"> REF _Ref241562432 \h  \* MERGEFORMAT </w:instrText>
      </w:r>
      <w:r w:rsidR="00E44A4E" w:rsidRPr="008E7700">
        <w:rPr>
          <w:szCs w:val="20"/>
        </w:rPr>
      </w:r>
      <w:r w:rsidR="00E44A4E" w:rsidRPr="008E7700">
        <w:rPr>
          <w:szCs w:val="20"/>
        </w:rPr>
        <w:fldChar w:fldCharType="separate"/>
      </w:r>
      <w:r w:rsidR="007F6D9C" w:rsidRPr="008E7700">
        <w:rPr>
          <w:color w:val="000000"/>
          <w:szCs w:val="20"/>
        </w:rPr>
        <w:t>Διάγραμμα 1.5</w:t>
      </w:r>
      <w:r w:rsidR="00E44A4E" w:rsidRPr="008E7700">
        <w:rPr>
          <w:szCs w:val="20"/>
        </w:rPr>
        <w:fldChar w:fldCharType="end"/>
      </w:r>
      <w:r w:rsidR="00E44A4E" w:rsidRPr="008E7700">
        <w:rPr>
          <w:szCs w:val="20"/>
        </w:rPr>
        <w:t>.</w:t>
      </w:r>
      <w:r w:rsidR="001A59E7" w:rsidRPr="008E7700">
        <w:t xml:space="preserve"> </w:t>
      </w:r>
      <w:r w:rsidRPr="008E7700">
        <w:t>παρουσιάζει</w:t>
      </w:r>
      <w:r w:rsidRPr="00373F2B">
        <w:t xml:space="preserve"> την εξέλιξη της Α</w:t>
      </w:r>
      <w:r w:rsidR="007D7359">
        <w:t>ΠΑ</w:t>
      </w:r>
      <w:r w:rsidRPr="00373F2B">
        <w:t xml:space="preserve"> κατά βασικό κλάδο οικονομικής δραστηριότητας από το 1ο τρίμηνο του 2022 έως το 2ο τρίμηνο του 2026.</w:t>
      </w:r>
    </w:p>
    <w:p w14:paraId="630A571A" w14:textId="3240EBFC" w:rsidR="00CF3600" w:rsidRPr="00696629" w:rsidRDefault="00CF3600" w:rsidP="003B037B">
      <w:r w:rsidRPr="007222B3">
        <w:t xml:space="preserve">Κατά το 2ο τρίμηνο του 2026 η </w:t>
      </w:r>
      <w:r>
        <w:t xml:space="preserve">ΑΠΑ </w:t>
      </w:r>
      <w:r w:rsidRPr="007222B3">
        <w:t xml:space="preserve">αυξήθηκε κατά 1,5% </w:t>
      </w:r>
      <w:r w:rsidR="00E03134">
        <w:t xml:space="preserve">έναντι του </w:t>
      </w:r>
      <w:r w:rsidRPr="00E40A9F">
        <w:t>αντ</w:t>
      </w:r>
      <w:r w:rsidR="007A4500">
        <w:t>ί</w:t>
      </w:r>
      <w:r w:rsidR="00E03134">
        <w:t>στο</w:t>
      </w:r>
      <w:r w:rsidR="007A4500">
        <w:t>ι</w:t>
      </w:r>
      <w:r w:rsidR="00E03134">
        <w:t xml:space="preserve">χου </w:t>
      </w:r>
      <w:r w:rsidRPr="00E40A9F">
        <w:t>τρ</w:t>
      </w:r>
      <w:r w:rsidR="00E03134">
        <w:t>ι</w:t>
      </w:r>
      <w:r w:rsidRPr="00E40A9F">
        <w:t>μ</w:t>
      </w:r>
      <w:r w:rsidR="00E03134">
        <w:t>ή</w:t>
      </w:r>
      <w:r w:rsidRPr="00E40A9F">
        <w:t>νο</w:t>
      </w:r>
      <w:r w:rsidR="00E03134">
        <w:t>υ</w:t>
      </w:r>
      <w:r w:rsidRPr="00E40A9F">
        <w:t xml:space="preserve"> του 2025</w:t>
      </w:r>
      <w:r w:rsidRPr="007222B3">
        <w:t>. Οι υψηλότεροι ετήσιοι ρυθμοί μεταβολής κατ</w:t>
      </w:r>
      <w:r w:rsidR="00E03134">
        <w:t>ε</w:t>
      </w:r>
      <w:r w:rsidRPr="007222B3">
        <w:t>γράφη</w:t>
      </w:r>
      <w:r w:rsidR="00E03134">
        <w:t>σ</w:t>
      </w:r>
      <w:r w:rsidRPr="007222B3">
        <w:t xml:space="preserve">αν στις κατασκευές (12,9%), στις χρηματοπιστωτικές και ασφαλιστικές δραστηριότητες (6,7%), στην ενημέρωση και επικοινωνία (4,3%) </w:t>
      </w:r>
      <w:r w:rsidR="00BA390E">
        <w:t xml:space="preserve">καθώς </w:t>
      </w:r>
      <w:r w:rsidRPr="007222B3">
        <w:t xml:space="preserve">και στις τέχνες, </w:t>
      </w:r>
      <w:r w:rsidR="00BA390E">
        <w:t>σ</w:t>
      </w:r>
      <w:r w:rsidRPr="007222B3">
        <w:t xml:space="preserve">τη διασκέδαση και </w:t>
      </w:r>
      <w:r w:rsidR="00BA390E">
        <w:t>σ</w:t>
      </w:r>
      <w:r w:rsidRPr="007222B3">
        <w:t>τις λοιπές υπηρεσίες (3,2%). Στον πρωτογενή τομέα η ΑΠΑ αυξήθηκε κατά 4,5</w:t>
      </w:r>
      <w:r w:rsidRPr="00696629">
        <w:t>% μετά από μείωση 0,8% το 1ο τρίμηνο</w:t>
      </w:r>
      <w:r w:rsidR="00BA390E">
        <w:t>,</w:t>
      </w:r>
      <w:r w:rsidRPr="00696629">
        <w:t xml:space="preserve"> ενώ στη βιομηχανία, συμπεριλαμβανομένης της ενέργειας, αυξήθηκε κατά 2,1%. Αντίθετα, στην ομάδα εμπορίου, μεταφορών, καταλυμάτων και εστίασης κατ</w:t>
      </w:r>
      <w:r w:rsidR="00BA390E">
        <w:t>ε</w:t>
      </w:r>
      <w:r w:rsidRPr="00696629">
        <w:t>γράφη μείωση κατά 1,4%. Σε ευρύτερη κλαδική ανάλυση η ΑΠΑ αυξήθηκε κατά 3,6% στον δευτερογενή τομέα και κατά 0,7% στον τριτογενή.</w:t>
      </w:r>
    </w:p>
    <w:p w14:paraId="1EBC6A19" w14:textId="01022D5E" w:rsidR="00CF3600" w:rsidRPr="009378D7" w:rsidRDefault="00CF3600" w:rsidP="003B037B">
      <w:r w:rsidRPr="001B32CD">
        <w:t xml:space="preserve">Η </w:t>
      </w:r>
      <w:r w:rsidR="008D4B5D">
        <w:t>εξακολούθηση</w:t>
      </w:r>
      <w:r w:rsidRPr="001B32CD">
        <w:t xml:space="preserve"> της οικονομικής μεγέθυνσης και η αύξηση της δραστηριότητας σε σημαντικούς κλάδους συνοδεύ</w:t>
      </w:r>
      <w:r w:rsidR="004246D1">
        <w:t>τ</w:t>
      </w:r>
      <w:r w:rsidRPr="001B32CD">
        <w:t>ηκαν από περαιτέρω βελτίωση των συνθηκών στην αγορά εργασίας.</w:t>
      </w:r>
      <w:r>
        <w:t xml:space="preserve"> </w:t>
      </w:r>
      <w:r w:rsidRPr="009378D7">
        <w:t>Με βάση τις εποχικά διορθωμένες μηνιαίες εκτιμήσεις της Ελληνικής Στατιστικής Αρχής (ΕΛΣΤΑΤ), ο αριθμός των απασχολουμένων την περίοδο Ιανουαρίου</w:t>
      </w:r>
      <w:r w:rsidR="003B037B">
        <w:t xml:space="preserve"> - </w:t>
      </w:r>
      <w:r w:rsidRPr="009378D7">
        <w:t xml:space="preserve">Ιουλίου 2026 ήταν κατά μέσο όρο αυξημένος κατά 0,9% έναντι της αντίστοιχης περιόδου του 2025. Παράλληλα, σύμφωνα με το </w:t>
      </w:r>
      <w:r w:rsidR="008D4B5D">
        <w:t>π</w:t>
      </w:r>
      <w:r w:rsidRPr="009378D7">
        <w:t xml:space="preserve">ληροφοριακό </w:t>
      </w:r>
      <w:r w:rsidR="008D4B5D">
        <w:t>σ</w:t>
      </w:r>
      <w:r w:rsidRPr="009378D7">
        <w:t xml:space="preserve">ύστημα ΕΡΓΑΝΗ, το ισοζύγιο αναγγελιών προσλήψεων και αποχωρήσεων κατά το </w:t>
      </w:r>
      <w:r w:rsidR="008D4B5D">
        <w:t>1ο</w:t>
      </w:r>
      <w:r w:rsidRPr="009378D7">
        <w:t xml:space="preserve"> επτάμηνο του 2026 ήταν θετικό κατά 323.136 θέσεις έναντι 319.843 </w:t>
      </w:r>
      <w:r w:rsidR="008D4B5D">
        <w:t xml:space="preserve">θέσεων </w:t>
      </w:r>
      <w:r w:rsidRPr="009378D7">
        <w:t>την αντίστοιχη περίοδο του 2025. Οι αναγγελίες προσλήψεων ανήλθαν σε 1.994.155 και οι αποχωρήσεις σε 1.671.019.</w:t>
      </w:r>
    </w:p>
    <w:p w14:paraId="3D3F068B" w14:textId="58A1AF10" w:rsidR="00CF3600" w:rsidRPr="009378D7" w:rsidRDefault="00CF3600" w:rsidP="003B037B">
      <w:r w:rsidRPr="009378D7">
        <w:t>Σύμφωνα με την Έρευνα Εργατικού Δυναμικού της ΕΛΣΤΑΤ, το 2ο τρίμηνο του 2026 ο αριθμός των απασχολουμένων ανήλθε σε 4.414.364 άτομα, αυξημένος κατά 0,6%</w:t>
      </w:r>
      <w:r>
        <w:t xml:space="preserve"> σε </w:t>
      </w:r>
      <w:r w:rsidR="008D4B5D">
        <w:t>σύγκριση</w:t>
      </w:r>
      <w:r>
        <w:t xml:space="preserve"> με το αντίστοιχο τρίμηνο του προηγο</w:t>
      </w:r>
      <w:r w:rsidR="00316AEF">
        <w:t>ύ</w:t>
      </w:r>
      <w:r>
        <w:t>μ</w:t>
      </w:r>
      <w:r w:rsidR="00316AEF">
        <w:t>ε</w:t>
      </w:r>
      <w:r>
        <w:t>νου έτους</w:t>
      </w:r>
      <w:r w:rsidRPr="009378D7">
        <w:t xml:space="preserve">, ενώ ο αριθμός των ανέργων μειώθηκε κατά 7,8%, σε 379.670 άτομα. Το ποσοστό ανεργίας διαμορφώθηκε σε 7,9% από 8,6% το αντίστοιχο τρίμηνο του 2025. Με βάση τις εποχικά διορθωμένες μηνιαίες εκτιμήσεις, το ποσοστό ανεργίας τον </w:t>
      </w:r>
      <w:r w:rsidR="00CD3926">
        <w:t>Αύγουστο</w:t>
      </w:r>
      <w:r w:rsidRPr="009378D7">
        <w:t xml:space="preserve"> 2026 διαμορφώθηκε σε 7,</w:t>
      </w:r>
      <w:r w:rsidR="00E32A80">
        <w:t>4</w:t>
      </w:r>
      <w:r w:rsidRPr="009378D7">
        <w:t>% έναντι 8,</w:t>
      </w:r>
      <w:r w:rsidR="00E32A80">
        <w:t>8</w:t>
      </w:r>
      <w:r w:rsidRPr="009378D7">
        <w:t xml:space="preserve">% τον </w:t>
      </w:r>
      <w:r w:rsidR="00E32A80">
        <w:t>Αύγουστο</w:t>
      </w:r>
      <w:r w:rsidRPr="009378D7">
        <w:t xml:space="preserve"> 2025.</w:t>
      </w:r>
    </w:p>
    <w:p w14:paraId="35EAC495" w14:textId="0A746DFA" w:rsidR="00CF3600" w:rsidRPr="00696629" w:rsidRDefault="00CF3600" w:rsidP="003B037B">
      <w:r w:rsidRPr="009378D7">
        <w:t>Παράλληλα με την αύξηση της απασχόλησης</w:t>
      </w:r>
      <w:r w:rsidR="00D700EF">
        <w:t>,</w:t>
      </w:r>
      <w:r w:rsidRPr="009378D7">
        <w:t xml:space="preserve"> συνεχίστηκε η άνοδος των ονομαστικών μισθών. Ο νομοθετημένος κατώτατος μισθός</w:t>
      </w:r>
      <w:r w:rsidRPr="00373F2B">
        <w:t xml:space="preserve"> αυξήθηκε από την </w:t>
      </w:r>
      <w:r w:rsidR="00E17E44">
        <w:t>0</w:t>
      </w:r>
      <w:r w:rsidRPr="00373F2B">
        <w:t>1η</w:t>
      </w:r>
      <w:r w:rsidR="00E17E44">
        <w:t>.4.</w:t>
      </w:r>
      <w:r w:rsidRPr="00373F2B">
        <w:t>2026 κατά 4,55%</w:t>
      </w:r>
      <w:r>
        <w:t xml:space="preserve"> και συγκεκριμένα </w:t>
      </w:r>
      <w:r w:rsidRPr="00373F2B">
        <w:t xml:space="preserve">από 880 σε 920 ευρώ, ενώ το κατώτατο ημερομίσθιο των εργατοτεχνιτών αυξήθηκε από 39,30 </w:t>
      </w:r>
      <w:r w:rsidR="00E17E44">
        <w:t xml:space="preserve">ευρώ </w:t>
      </w:r>
      <w:r w:rsidRPr="00373F2B">
        <w:t xml:space="preserve">σε 41,09 ευρώ. Σε </w:t>
      </w:r>
      <w:r w:rsidR="00E17E44">
        <w:t>σύγκριση</w:t>
      </w:r>
      <w:r w:rsidRPr="00373F2B">
        <w:t xml:space="preserve"> με το 2019 ο κατώτατος μισθός έχει αυξηθεί σωρευτικά κατά 41,5%.</w:t>
      </w:r>
      <w:r w:rsidR="00E17E44">
        <w:t xml:space="preserve"> Η στόχευση γ</w:t>
      </w:r>
      <w:r w:rsidRPr="00373F2B">
        <w:t>ια την επόμενη περίοδο</w:t>
      </w:r>
      <w:r w:rsidR="00E17E44">
        <w:t xml:space="preserve"> συνίσταται στην περαιτέρω α</w:t>
      </w:r>
      <w:r w:rsidRPr="00696629">
        <w:t xml:space="preserve">ναπροσαρμογή </w:t>
      </w:r>
      <w:r w:rsidR="00E17E44">
        <w:t xml:space="preserve">αυτού </w:t>
      </w:r>
      <w:r>
        <w:t>σε</w:t>
      </w:r>
      <w:r w:rsidRPr="00AA6FEA">
        <w:t xml:space="preserve"> 960 ευρώ από τον Απρίλιο 2027,</w:t>
      </w:r>
      <w:r>
        <w:t xml:space="preserve"> </w:t>
      </w:r>
      <w:r w:rsidRPr="00696629">
        <w:t>ώστε να διαμορφωθεί σε 1.000 ευρώ έως τον Ιανουάριο 2028.</w:t>
      </w:r>
    </w:p>
    <w:p w14:paraId="0A8469EA" w14:textId="2ACB5F23" w:rsidR="00CF3600" w:rsidRPr="00696629" w:rsidRDefault="00CF3600" w:rsidP="003B037B">
      <w:r w:rsidRPr="00696629">
        <w:t xml:space="preserve">Σύμφωνα με τα στοιχεία της ετήσιας έκθεσης του </w:t>
      </w:r>
      <w:r w:rsidR="00E17E44">
        <w:t>π</w:t>
      </w:r>
      <w:r w:rsidRPr="00696629">
        <w:t xml:space="preserve">ληροφοριακού </w:t>
      </w:r>
      <w:r w:rsidR="00E17E44">
        <w:t>σ</w:t>
      </w:r>
      <w:r w:rsidRPr="00696629">
        <w:t>υστήματος ΕΡΓΑΝΗ για το 2025, ο μέσος μηνιαίος μισθός των μισθωτών του ιδιωτικού τομέα διαμορφώθηκε σε 1.363 ευρώ, αυξημένος κατά 30,3%</w:t>
      </w:r>
      <w:r w:rsidR="00E17E44">
        <w:t xml:space="preserve"> </w:t>
      </w:r>
      <w:r w:rsidRPr="00696629">
        <w:t>σε σ</w:t>
      </w:r>
      <w:r w:rsidR="00E17E44">
        <w:t xml:space="preserve">ύγκριση </w:t>
      </w:r>
      <w:r w:rsidRPr="00696629">
        <w:t>με το 2019, ενώ ο μέσος μισθός πλήρους απασχόλησης ανήλθε σε 1.516 ευρώ. Για το 2026 οι αμοιβές εξαρτημένης εργασίας ανά εργαζόμενο εκτιμάται ότι θα αυξηθούν κατά 3,7%, ενώ οι συνολικές αμοιβές εξαρτημένης εργασίας κατά 4,4%.</w:t>
      </w:r>
    </w:p>
    <w:p w14:paraId="14DFEB0F" w14:textId="49967222" w:rsidR="00CF3600" w:rsidRDefault="00CF3600" w:rsidP="003B037B">
      <w:r w:rsidRPr="00696629">
        <w:t>Παράλληλα, η ενίσχυση της φορολογικής συμμόρφωσης και ο περιορισμός της φοροδιαφυγής</w:t>
      </w:r>
      <w:r w:rsidR="00A4758F">
        <w:t>,</w:t>
      </w:r>
      <w:r w:rsidRPr="00696629">
        <w:t xml:space="preserve"> μέσω της διεύρυνσης των ηλεκτρονικών συναλλαγών, της ψηφιοποίησης της φορολογικής διοίκησης και της αξιοποίησης νέων εργαλείων διασταυρώσεων και ελέγχου, έχουν συμβάλει στη δημιουργία πρόσθετου δημοσιονομικού χώρου. Η </w:t>
      </w:r>
      <w:r w:rsidR="009331C6">
        <w:t xml:space="preserve">εν λόγω </w:t>
      </w:r>
      <w:r w:rsidRPr="00696629">
        <w:t>εξέλιξη επιτρέπει την εφαρμογή παρεμβάσεων μείωσης των φορολογικών βαρών,</w:t>
      </w:r>
      <w:r w:rsidR="009331C6">
        <w:t xml:space="preserve"> στις οποίες συμπεριλαμβάνεται </w:t>
      </w:r>
      <w:r w:rsidRPr="00696629">
        <w:t>η αναμόρφωση της κλίμακας φορολογίας εισοδήματος φυσικών προσώπων από το φορολογικό έτος 2026, με διαφοροποιήσεις ανάλογα με τον αριθμό των εξαρτώμενων τέκνων και την ηλικία των φορολογουμένων.</w:t>
      </w:r>
    </w:p>
    <w:p w14:paraId="6D496900" w14:textId="4A1FFBD9" w:rsidR="00CF3600" w:rsidRPr="00696629" w:rsidRDefault="00CF3600" w:rsidP="003B037B">
      <w:r w:rsidRPr="00F6284B">
        <w:t>Η εξέλιξη των ονομαστικών εισοδημάτων και του διαθ</w:t>
      </w:r>
      <w:r w:rsidR="00CA144D">
        <w:t>έ</w:t>
      </w:r>
      <w:r w:rsidRPr="00F6284B">
        <w:t>σ</w:t>
      </w:r>
      <w:r w:rsidR="00CA144D">
        <w:t>ι</w:t>
      </w:r>
      <w:r w:rsidRPr="00F6284B">
        <w:t xml:space="preserve">μου εισοδήματος των νοικοκυριών πρέπει, ωστόσο, να αξιολογείται </w:t>
      </w:r>
      <w:r w:rsidR="003A28F0">
        <w:t xml:space="preserve">συνδυαστικά </w:t>
      </w:r>
      <w:r w:rsidRPr="00F6284B">
        <w:t>με την πορεία του επιπέδου των τιμών.</w:t>
      </w:r>
      <w:r>
        <w:t xml:space="preserve"> </w:t>
      </w:r>
      <w:r w:rsidRPr="00696629">
        <w:t xml:space="preserve">Για το σύνολο του 2026 </w:t>
      </w:r>
      <w:r w:rsidR="00370645">
        <w:t xml:space="preserve">και με βάση τα διαθέσιμα στοιχεία έως το τέλος Αυγούστου, </w:t>
      </w:r>
      <w:r w:rsidRPr="00696629">
        <w:t>ο μέσος ετήσιος ρυθμός μεταβολής του Εναρμονισμένου Δείκτη Τιμών Καταναλωτή (</w:t>
      </w:r>
      <w:proofErr w:type="spellStart"/>
      <w:r w:rsidRPr="00696629">
        <w:t>ΕνΔΤΚ</w:t>
      </w:r>
      <w:proofErr w:type="spellEnd"/>
      <w:r w:rsidRPr="00696629">
        <w:t xml:space="preserve">) εκτιμάται σε 3,6% και του εθνικού Δείκτη Τιμών Καταναλωτή (ΔΤΚ) σε 3,8%. Οι πληθωριστικές πιέσεις ενισχύθηκαν κατά τους πρώτους μήνες του έτους </w:t>
      </w:r>
      <w:r w:rsidR="00546EE1">
        <w:t>εν μέσω</w:t>
      </w:r>
      <w:r w:rsidR="00D03131">
        <w:t xml:space="preserve"> συνθηκών </w:t>
      </w:r>
      <w:r w:rsidRPr="00696629">
        <w:t>σημαντικής αύξησης των διεθνών τιμών της ενέργειας. Ειδικότερα, σύμφων</w:t>
      </w:r>
      <w:r>
        <w:t>α</w:t>
      </w:r>
      <w:r w:rsidRPr="00696629">
        <w:t xml:space="preserve"> με τα στοιχεία </w:t>
      </w:r>
      <w:r w:rsidRPr="008E7700">
        <w:t>της ΕΛΣΤΑΤ</w:t>
      </w:r>
      <w:r w:rsidRPr="008E7700">
        <w:rPr>
          <w:vertAlign w:val="superscript"/>
        </w:rPr>
        <w:footnoteReference w:id="4"/>
      </w:r>
      <w:r w:rsidRPr="008E7700">
        <w:t>, ο ετήσιος</w:t>
      </w:r>
      <w:r w:rsidRPr="00696629">
        <w:t xml:space="preserve"> ρυθμός μεταβολής του ΔΤΚ αυξήθηκε από 2,7% τον Φεβρουάριο 2026 σε 3,9% τον Μάρτιο και </w:t>
      </w:r>
      <w:r w:rsidR="00A4758F">
        <w:t xml:space="preserve">σε </w:t>
      </w:r>
      <w:r w:rsidRPr="00696629">
        <w:t>5,4% τον Απρίλιο. Στη συνέχεια</w:t>
      </w:r>
      <w:r w:rsidR="00A4758F">
        <w:t>,</w:t>
      </w:r>
      <w:r w:rsidRPr="00696629">
        <w:t xml:space="preserve"> υποχώρησε σε 5,2% τον Μάιο, </w:t>
      </w:r>
      <w:r w:rsidR="009E76DE">
        <w:t xml:space="preserve">σε </w:t>
      </w:r>
      <w:r w:rsidRPr="00696629">
        <w:t xml:space="preserve">4,4% τον Ιούνιο και </w:t>
      </w:r>
      <w:r w:rsidR="009E76DE">
        <w:t xml:space="preserve">σε </w:t>
      </w:r>
      <w:r w:rsidRPr="00696629">
        <w:t>3,4% τον Ιούλιο, ενώ τον Αύγουστο διαμορφώθηκε σε 3,8%.</w:t>
      </w:r>
    </w:p>
    <w:p w14:paraId="344E1AF0" w14:textId="70571A14" w:rsidR="00CF3600" w:rsidRPr="00696629" w:rsidRDefault="00CF3600" w:rsidP="003B037B">
      <w:r w:rsidRPr="00696629">
        <w:t>Κατά την περίοδο Ιανουαρίου</w:t>
      </w:r>
      <w:r w:rsidR="00830C1C">
        <w:t xml:space="preserve"> - </w:t>
      </w:r>
      <w:r w:rsidRPr="00696629">
        <w:t>Αυγούστου 2026 ο μέσος ρυθμός μεταβολής του ΔΤΚ διαμορφώθηκε σε 3,9% έναντι 2,6% την αντίστοιχη περίοδο του 2025. Οι μεγαλύτερες αυξήσεις κατ</w:t>
      </w:r>
      <w:r w:rsidR="00A3203C">
        <w:t>ε</w:t>
      </w:r>
      <w:r w:rsidRPr="00696629">
        <w:t>γράφη</w:t>
      </w:r>
      <w:r w:rsidR="00A3203C">
        <w:t>σ</w:t>
      </w:r>
      <w:r w:rsidRPr="00696629">
        <w:t>αν στην ομάδα «Στέγαση» (8,1%), στην ομάδα «Μεταφορές» (6,8%) και στις υπηρεσίες εστίασης και διαμονής (6,7%). Στην ομάδα «Διατροφή και μη αλκοολούχα ποτά» ο μέσος ρυθμός αύξησης των τιμών διαμορφώθηκε σε 3,3%</w:t>
      </w:r>
      <w:r w:rsidR="009E76DE">
        <w:t>,</w:t>
      </w:r>
      <w:r w:rsidRPr="00696629">
        <w:t xml:space="preserve"> παρουσιάζοντας αποκλιμάκωση εντός της περιόδου από 5,2% τον Φεβρουάριο σε 0,9% τον Αύγουστο.</w:t>
      </w:r>
    </w:p>
    <w:p w14:paraId="336C3F6E" w14:textId="68E29B65" w:rsidR="00CF3600" w:rsidRDefault="00CF3600" w:rsidP="00F06055">
      <w:r w:rsidRPr="00696629">
        <w:t xml:space="preserve">Αντίστοιχη εξέλιξη παρουσίασε ο </w:t>
      </w:r>
      <w:proofErr w:type="spellStart"/>
      <w:r w:rsidRPr="00696629">
        <w:t>ΕνΔΤΚ</w:t>
      </w:r>
      <w:proofErr w:type="spellEnd"/>
      <w:r w:rsidR="000A0EFB">
        <w:t xml:space="preserve"> και συγκεκριμένα, σ</w:t>
      </w:r>
      <w:r w:rsidRPr="00696629">
        <w:t>την Ελλάδα ο μέσος ετήσιος ρυθμός μεταβολής του κατά</w:t>
      </w:r>
      <w:r w:rsidRPr="00715799">
        <w:t xml:space="preserve"> την περίοδο Ιανουαρίου</w:t>
      </w:r>
      <w:r w:rsidR="000A0EFB">
        <w:t xml:space="preserve"> - </w:t>
      </w:r>
      <w:r w:rsidRPr="00715799">
        <w:t xml:space="preserve">Αυγούστου 2026 διαμορφώθηκε σε 3,6% έναντι 3,2% την αντίστοιχη περίοδο του 2025. Σε ετήσια βάση ο </w:t>
      </w:r>
      <w:proofErr w:type="spellStart"/>
      <w:r w:rsidRPr="00715799">
        <w:t>ΕνΔΤΚ</w:t>
      </w:r>
      <w:proofErr w:type="spellEnd"/>
      <w:r w:rsidRPr="00715799">
        <w:t xml:space="preserve"> υποχώρησε σε 2,7% τον Ιούλιο και αυξήθηκε σε 3,7</w:t>
      </w:r>
      <w:r w:rsidRPr="00696629">
        <w:t xml:space="preserve">% τον Αύγουστο. Στην Ευρωζώνη ο ετήσιος ρυθμός μεταβολής του </w:t>
      </w:r>
      <w:proofErr w:type="spellStart"/>
      <w:r w:rsidRPr="00696629">
        <w:t>ΕνΔΤΚ</w:t>
      </w:r>
      <w:proofErr w:type="spellEnd"/>
      <w:r w:rsidRPr="00696629">
        <w:t xml:space="preserve"> διαμορφώθηκε τον Αύγουστο σε 3,2%.</w:t>
      </w:r>
    </w:p>
    <w:p w14:paraId="7A9A3CA9" w14:textId="05DFF134" w:rsidR="00CF3600" w:rsidRPr="00E26506" w:rsidRDefault="00E26506" w:rsidP="00F06055">
      <w:pPr>
        <w:pStyle w:val="afc"/>
        <w:keepNext/>
        <w:spacing w:before="240" w:after="60" w:line="276" w:lineRule="auto"/>
        <w:jc w:val="center"/>
        <w:rPr>
          <w:rFonts w:cs="Arial"/>
          <w:b w:val="0"/>
          <w:bCs w:val="0"/>
          <w:color w:val="000000"/>
          <w:sz w:val="18"/>
          <w:szCs w:val="18"/>
        </w:rPr>
      </w:pPr>
      <w:bookmarkStart w:id="15" w:name="_Ref241260932"/>
      <w:bookmarkStart w:id="16" w:name="_Toc241773241"/>
      <w:r w:rsidRPr="00E26506">
        <w:rPr>
          <w:sz w:val="18"/>
          <w:szCs w:val="18"/>
        </w:rPr>
        <w:t>Διάγραμμα 1.</w:t>
      </w:r>
      <w:r w:rsidRPr="00E26506">
        <w:rPr>
          <w:sz w:val="18"/>
          <w:szCs w:val="18"/>
        </w:rPr>
        <w:fldChar w:fldCharType="begin"/>
      </w:r>
      <w:r w:rsidRPr="00E26506">
        <w:rPr>
          <w:sz w:val="18"/>
          <w:szCs w:val="18"/>
        </w:rPr>
        <w:instrText xml:space="preserve"> SEQ Διάγραμμα_1. \* ARABIC </w:instrText>
      </w:r>
      <w:r w:rsidRPr="00E26506">
        <w:rPr>
          <w:sz w:val="18"/>
          <w:szCs w:val="18"/>
        </w:rPr>
        <w:fldChar w:fldCharType="separate"/>
      </w:r>
      <w:r w:rsidR="007F6D9C">
        <w:rPr>
          <w:noProof/>
          <w:sz w:val="18"/>
          <w:szCs w:val="18"/>
        </w:rPr>
        <w:t>6</w:t>
      </w:r>
      <w:r w:rsidRPr="00E26506">
        <w:rPr>
          <w:sz w:val="18"/>
          <w:szCs w:val="18"/>
        </w:rPr>
        <w:fldChar w:fldCharType="end"/>
      </w:r>
      <w:bookmarkEnd w:id="15"/>
      <w:r w:rsidRPr="00E26506">
        <w:rPr>
          <w:sz w:val="18"/>
          <w:szCs w:val="18"/>
        </w:rPr>
        <w:t xml:space="preserve">.: </w:t>
      </w:r>
      <w:r w:rsidR="00CF3600" w:rsidRPr="00E26506">
        <w:rPr>
          <w:color w:val="000000"/>
          <w:sz w:val="18"/>
          <w:szCs w:val="18"/>
        </w:rPr>
        <w:t>Εξέλιξη διεθνών τιμών ενέργειας</w:t>
      </w:r>
      <w:r>
        <w:rPr>
          <w:color w:val="000000"/>
          <w:sz w:val="18"/>
          <w:szCs w:val="18"/>
        </w:rPr>
        <w:t xml:space="preserve"> </w:t>
      </w:r>
      <w:r w:rsidR="00CF3600" w:rsidRPr="00E26506">
        <w:rPr>
          <w:color w:val="000000"/>
          <w:sz w:val="18"/>
          <w:szCs w:val="18"/>
        </w:rPr>
        <w:t>(μηνιαία στοιχεία επ</w:t>
      </w:r>
      <w:r w:rsidR="00457B67">
        <w:rPr>
          <w:color w:val="000000"/>
          <w:sz w:val="18"/>
          <w:szCs w:val="18"/>
        </w:rPr>
        <w:t>ι</w:t>
      </w:r>
      <w:r w:rsidR="00CF3600" w:rsidRPr="00E26506">
        <w:rPr>
          <w:color w:val="000000"/>
          <w:sz w:val="18"/>
          <w:szCs w:val="18"/>
        </w:rPr>
        <w:t>π</w:t>
      </w:r>
      <w:r w:rsidR="00457B67">
        <w:rPr>
          <w:color w:val="000000"/>
          <w:sz w:val="18"/>
          <w:szCs w:val="18"/>
        </w:rPr>
        <w:t>έ</w:t>
      </w:r>
      <w:r w:rsidR="00CF3600" w:rsidRPr="00E26506">
        <w:rPr>
          <w:color w:val="000000"/>
          <w:sz w:val="18"/>
          <w:szCs w:val="18"/>
        </w:rPr>
        <w:t>δου τιμών)</w:t>
      </w:r>
      <w:bookmarkEnd w:id="16"/>
    </w:p>
    <w:p w14:paraId="72F6584F" w14:textId="706CF3A0" w:rsidR="007C1439" w:rsidRDefault="007C1439" w:rsidP="007C1439">
      <w:pPr>
        <w:spacing w:after="0" w:line="276" w:lineRule="auto"/>
        <w:jc w:val="center"/>
        <w:rPr>
          <w:rFonts w:cs="Arial"/>
          <w:b/>
          <w:bCs/>
          <w:sz w:val="18"/>
          <w:szCs w:val="18"/>
        </w:rPr>
      </w:pPr>
      <w:r>
        <w:rPr>
          <w:noProof/>
        </w:rPr>
        <w:drawing>
          <wp:inline distT="0" distB="0" distL="0" distR="0" wp14:anchorId="1ECB4321" wp14:editId="371C15D6">
            <wp:extent cx="5759450" cy="2520000"/>
            <wp:effectExtent l="0" t="0" r="12700" b="13970"/>
            <wp:docPr id="19" name="Γράφημα 19">
              <a:extLst xmlns:a="http://schemas.openxmlformats.org/drawingml/2006/main">
                <a:ext uri="{FF2B5EF4-FFF2-40B4-BE49-F238E27FC236}">
                  <a16:creationId xmlns:a16="http://schemas.microsoft.com/office/drawing/2014/main" id="{00000000-0008-0000-0600-00006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364980" w14:textId="77777777" w:rsidR="00CF3600" w:rsidRDefault="00CF3600" w:rsidP="008B5494">
      <w:pPr>
        <w:tabs>
          <w:tab w:val="left" w:pos="0"/>
        </w:tabs>
        <w:spacing w:before="60" w:after="240" w:line="276" w:lineRule="auto"/>
        <w:rPr>
          <w:rFonts w:cs="Arial"/>
          <w:sz w:val="16"/>
          <w:szCs w:val="16"/>
        </w:rPr>
      </w:pPr>
      <w:r>
        <w:rPr>
          <w:rFonts w:cs="Arial"/>
          <w:color w:val="000000"/>
          <w:sz w:val="16"/>
          <w:szCs w:val="16"/>
        </w:rPr>
        <w:t xml:space="preserve">Πηγή: </w:t>
      </w:r>
      <w:proofErr w:type="spellStart"/>
      <w:r>
        <w:rPr>
          <w:rFonts w:cs="Arial"/>
          <w:color w:val="000000"/>
          <w:sz w:val="16"/>
          <w:szCs w:val="16"/>
        </w:rPr>
        <w:t>Intercontinental</w:t>
      </w:r>
      <w:proofErr w:type="spellEnd"/>
      <w:r>
        <w:rPr>
          <w:rFonts w:cs="Arial"/>
          <w:color w:val="000000"/>
          <w:sz w:val="16"/>
          <w:szCs w:val="16"/>
        </w:rPr>
        <w:t xml:space="preserve"> Exchange (ICE), Παγκόσμια Τράπεζα, </w:t>
      </w:r>
      <w:proofErr w:type="spellStart"/>
      <w:r>
        <w:rPr>
          <w:rFonts w:cs="Arial"/>
          <w:color w:val="000000"/>
          <w:sz w:val="16"/>
          <w:szCs w:val="16"/>
        </w:rPr>
        <w:t>Commodity</w:t>
      </w:r>
      <w:proofErr w:type="spellEnd"/>
      <w:r>
        <w:rPr>
          <w:rFonts w:cs="Arial"/>
          <w:color w:val="000000"/>
          <w:sz w:val="16"/>
          <w:szCs w:val="16"/>
        </w:rPr>
        <w:t xml:space="preserve"> </w:t>
      </w:r>
      <w:proofErr w:type="spellStart"/>
      <w:r>
        <w:rPr>
          <w:rFonts w:cs="Arial"/>
          <w:color w:val="000000"/>
          <w:sz w:val="16"/>
          <w:szCs w:val="16"/>
        </w:rPr>
        <w:t>Markets</w:t>
      </w:r>
      <w:proofErr w:type="spellEnd"/>
      <w:r>
        <w:rPr>
          <w:rFonts w:cs="Arial"/>
          <w:color w:val="000000"/>
          <w:sz w:val="16"/>
          <w:szCs w:val="16"/>
        </w:rPr>
        <w:t>, μηνιαίες τιμές, Σεπτέμβριος 2026</w:t>
      </w:r>
    </w:p>
    <w:p w14:paraId="72833EF5" w14:textId="21E62F10" w:rsidR="0040554E" w:rsidRPr="00230AE6" w:rsidRDefault="0040554E" w:rsidP="00BE678F">
      <w:r w:rsidRPr="00F6284B">
        <w:t xml:space="preserve">Καθοριστικός </w:t>
      </w:r>
      <w:r>
        <w:t>εξωγενής</w:t>
      </w:r>
      <w:r w:rsidRPr="00F6284B">
        <w:t xml:space="preserve"> παράγοντας για την εξέλιξη των τιμών κατά το 2026 ήταν η σημαντική μεταβολή των διεθνών τιμών της ενέργειας, η πορεία των οποίων παρουσιάζεται </w:t>
      </w:r>
      <w:r w:rsidRPr="008E7700">
        <w:t xml:space="preserve">στο </w:t>
      </w:r>
      <w:r w:rsidR="008B5494" w:rsidRPr="008E7700">
        <w:fldChar w:fldCharType="begin"/>
      </w:r>
      <w:r w:rsidR="008B5494" w:rsidRPr="008E7700">
        <w:instrText xml:space="preserve"> REF _Ref241260932 \h  \* MERGEFORMAT </w:instrText>
      </w:r>
      <w:r w:rsidR="008B5494" w:rsidRPr="008E7700">
        <w:fldChar w:fldCharType="separate"/>
      </w:r>
      <w:r w:rsidR="007F6D9C" w:rsidRPr="008E7700">
        <w:t>Διάγραμμα 1.6</w:t>
      </w:r>
      <w:r w:rsidR="008B5494" w:rsidRPr="008E7700">
        <w:fldChar w:fldCharType="end"/>
      </w:r>
      <w:r w:rsidR="008B5494" w:rsidRPr="008E7700">
        <w:t xml:space="preserve">. </w:t>
      </w:r>
      <w:r w:rsidRPr="008E7700">
        <w:t>Οι</w:t>
      </w:r>
      <w:r w:rsidRPr="00696629">
        <w:t xml:space="preserve"> διεθνείς τιμές της ενέργειας κατέγραψαν σημαντική άνοδο κατά το 2026</w:t>
      </w:r>
      <w:r w:rsidR="00467EE1">
        <w:t>,</w:t>
      </w:r>
      <w:r w:rsidRPr="00696629">
        <w:t xml:space="preserve"> αντανακλώντας</w:t>
      </w:r>
      <w:r w:rsidRPr="00715799">
        <w:t xml:space="preserve"> την αυξημένη γεωπολιτική αβεβαιότητα στη Μέση Ανατολή και τις διαταραχές στις θαλάσσιες εμπορικές ροές μέσω των Στενών του </w:t>
      </w:r>
      <w:proofErr w:type="spellStart"/>
      <w:r w:rsidRPr="00715799">
        <w:t>Ορμούζ</w:t>
      </w:r>
      <w:proofErr w:type="spellEnd"/>
      <w:r w:rsidRPr="00715799">
        <w:t xml:space="preserve">. Η μέση μηνιαία τιμή του αργού πετρελαίου Brent αυξήθηκε από 66,8 δολάρια ανά βαρέλι τον Ιανουάριο 2026 σε 103,7 δολάρια τον Μάρτιο και </w:t>
      </w:r>
      <w:r w:rsidR="00467EE1">
        <w:t xml:space="preserve">σε </w:t>
      </w:r>
      <w:r w:rsidRPr="00715799">
        <w:t>120,4 δολάρια τον Απρίλιο, στο υψηλότερο επίπεδο από τον Απρίλιο 2012. Στη συνέχεια</w:t>
      </w:r>
      <w:r w:rsidR="009460C3">
        <w:t>,</w:t>
      </w:r>
      <w:r w:rsidRPr="00715799">
        <w:t xml:space="preserve"> αποκλιμακώθηκε σε 85,4 δολάρια τον Ιούνιο</w:t>
      </w:r>
      <w:r>
        <w:t xml:space="preserve"> και</w:t>
      </w:r>
      <w:r w:rsidRPr="00715799">
        <w:t xml:space="preserve"> </w:t>
      </w:r>
      <w:r w:rsidR="00467EE1">
        <w:t xml:space="preserve">σε </w:t>
      </w:r>
      <w:r w:rsidRPr="00715799">
        <w:t>83,4 δολάρια τον Ιούλιο</w:t>
      </w:r>
      <w:r>
        <w:t>,</w:t>
      </w:r>
      <w:r w:rsidRPr="00715799">
        <w:t xml:space="preserve"> πριν αυξηθεί εκ νέου σε 90,9 δολάρια τον Αύγουστο. Η μέση τιμή του Αυγούστου ήταν υψηλότερη κατά 33% </w:t>
      </w:r>
      <w:r w:rsidR="00717DEF" w:rsidRPr="00715799">
        <w:t xml:space="preserve">περίπου </w:t>
      </w:r>
      <w:r w:rsidR="009460C3">
        <w:t>έναντι του αντ</w:t>
      </w:r>
      <w:r w:rsidR="00546EE1">
        <w:t>ί</w:t>
      </w:r>
      <w:r w:rsidR="009460C3">
        <w:t>στο</w:t>
      </w:r>
      <w:r w:rsidR="00546EE1">
        <w:t>ι</w:t>
      </w:r>
      <w:r w:rsidR="009460C3">
        <w:t xml:space="preserve">χου </w:t>
      </w:r>
      <w:r w:rsidRPr="00715799">
        <w:t>μήνα του 2025, ενώ στις αρχές Σεπτεμβρίου οι τιμές διαμορφώθηκαν εκ νέου σε επίπεδα άνω των 100 δολαρίων ανά βαρέλι.</w:t>
      </w:r>
    </w:p>
    <w:p w14:paraId="0672F9D4" w14:textId="2FB4AA22" w:rsidR="00CF3600" w:rsidRPr="00F6284B" w:rsidRDefault="00CF3600" w:rsidP="00BE678F">
      <w:r w:rsidRPr="004416D3">
        <w:t xml:space="preserve">Ανοδική ήταν και η πορεία των τιμών του φυσικού αερίου στην Ευρώπη. Η μέση μηνιαία τιμή </w:t>
      </w:r>
      <w:r w:rsidR="00301F2E">
        <w:rPr>
          <w:lang w:val="en-US"/>
        </w:rPr>
        <w:t>Title</w:t>
      </w:r>
      <w:r w:rsidR="00301F2E" w:rsidRPr="00301F2E">
        <w:t xml:space="preserve"> </w:t>
      </w:r>
      <w:r w:rsidR="00301F2E">
        <w:rPr>
          <w:lang w:val="en-US"/>
        </w:rPr>
        <w:t>Transfer</w:t>
      </w:r>
      <w:r w:rsidR="00301F2E" w:rsidRPr="00301F2E">
        <w:t xml:space="preserve"> </w:t>
      </w:r>
      <w:r w:rsidR="00301F2E">
        <w:rPr>
          <w:lang w:val="en-US"/>
        </w:rPr>
        <w:t>Facility</w:t>
      </w:r>
      <w:r w:rsidR="00301F2E" w:rsidRPr="00301F2E">
        <w:t xml:space="preserve"> (</w:t>
      </w:r>
      <w:r w:rsidRPr="004416D3">
        <w:t>TTF</w:t>
      </w:r>
      <w:r w:rsidR="00301F2E" w:rsidRPr="007B3E96">
        <w:t>)</w:t>
      </w:r>
      <w:r w:rsidRPr="004416D3">
        <w:t>, μετά τη σημαντική αποκλιμάκωση που είχε καταγραφεί έως το τέλος του 2025</w:t>
      </w:r>
      <w:r w:rsidR="00560435">
        <w:t>,</w:t>
      </w:r>
      <w:r w:rsidR="00560435" w:rsidRPr="00560435">
        <w:t xml:space="preserve"> </w:t>
      </w:r>
      <w:r w:rsidR="00560435" w:rsidRPr="00696629">
        <w:t>αυξήθηκε</w:t>
      </w:r>
      <w:r w:rsidRPr="004416D3">
        <w:t xml:space="preserve"> από 27,6 ευρώ ανά μεγαβατώρα τον </w:t>
      </w:r>
      <w:r w:rsidRPr="00696629">
        <w:t xml:space="preserve">Δεκέμβριο 2025 σε 52,9 ευρώ </w:t>
      </w:r>
      <w:r w:rsidR="00560435" w:rsidRPr="004416D3">
        <w:t xml:space="preserve">ανά μεγαβατώρα </w:t>
      </w:r>
      <w:r w:rsidRPr="00696629">
        <w:t>τον Μάρτιο 2026. Μετά από μερική αποκλιμάκωση κατά την άνοιξη</w:t>
      </w:r>
      <w:r w:rsidR="004D7909">
        <w:t>,</w:t>
      </w:r>
      <w:r w:rsidRPr="00696629">
        <w:t xml:space="preserve"> οι τιμές επανήλθαν σε ανοδική τροχιά αντανακλώντας τόσο τις γεωπολιτικές εξελίξεις όσο και τις αυξημένες ανάγκες αναπλήρωσης των ευρωπαϊκών αποθεμάτων ενόψει του χειμώνα. Τον Αύγουστο η μέση τιμή διαμορφώθηκε σε 62,1 ευρώ ανά μεγαβατώρα, σχεδόν </w:t>
      </w:r>
      <w:r w:rsidRPr="00F6284B">
        <w:t xml:space="preserve">διπλάσια σε </w:t>
      </w:r>
      <w:r w:rsidR="00D75646">
        <w:t>σύγκριση</w:t>
      </w:r>
      <w:r w:rsidRPr="00F6284B">
        <w:t xml:space="preserve"> με τον Αύγουστο 2025, ενώ στις αρχές Σεπτεμβρίου ανήλθε σε 75,6 ευρώ ανά μεγαβατώρα.</w:t>
      </w:r>
    </w:p>
    <w:p w14:paraId="03E6DFA2" w14:textId="63AF8A24" w:rsidR="00CF3600" w:rsidRDefault="00CF3600" w:rsidP="00BE678F">
      <w:r w:rsidRPr="00F6284B">
        <w:t>Η τιμή του άνθρακα κατέγραψε ηπιότερη άνοδο, ενώ η τιμή του φυσικού αερίου στις ΗΠΑ (</w:t>
      </w:r>
      <w:proofErr w:type="spellStart"/>
      <w:r w:rsidRPr="00F6284B">
        <w:t>Henry</w:t>
      </w:r>
      <w:proofErr w:type="spellEnd"/>
      <w:r w:rsidRPr="00F6284B">
        <w:t xml:space="preserve"> </w:t>
      </w:r>
      <w:proofErr w:type="spellStart"/>
      <w:r w:rsidRPr="00F6284B">
        <w:t>Hub</w:t>
      </w:r>
      <w:proofErr w:type="spellEnd"/>
      <w:r w:rsidRPr="00F6284B">
        <w:t>) παρέμεινε σε αισθητά χαμηλότερα</w:t>
      </w:r>
      <w:r w:rsidRPr="004416D3">
        <w:t xml:space="preserve"> επίπεδα, μετά από την πρόσκαιρη αύξηση που κατ</w:t>
      </w:r>
      <w:r w:rsidR="00560435">
        <w:t>ε</w:t>
      </w:r>
      <w:r w:rsidRPr="004416D3">
        <w:t>γράφη στις αρχές του 2026.</w:t>
      </w:r>
    </w:p>
    <w:p w14:paraId="599A8508" w14:textId="5E1C672E" w:rsidR="00CF3600" w:rsidRPr="008E7700" w:rsidRDefault="00CF3600" w:rsidP="00B42698">
      <w:r w:rsidRPr="00F6284B">
        <w:t>Πέρα από την επίδρασή τους στον πληθωρισμό και στο κόστος παραγωγής, οι διεθνείς ενεργειακές τιμές και οι συνθήκες εξωτερικής ζήτησης επηρεάζουν και το εξωτερικό ισοζύγιο της ελληνικής οικονομίας.</w:t>
      </w:r>
      <w:r>
        <w:t xml:space="preserve"> </w:t>
      </w:r>
      <w:r w:rsidRPr="00F6284B">
        <w:t xml:space="preserve">Η εξέλιξη του ισοζυγίου τρεχουσών συναλλαγών και των επιμέρους ισοζυγίων παρουσιάζεται </w:t>
      </w:r>
      <w:r w:rsidRPr="008E7700">
        <w:t xml:space="preserve">στο </w:t>
      </w:r>
      <w:r w:rsidR="003411A3" w:rsidRPr="008E7700">
        <w:rPr>
          <w:szCs w:val="20"/>
        </w:rPr>
        <w:fldChar w:fldCharType="begin"/>
      </w:r>
      <w:r w:rsidR="003411A3" w:rsidRPr="008E7700">
        <w:instrText xml:space="preserve"> REF _Ref241492517 \h </w:instrText>
      </w:r>
      <w:r w:rsidR="003411A3" w:rsidRPr="008E7700">
        <w:rPr>
          <w:szCs w:val="20"/>
        </w:rPr>
        <w:instrText xml:space="preserve"> \* MERGEFORMAT </w:instrText>
      </w:r>
      <w:r w:rsidR="003411A3" w:rsidRPr="008E7700">
        <w:rPr>
          <w:szCs w:val="20"/>
        </w:rPr>
      </w:r>
      <w:r w:rsidR="003411A3" w:rsidRPr="008E7700">
        <w:rPr>
          <w:szCs w:val="20"/>
        </w:rPr>
        <w:fldChar w:fldCharType="separate"/>
      </w:r>
      <w:r w:rsidR="007F6D9C" w:rsidRPr="008E7700">
        <w:t>Διάγραμμα 1.7</w:t>
      </w:r>
      <w:r w:rsidR="003411A3" w:rsidRPr="008E7700">
        <w:rPr>
          <w:szCs w:val="20"/>
        </w:rPr>
        <w:fldChar w:fldCharType="end"/>
      </w:r>
      <w:r w:rsidR="003411A3" w:rsidRPr="008E7700">
        <w:rPr>
          <w:szCs w:val="20"/>
        </w:rPr>
        <w:t>.</w:t>
      </w:r>
    </w:p>
    <w:p w14:paraId="44B4EA32" w14:textId="64ADBBC6" w:rsidR="005B70E6" w:rsidRPr="00C62384" w:rsidRDefault="003411A3" w:rsidP="00B42698">
      <w:pPr>
        <w:pStyle w:val="afc"/>
        <w:keepNext/>
        <w:spacing w:before="240" w:after="60" w:line="276" w:lineRule="auto"/>
        <w:jc w:val="center"/>
        <w:rPr>
          <w:rFonts w:cs="Arial"/>
          <w:bCs w:val="0"/>
          <w:color w:val="000000"/>
          <w:sz w:val="18"/>
          <w:szCs w:val="18"/>
        </w:rPr>
      </w:pPr>
      <w:bookmarkStart w:id="17" w:name="_Ref241492517"/>
      <w:bookmarkStart w:id="18" w:name="_Toc241773242"/>
      <w:r w:rsidRPr="003411A3">
        <w:rPr>
          <w:rFonts w:cs="Arial"/>
          <w:bCs w:val="0"/>
          <w:color w:val="000000"/>
          <w:sz w:val="18"/>
          <w:szCs w:val="18"/>
        </w:rPr>
        <w:t>Διάγραμμα 1.</w:t>
      </w:r>
      <w:r w:rsidRPr="003411A3">
        <w:rPr>
          <w:rFonts w:cs="Arial"/>
          <w:bCs w:val="0"/>
          <w:color w:val="000000"/>
          <w:sz w:val="18"/>
          <w:szCs w:val="18"/>
        </w:rPr>
        <w:fldChar w:fldCharType="begin"/>
      </w:r>
      <w:r w:rsidRPr="003411A3">
        <w:rPr>
          <w:rFonts w:cs="Arial"/>
          <w:bCs w:val="0"/>
          <w:color w:val="000000"/>
          <w:sz w:val="18"/>
          <w:szCs w:val="18"/>
        </w:rPr>
        <w:instrText xml:space="preserve"> SEQ Διάγραμμα_1. \* ARABIC </w:instrText>
      </w:r>
      <w:r w:rsidRPr="003411A3">
        <w:rPr>
          <w:rFonts w:cs="Arial"/>
          <w:bCs w:val="0"/>
          <w:color w:val="000000"/>
          <w:sz w:val="18"/>
          <w:szCs w:val="18"/>
        </w:rPr>
        <w:fldChar w:fldCharType="separate"/>
      </w:r>
      <w:r w:rsidR="007F6D9C">
        <w:rPr>
          <w:rFonts w:cs="Arial"/>
          <w:bCs w:val="0"/>
          <w:noProof/>
          <w:color w:val="000000"/>
          <w:sz w:val="18"/>
          <w:szCs w:val="18"/>
        </w:rPr>
        <w:t>7</w:t>
      </w:r>
      <w:r w:rsidRPr="003411A3">
        <w:rPr>
          <w:rFonts w:cs="Arial"/>
          <w:bCs w:val="0"/>
          <w:color w:val="000000"/>
          <w:sz w:val="18"/>
          <w:szCs w:val="18"/>
        </w:rPr>
        <w:fldChar w:fldCharType="end"/>
      </w:r>
      <w:bookmarkEnd w:id="17"/>
      <w:r w:rsidRPr="003411A3">
        <w:rPr>
          <w:rFonts w:cs="Arial"/>
          <w:bCs w:val="0"/>
          <w:color w:val="000000"/>
          <w:sz w:val="18"/>
          <w:szCs w:val="18"/>
        </w:rPr>
        <w:t xml:space="preserve">.: </w:t>
      </w:r>
      <w:r w:rsidR="005B70E6" w:rsidRPr="00C62384">
        <w:rPr>
          <w:rFonts w:cs="Arial"/>
          <w:bCs w:val="0"/>
          <w:color w:val="000000"/>
          <w:sz w:val="18"/>
          <w:szCs w:val="18"/>
        </w:rPr>
        <w:t>Εξέλιξη του ισοζυγίου τρεχουσών συναλλαγών και των επιμέρους ισοζυγίων</w:t>
      </w:r>
      <w:r w:rsidR="00BE678F" w:rsidRPr="00C62384">
        <w:rPr>
          <w:rFonts w:cs="Arial"/>
          <w:bCs w:val="0"/>
          <w:color w:val="000000"/>
          <w:sz w:val="18"/>
          <w:szCs w:val="18"/>
        </w:rPr>
        <w:br/>
      </w:r>
      <w:r w:rsidR="005B70E6" w:rsidRPr="00C62384">
        <w:rPr>
          <w:rFonts w:cs="Arial"/>
          <w:bCs w:val="0"/>
          <w:color w:val="000000"/>
          <w:sz w:val="18"/>
          <w:szCs w:val="18"/>
        </w:rPr>
        <w:t>(εκατ. ευρώ, τρέχουσες τιμές, μη εποχικά διορθωμένα στοιχεία)</w:t>
      </w:r>
      <w:bookmarkEnd w:id="18"/>
    </w:p>
    <w:p w14:paraId="794A3A8C" w14:textId="54D5213E" w:rsidR="009E45D1" w:rsidRDefault="009E45D1" w:rsidP="003411A3">
      <w:pPr>
        <w:spacing w:after="0"/>
        <w:jc w:val="center"/>
      </w:pPr>
      <w:r w:rsidRPr="009E45D1">
        <w:rPr>
          <w:noProof/>
          <w:sz w:val="14"/>
        </w:rPr>
        <w:drawing>
          <wp:inline distT="0" distB="0" distL="0" distR="0" wp14:anchorId="0F692CC1" wp14:editId="402EF031">
            <wp:extent cx="5759450" cy="2519680"/>
            <wp:effectExtent l="0" t="0" r="12700" b="13970"/>
            <wp:docPr id="4" name="Γράφημα 4">
              <a:extLst xmlns:a="http://schemas.openxmlformats.org/drawingml/2006/main">
                <a:ext uri="{FF2B5EF4-FFF2-40B4-BE49-F238E27FC236}">
                  <a16:creationId xmlns:a16="http://schemas.microsoft.com/office/drawing/2014/main" id="{00000000-0008-0000-0700-0000A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0D908E" w14:textId="67D9990D" w:rsidR="0000000D" w:rsidRDefault="0000000D" w:rsidP="00B04149">
      <w:pPr>
        <w:tabs>
          <w:tab w:val="left" w:pos="0"/>
        </w:tabs>
        <w:spacing w:before="60" w:after="240" w:line="276" w:lineRule="auto"/>
        <w:rPr>
          <w:rFonts w:cs="Arial"/>
          <w:color w:val="000000"/>
          <w:sz w:val="16"/>
          <w:szCs w:val="16"/>
        </w:rPr>
      </w:pPr>
      <w:r>
        <w:rPr>
          <w:rFonts w:cs="Arial"/>
          <w:color w:val="000000"/>
          <w:sz w:val="16"/>
          <w:szCs w:val="16"/>
        </w:rPr>
        <w:t>Πηγή:</w:t>
      </w:r>
      <w:r w:rsidRPr="00561088">
        <w:rPr>
          <w:rFonts w:cs="Arial"/>
          <w:color w:val="000000"/>
          <w:sz w:val="16"/>
          <w:szCs w:val="16"/>
        </w:rPr>
        <w:t xml:space="preserve"> </w:t>
      </w:r>
      <w:r>
        <w:rPr>
          <w:rFonts w:cs="Arial"/>
          <w:color w:val="000000"/>
          <w:sz w:val="16"/>
          <w:szCs w:val="16"/>
        </w:rPr>
        <w:t>Τράπεζα της Ελλάδ</w:t>
      </w:r>
      <w:r w:rsidR="007B343B">
        <w:rPr>
          <w:rFonts w:cs="Arial"/>
          <w:color w:val="000000"/>
          <w:sz w:val="16"/>
          <w:szCs w:val="16"/>
        </w:rPr>
        <w:t>ο</w:t>
      </w:r>
      <w:r>
        <w:rPr>
          <w:rFonts w:cs="Arial"/>
          <w:color w:val="000000"/>
          <w:sz w:val="16"/>
          <w:szCs w:val="16"/>
        </w:rPr>
        <w:t>ς, επεξεργασία Υπουργείου Εθνικής Οικονομίας και Οικονομικών</w:t>
      </w:r>
    </w:p>
    <w:p w14:paraId="44FCA7A4" w14:textId="39B40081" w:rsidR="0000000D" w:rsidRPr="00806E00" w:rsidRDefault="0000000D" w:rsidP="00DC0D64">
      <w:r w:rsidRPr="00806E00">
        <w:t xml:space="preserve">Κατά το 1ο εξάμηνο του 2026 το έλλειμμα του ισοζυγίου τρεχουσών συναλλαγών αυξήθηκε κατά 1,0 δισ. ευρώ </w:t>
      </w:r>
      <w:r w:rsidR="00010C56" w:rsidRPr="00806E00">
        <w:t xml:space="preserve">περίπου </w:t>
      </w:r>
      <w:r w:rsidRPr="00806E00">
        <w:t>σε σ</w:t>
      </w:r>
      <w:r w:rsidR="00767EF4">
        <w:t xml:space="preserve">ύγκριση </w:t>
      </w:r>
      <w:r w:rsidRPr="00806E00">
        <w:t xml:space="preserve">με την αντίστοιχη περίοδο του 2025 και διαμορφώθηκε σε 9,5 δισ. ευρώ, αντιστοιχώντας σε 7,7% του ΑΕΠ της ίδιας περιόδου έναντι 7,3% το 1ο εξάμηνο του 2025. Η διεύρυνση του ελλείμματος προήλθε κυρίως από τη μεταβολή του ισοζυγίου δευτερογενών εισοδημάτων από πλεονασματικό σε ελλειμματικό και, σε μικρότερο βαθμό, από την αύξηση του ελλείμματος του ισοζυγίου πρωτογενών εισοδημάτων. Οι εξελίξεις αυτές αντισταθμίστηκαν εν μέρει από τη μείωση του ελλείμματος του ισοζυγίου αγαθών και </w:t>
      </w:r>
      <w:r w:rsidR="00767EF4">
        <w:t xml:space="preserve">από </w:t>
      </w:r>
      <w:r w:rsidRPr="00806E00">
        <w:t>την αύξηση του πλεονάσματος του ισοζυγίου υπηρεσιών.</w:t>
      </w:r>
    </w:p>
    <w:p w14:paraId="2BB824A2" w14:textId="69C49DA2" w:rsidR="0000000D" w:rsidRPr="00806E00" w:rsidRDefault="0000000D" w:rsidP="00DC0D64">
      <w:r w:rsidRPr="00806E00">
        <w:t xml:space="preserve">Το πλεόνασμα του ισοζυγίου υπηρεσιών αυξήθηκε κατά 0,4 δισ. </w:t>
      </w:r>
      <w:r>
        <w:t>ευρώ και συγκεκριμένα</w:t>
      </w:r>
      <w:r w:rsidR="007C408C">
        <w:t>,</w:t>
      </w:r>
      <w:r w:rsidRPr="00A5500A">
        <w:t xml:space="preserve"> </w:t>
      </w:r>
      <w:r w:rsidRPr="00806E00">
        <w:t xml:space="preserve">από 7,4 δισ. ευρώ το 1ο εξάμηνο του 2025 σε 7,8 δισ. ευρώ το αντίστοιχο διάστημα του 2026. Στην </w:t>
      </w:r>
      <w:r w:rsidR="00767EF4">
        <w:t xml:space="preserve">εν λόγω </w:t>
      </w:r>
      <w:r w:rsidRPr="00806E00">
        <w:t>εξέλιξη συνέβαλε η αύξηση των ταξιδιωτικών εισπράξεων, οι οποίες την περίοδο Ιανουαρίου</w:t>
      </w:r>
      <w:r w:rsidR="00C477A8">
        <w:t xml:space="preserve"> - </w:t>
      </w:r>
      <w:r w:rsidRPr="00806E00">
        <w:t xml:space="preserve">Ιουνίου 2026 </w:t>
      </w:r>
      <w:r w:rsidR="005365C3">
        <w:t xml:space="preserve">παρουσίασαν αύξηση </w:t>
      </w:r>
      <w:r w:rsidRPr="00806E00">
        <w:t>κατά 1</w:t>
      </w:r>
      <w:r w:rsidR="00C5050E">
        <w:t>2</w:t>
      </w:r>
      <w:r w:rsidRPr="00806E00">
        <w:t>,</w:t>
      </w:r>
      <w:r w:rsidR="00C5050E">
        <w:t>3</w:t>
      </w:r>
      <w:r w:rsidRPr="00806E00">
        <w:t>% σε ετήσια βάση.</w:t>
      </w:r>
    </w:p>
    <w:p w14:paraId="52621D76" w14:textId="397EA08D" w:rsidR="0000000D" w:rsidRPr="00806E00" w:rsidRDefault="0000000D" w:rsidP="00DC0D64">
      <w:r w:rsidRPr="00806E00">
        <w:t xml:space="preserve">Ο Δείκτης Οικονομικού Κλίματος (Economic </w:t>
      </w:r>
      <w:proofErr w:type="spellStart"/>
      <w:r w:rsidRPr="00806E00">
        <w:t>Sentiment</w:t>
      </w:r>
      <w:proofErr w:type="spellEnd"/>
      <w:r w:rsidRPr="00806E00">
        <w:t xml:space="preserve"> </w:t>
      </w:r>
      <w:proofErr w:type="spellStart"/>
      <w:r w:rsidRPr="00806E00">
        <w:t>Indicator</w:t>
      </w:r>
      <w:proofErr w:type="spellEnd"/>
      <w:r w:rsidRPr="00806E00">
        <w:t xml:space="preserve"> </w:t>
      </w:r>
      <w:r w:rsidR="00C477A8">
        <w:t>-</w:t>
      </w:r>
      <w:r w:rsidRPr="00806E00">
        <w:t xml:space="preserve"> ESI) στην Ελλάδα διατηρήθηκε κατά την περίοδο Ιανουαρίου</w:t>
      </w:r>
      <w:r w:rsidR="005E397F">
        <w:t xml:space="preserve"> - </w:t>
      </w:r>
      <w:r w:rsidRPr="00806E00">
        <w:t>Αυγούστου 2026 σε επίπεδο υψηλότερο από τον μακροχρόνιο μέσο όρο του</w:t>
      </w:r>
      <w:r w:rsidR="00F126FE">
        <w:t xml:space="preserve"> καθώς και από τον αντίστοιχο μέσο όρο της Ευρωζώνης</w:t>
      </w:r>
      <w:r w:rsidRPr="00806E00">
        <w:t>. Ειδικότερα, διαμορφώθηκε κατά μέσο όρο σε 107,0 μονάδες έναντι 107,4 μονάδων την αντίστοιχη περίοδο του 2025 και σε 106,9 μονάδες τον Αύγουστο. Στην Ευρωζώνη ο αντίστοιχος δείκτης διαμορφώθηκε κατά μέσο όρο σε 96,7 μονάδες την ίδια περίοδο και σε 98,4 μονάδες τον Αύγουστο. Η Ευρωπαϊκή Επιτροπή ορίζει τις 100 μονάδες ως τον μακροχρόνιο μέσο όρο του δείκτη</w:t>
      </w:r>
      <w:r w:rsidR="00C477A8">
        <w:t xml:space="preserve"> και κατά συνέπεια, </w:t>
      </w:r>
      <w:r w:rsidRPr="00806E00">
        <w:t xml:space="preserve">η σύγκριση με το </w:t>
      </w:r>
      <w:r w:rsidR="00C477A8">
        <w:t xml:space="preserve">εν λόγω </w:t>
      </w:r>
      <w:r w:rsidRPr="00806E00">
        <w:t xml:space="preserve">επίπεδο είναι </w:t>
      </w:r>
      <w:r w:rsidR="00C477A8">
        <w:t xml:space="preserve">προσφορότερη </w:t>
      </w:r>
      <w:r w:rsidRPr="00806E00">
        <w:t>από μ</w:t>
      </w:r>
      <w:r w:rsidR="00C477A8">
        <w:t>ί</w:t>
      </w:r>
      <w:r w:rsidRPr="00806E00">
        <w:t>α αξιολογική σύγκριση των απ</w:t>
      </w:r>
      <w:r w:rsidR="00E403D1">
        <w:t>ό</w:t>
      </w:r>
      <w:r w:rsidRPr="00806E00">
        <w:t>λ</w:t>
      </w:r>
      <w:r w:rsidR="00E403D1">
        <w:t>υ</w:t>
      </w:r>
      <w:r w:rsidRPr="00806E00">
        <w:t>των επιπέδων Ελλάδας και Ευρωζώνης.</w:t>
      </w:r>
    </w:p>
    <w:p w14:paraId="19112411" w14:textId="6492B442" w:rsidR="0000000D" w:rsidRPr="00806E00" w:rsidRDefault="00B064EC" w:rsidP="00DC0D64">
      <w:r w:rsidRPr="00B064EC">
        <w:t>Στην Ελλάδα, σ</w:t>
      </w:r>
      <w:r w:rsidR="0000000D" w:rsidRPr="00B064EC">
        <w:t>ε επίπεδο επιμέρους δεικτών εμπιστοσύνης</w:t>
      </w:r>
      <w:r w:rsidR="00B24F4C">
        <w:t>,</w:t>
      </w:r>
      <w:r w:rsidR="0000000D" w:rsidRPr="00B064EC">
        <w:t xml:space="preserve"> η μεγαλύτερη βελτίωση </w:t>
      </w:r>
      <w:r w:rsidR="004377BA" w:rsidRPr="00B064EC">
        <w:t>έναντι της αντίστοιχης</w:t>
      </w:r>
      <w:r w:rsidR="0000000D" w:rsidRPr="00B064EC">
        <w:t xml:space="preserve"> περ</w:t>
      </w:r>
      <w:r w:rsidR="004377BA" w:rsidRPr="00B064EC">
        <w:t xml:space="preserve">ιόδου </w:t>
      </w:r>
      <w:r w:rsidR="0000000D" w:rsidRPr="00B064EC">
        <w:t>του</w:t>
      </w:r>
      <w:r w:rsidR="003E014A" w:rsidRPr="00B064EC">
        <w:t xml:space="preserve"> </w:t>
      </w:r>
      <w:r w:rsidR="0000000D" w:rsidRPr="00B064EC">
        <w:t>2025 κατ</w:t>
      </w:r>
      <w:r w:rsidR="003E014A" w:rsidRPr="00B064EC">
        <w:t xml:space="preserve">εγράφη </w:t>
      </w:r>
      <w:r w:rsidR="0000000D" w:rsidRPr="00B064EC">
        <w:t>στις κατασκευές και στο λιανικό εμπόριο. Ο δείκτης εμπιστοσύνης στις κατασκευές διαμορφώθηκε κατά μέσο όρο σε 27,8 μονάδες την περίοδο Ιανουαρίου</w:t>
      </w:r>
      <w:r w:rsidR="00F9552A" w:rsidRPr="00B064EC">
        <w:t xml:space="preserve"> - </w:t>
      </w:r>
      <w:r w:rsidR="0000000D" w:rsidRPr="00B064EC">
        <w:t>Αυγούστου 2026 από 17,2 μονάδες την αντίστοιχη περίοδο του 2025, ενώ στο λιανικό εμπόριο αυξήθηκε σε 9,7 μονάδες από 0,7 μονάδες. Στις υπηρεσίες ο αντίστοιχος δείκτης διαμορφώθηκε σε 29,7 μονάδες από 28,9 μονάδες, ενώ στη βιομηχανία παρέμεινε θετικός, στις 4,0 μονάδες. Η καταναλωτική εμπιστοσύνη βελτιώθηκε κατά τους θερινούς μήνες και διαμορφώθηκε σε -43,6 μονάδες τον Αύγουστο.</w:t>
      </w:r>
    </w:p>
    <w:p w14:paraId="41A15EBE" w14:textId="25187675" w:rsidR="0000000D" w:rsidRPr="00806E00" w:rsidRDefault="0000000D" w:rsidP="00DC0D64">
      <w:r w:rsidRPr="00806E00">
        <w:t>Θετικές ενδείξεις για τη μεταποιητική δραστηριότητα παρέχει και ο εποχικά προσαρμοσμένος Δείκτης Υπευθύνων Προμηθειών (</w:t>
      </w:r>
      <w:proofErr w:type="spellStart"/>
      <w:r w:rsidRPr="00806E00">
        <w:t>Purchasing</w:t>
      </w:r>
      <w:proofErr w:type="spellEnd"/>
      <w:r w:rsidRPr="00806E00">
        <w:t xml:space="preserve"> </w:t>
      </w:r>
      <w:proofErr w:type="spellStart"/>
      <w:r w:rsidRPr="00806E00">
        <w:t>Managers</w:t>
      </w:r>
      <w:proofErr w:type="spellEnd"/>
      <w:r w:rsidRPr="00806E00">
        <w:t xml:space="preserve">’ </w:t>
      </w:r>
      <w:proofErr w:type="spellStart"/>
      <w:r w:rsidRPr="00806E00">
        <w:t>Index</w:t>
      </w:r>
      <w:proofErr w:type="spellEnd"/>
      <w:r w:rsidRPr="00806E00">
        <w:t xml:space="preserve"> </w:t>
      </w:r>
      <w:r w:rsidR="00F9552A">
        <w:t>-</w:t>
      </w:r>
      <w:r w:rsidRPr="00806E00">
        <w:t xml:space="preserve"> PMI) της S&amp;P </w:t>
      </w:r>
      <w:proofErr w:type="spellStart"/>
      <w:r w:rsidRPr="00806E00">
        <w:t>Global</w:t>
      </w:r>
      <w:proofErr w:type="spellEnd"/>
      <w:r w:rsidRPr="00806E00">
        <w:t>. Τον Αύγουστο 2026 ο δείκτης για την Ελλάδα διαμορφώθηκε σε 54,4 μονάδες από 54,3 μονάδες τον Ιούλιο, παραμένοντας πάνω από το όριο των 50 μονάδων που διαχωρίζει την επέκταση από τη συρρίκνωση της μεταποιητικής δραστηριότητας. Την ίδια περίοδο ο αντίστοιχος δείκτης για την Ευρωζώνη διαμορφώθηκε σε 52,7 μονάδες.</w:t>
      </w:r>
    </w:p>
    <w:p w14:paraId="66BC6C33" w14:textId="1455754C" w:rsidR="0000000D" w:rsidRPr="00806E00" w:rsidRDefault="0000000D" w:rsidP="005145E1">
      <w:r w:rsidRPr="00806E00">
        <w:t>Στο πεδίο των πιστοληπτικών αξιολογήσεων η Ελλάδα διατηρεί την επενδυτική βαθμίδα</w:t>
      </w:r>
      <w:r w:rsidR="005145E1">
        <w:t xml:space="preserve"> εν μέσω σημαντικών αναταραχών στις παγκόσμιες αγορές</w:t>
      </w:r>
      <w:r w:rsidRPr="00806E00">
        <w:t xml:space="preserve">. Τον Σεπτέμβριο 2026 η DBRS </w:t>
      </w:r>
      <w:proofErr w:type="spellStart"/>
      <w:r w:rsidR="00F9552A" w:rsidRPr="00806E00">
        <w:t>Morningstar</w:t>
      </w:r>
      <w:proofErr w:type="spellEnd"/>
      <w:r w:rsidR="00F9552A" w:rsidRPr="00806E00">
        <w:t xml:space="preserve"> </w:t>
      </w:r>
      <w:r w:rsidRPr="00806E00">
        <w:t>επιβεβαίωσε τη μακροπρόθεσμη πιστοληπτική αξιολόγηση της χώρας στη βαθμίδα BBB και αναθεώρησε τις τάσεις (</w:t>
      </w:r>
      <w:proofErr w:type="spellStart"/>
      <w:r w:rsidRPr="00806E00">
        <w:t>trends</w:t>
      </w:r>
      <w:proofErr w:type="spellEnd"/>
      <w:r w:rsidRPr="00806E00">
        <w:t>) σε θετικές από σταθερές.</w:t>
      </w:r>
      <w:r w:rsidR="005145E1" w:rsidRPr="005145E1">
        <w:t xml:space="preserve"> </w:t>
      </w:r>
      <w:r w:rsidR="005145E1">
        <w:rPr>
          <w:lang w:val="en-US"/>
        </w:rPr>
        <w:t>H</w:t>
      </w:r>
      <w:r w:rsidR="005145E1" w:rsidRPr="00254A1B">
        <w:t xml:space="preserve"> </w:t>
      </w:r>
      <w:r w:rsidR="005145E1">
        <w:rPr>
          <w:lang w:val="en-US"/>
        </w:rPr>
        <w:t>Scope</w:t>
      </w:r>
      <w:r w:rsidR="005145E1" w:rsidRPr="00254A1B">
        <w:t xml:space="preserve"> </w:t>
      </w:r>
      <w:r w:rsidR="005145E1">
        <w:rPr>
          <w:lang w:val="en-US"/>
        </w:rPr>
        <w:t>Ratings</w:t>
      </w:r>
      <w:r w:rsidR="005145E1">
        <w:t xml:space="preserve"> αναβάθμισε την πιστοληπτική ικανότητα της Ελλάδας στη βαθμίδα </w:t>
      </w:r>
      <w:r w:rsidR="005145E1">
        <w:rPr>
          <w:lang w:val="en-US"/>
        </w:rPr>
        <w:t>BBB</w:t>
      </w:r>
      <w:r w:rsidR="005145E1" w:rsidRPr="00254A1B">
        <w:t xml:space="preserve">+ </w:t>
      </w:r>
      <w:r w:rsidR="005145E1">
        <w:t xml:space="preserve">από ΒΒΒ με σταθερές προοπτικές, ενώ η </w:t>
      </w:r>
      <w:r w:rsidR="005145E1">
        <w:rPr>
          <w:lang w:val="en-US"/>
        </w:rPr>
        <w:t>Moody</w:t>
      </w:r>
      <w:r w:rsidR="005145E1" w:rsidRPr="00254A1B">
        <w:t>’</w:t>
      </w:r>
      <w:r w:rsidR="005145E1">
        <w:rPr>
          <w:lang w:val="en-US"/>
        </w:rPr>
        <w:t>s</w:t>
      </w:r>
      <w:r w:rsidR="005145E1" w:rsidRPr="00254A1B">
        <w:t xml:space="preserve"> </w:t>
      </w:r>
      <w:r w:rsidR="005145E1">
        <w:t xml:space="preserve">αναβάθμισε τις προοπτικές της ελληνικής οικονομίας από σταθερές σε θετικές, διατηρώντας την πιστοληπτική αξιολόγηση στη βαθμίδα </w:t>
      </w:r>
      <w:r w:rsidR="005145E1">
        <w:rPr>
          <w:lang w:val="en-US"/>
        </w:rPr>
        <w:t>Baa</w:t>
      </w:r>
      <w:r w:rsidR="005145E1" w:rsidRPr="00254A1B">
        <w:t>3</w:t>
      </w:r>
      <w:r w:rsidR="005145E1">
        <w:t>. Οι αποφάσεις αυτές συνδέονται</w:t>
      </w:r>
      <w:r w:rsidRPr="00806E00">
        <w:t xml:space="preserve">, μεταξύ άλλων, με την προβλεπόμενη περαιτέρω </w:t>
      </w:r>
      <w:r w:rsidR="00F350F7">
        <w:t xml:space="preserve">ταχεία </w:t>
      </w:r>
      <w:r w:rsidRPr="00806E00">
        <w:t>αποκλιμάκωση του λόγου δημ</w:t>
      </w:r>
      <w:r w:rsidR="00F9552A">
        <w:t>ο</w:t>
      </w:r>
      <w:r w:rsidRPr="00806E00">
        <w:t>σ</w:t>
      </w:r>
      <w:r w:rsidR="00F9552A">
        <w:t>ί</w:t>
      </w:r>
      <w:r w:rsidRPr="00806E00">
        <w:t>ου χρέους προς ΑΕΠ</w:t>
      </w:r>
      <w:r w:rsidR="00F350F7">
        <w:t>,</w:t>
      </w:r>
      <w:r w:rsidRPr="00806E00">
        <w:t xml:space="preserve"> </w:t>
      </w:r>
      <w:r w:rsidR="00F350F7">
        <w:t xml:space="preserve">τη </w:t>
      </w:r>
      <w:r w:rsidRPr="00806E00">
        <w:t>διατήρηση ισχυρών δημοσιονομικών επιδόσεων</w:t>
      </w:r>
      <w:r w:rsidR="00F350F7">
        <w:t xml:space="preserve"> </w:t>
      </w:r>
      <w:r w:rsidR="00882BE7">
        <w:t xml:space="preserve">καθώς </w:t>
      </w:r>
      <w:r w:rsidR="00F350F7">
        <w:t>και</w:t>
      </w:r>
      <w:r w:rsidR="00882BE7">
        <w:t xml:space="preserve"> με</w:t>
      </w:r>
      <w:r w:rsidR="00F350F7">
        <w:t xml:space="preserve"> τη μεγαλύτερη ανθεκτικότητα της ελληνικής οικονομίας</w:t>
      </w:r>
      <w:r w:rsidRPr="00806E00">
        <w:t>.</w:t>
      </w:r>
    </w:p>
    <w:p w14:paraId="658FBDD0" w14:textId="71190F3D" w:rsidR="0000000D" w:rsidRPr="00806E00" w:rsidRDefault="0000000D" w:rsidP="005145E1">
      <w:r w:rsidRPr="00806E00">
        <w:t>Παράλληλα, συνεχίζεται η στρατηγική πρόωρης αποπληρωμής δημ</w:t>
      </w:r>
      <w:r w:rsidR="00F9552A">
        <w:t>ο</w:t>
      </w:r>
      <w:r w:rsidRPr="00806E00">
        <w:t>σ</w:t>
      </w:r>
      <w:r w:rsidR="00F9552A">
        <w:t>ί</w:t>
      </w:r>
      <w:r w:rsidRPr="00806E00">
        <w:t xml:space="preserve">ου χρέους, το συνολικό </w:t>
      </w:r>
      <w:r w:rsidR="00F9552A">
        <w:t xml:space="preserve">δε </w:t>
      </w:r>
      <w:r w:rsidRPr="00806E00">
        <w:t>ύψος των πρόωρων αποπληρωμών για το 2026 αναμένεται να ανέλθει σε 12,8 δισ. ευρώ</w:t>
      </w:r>
      <w:r w:rsidR="00B24F4C" w:rsidRPr="00B24F4C">
        <w:t xml:space="preserve"> </w:t>
      </w:r>
      <w:r w:rsidR="00B24F4C" w:rsidRPr="00806E00">
        <w:t>περίπου</w:t>
      </w:r>
      <w:r w:rsidRPr="00806E00">
        <w:t>. Η</w:t>
      </w:r>
      <w:r w:rsidR="00F9552A">
        <w:t xml:space="preserve"> εν λόγω</w:t>
      </w:r>
      <w:r w:rsidRPr="00806E00">
        <w:t xml:space="preserve"> στρατηγική επιταχύνει την αποκλιμάκωση του δημ</w:t>
      </w:r>
      <w:r w:rsidR="00F9552A">
        <w:t>ο</w:t>
      </w:r>
      <w:r w:rsidRPr="00806E00">
        <w:t>σ</w:t>
      </w:r>
      <w:r w:rsidR="00F9552A">
        <w:t>ί</w:t>
      </w:r>
      <w:r w:rsidRPr="00806E00">
        <w:t>ου χρέους και περιορίζει τις μελλοντικές χρηματοδοτικές ανάγκες και το κόστος εξυπηρέτησής του.</w:t>
      </w:r>
    </w:p>
    <w:p w14:paraId="5671B3DF" w14:textId="4E007A2B" w:rsidR="0000000D" w:rsidRPr="00806E00" w:rsidRDefault="0000000D" w:rsidP="00DC0D64">
      <w:r w:rsidRPr="00806E00">
        <w:t>Στο σκέλος των δημ</w:t>
      </w:r>
      <w:r w:rsidR="00F9552A">
        <w:t>ο</w:t>
      </w:r>
      <w:r w:rsidRPr="00806E00">
        <w:t>σ</w:t>
      </w:r>
      <w:r w:rsidR="00F9552A">
        <w:t>ί</w:t>
      </w:r>
      <w:r w:rsidRPr="00806E00">
        <w:t>ων επενδύσεων το Εθνικό Πρόγραμμα Ανάπτυξης 2026</w:t>
      </w:r>
      <w:r w:rsidR="00EB479D">
        <w:t xml:space="preserve"> - </w:t>
      </w:r>
      <w:r w:rsidRPr="00806E00">
        <w:t xml:space="preserve">2030 προβλέπει πόρους ύψους 17,1 δισ. ευρώ για τη νέα προγραμματική περίοδο, στους οποίους προστίθενται 5,8 δισ. ευρώ </w:t>
      </w:r>
      <w:r w:rsidR="000D57F6" w:rsidRPr="00806E00">
        <w:t xml:space="preserve">περίπου </w:t>
      </w:r>
      <w:r w:rsidRPr="00806E00">
        <w:t xml:space="preserve">για την ολοκλήρωση </w:t>
      </w:r>
      <w:r w:rsidR="00E26DCD">
        <w:t xml:space="preserve">της υλοποίησης των </w:t>
      </w:r>
      <w:r w:rsidRPr="00806E00">
        <w:t>υποχρεώσεων της προηγούμενης περιόδου, διαμορφώνοντας συνολικό πλαίσιο εθνικών πόρων 23 δισ. ευρώ</w:t>
      </w:r>
      <w:r w:rsidR="002B3F68" w:rsidRPr="002B3F68">
        <w:t xml:space="preserve"> </w:t>
      </w:r>
      <w:r w:rsidR="002B3F68" w:rsidRPr="00806E00">
        <w:t>περίπου</w:t>
      </w:r>
      <w:r w:rsidRPr="00806E00">
        <w:t>. Παράλληλα, συνεχίζεται εντός του 2026 η υλοποίηση του αναθεωρημένου Εθνικού Σχεδίου Ανάκαμψης και Ανθεκτικότητας «Ελλάδα 2.0».</w:t>
      </w:r>
    </w:p>
    <w:p w14:paraId="630E4DA6" w14:textId="388AE966" w:rsidR="0000000D" w:rsidRPr="00806E00" w:rsidRDefault="0000000D" w:rsidP="00DC0D64">
      <w:r w:rsidRPr="00806E00">
        <w:t xml:space="preserve">Τον Αύγουστο 2026 υποβλήθηκε στην Ευρωπαϊκή Επιτροπή αίτημα επέκτασης του πεδίου εφαρμογής της υφιστάμενης </w:t>
      </w:r>
      <w:r w:rsidR="00824A2E">
        <w:t>ε</w:t>
      </w:r>
      <w:r w:rsidRPr="00806E00">
        <w:t xml:space="preserve">θνικής </w:t>
      </w:r>
      <w:r w:rsidR="00824A2E">
        <w:t>ρ</w:t>
      </w:r>
      <w:r w:rsidRPr="00806E00">
        <w:t xml:space="preserve">ήτρας </w:t>
      </w:r>
      <w:r w:rsidR="00824A2E">
        <w:t>δ</w:t>
      </w:r>
      <w:r w:rsidRPr="00806E00">
        <w:t xml:space="preserve">ιαφυγής, ώστε να συμπεριληφθούν δαπάνες που ενισχύουν την ενεργειακή ανθεκτικότητα. Στο πλαίσιο του αιτήματος οι νέες επενδύσεις προβλέπεται να </w:t>
      </w:r>
      <w:r w:rsidR="00DD3750">
        <w:t>προσεγγίσουν</w:t>
      </w:r>
      <w:r w:rsidRPr="00806E00">
        <w:t xml:space="preserve"> το 1 δισ. ευρώ έως το 2028 και να αφορούν, μεταξύ άλλων, </w:t>
      </w:r>
      <w:r w:rsidR="00E26DCD">
        <w:t>σ</w:t>
      </w:r>
      <w:r w:rsidRPr="00806E00">
        <w:t xml:space="preserve">την αποθήκευση ενέργειας, </w:t>
      </w:r>
      <w:r w:rsidR="00E26DCD">
        <w:t>σ</w:t>
      </w:r>
      <w:r w:rsidRPr="00806E00">
        <w:t xml:space="preserve">την ενεργειακή εξοικονόμηση και </w:t>
      </w:r>
      <w:r w:rsidR="00E26DCD">
        <w:t>σ</w:t>
      </w:r>
      <w:r w:rsidRPr="00806E00">
        <w:t>τις ενεργειακές υποδομές.</w:t>
      </w:r>
    </w:p>
    <w:p w14:paraId="36C5B8C4" w14:textId="2B7FE0E7" w:rsidR="0000000D" w:rsidRDefault="0000000D" w:rsidP="00DC0D64">
      <w:r w:rsidRPr="00806E00">
        <w:t xml:space="preserve">Εξελίξεις καταγράφονται και στην ελληνική κεφαλαιαγορά. Μετά την απόκτηση του ελέγχου της </w:t>
      </w:r>
      <w:r w:rsidRPr="00570082">
        <w:t>ΕΧΑΕ</w:t>
      </w:r>
      <w:r w:rsidRPr="00806E00">
        <w:t xml:space="preserve"> από τη </w:t>
      </w:r>
      <w:proofErr w:type="spellStart"/>
      <w:r w:rsidRPr="00806E00">
        <w:t>Euronext</w:t>
      </w:r>
      <w:proofErr w:type="spellEnd"/>
      <w:r w:rsidRPr="00806E00">
        <w:t xml:space="preserve">, τον Απρίλιο 2026 ο Όμιλος Χρηματιστηρίου Αθηνών μετονομάστηκε σε </w:t>
      </w:r>
      <w:proofErr w:type="spellStart"/>
      <w:r w:rsidRPr="00806E00">
        <w:t>Euronext</w:t>
      </w:r>
      <w:proofErr w:type="spellEnd"/>
      <w:r w:rsidRPr="00806E00">
        <w:t xml:space="preserve"> </w:t>
      </w:r>
      <w:proofErr w:type="spellStart"/>
      <w:r w:rsidRPr="00806E00">
        <w:t>Athens</w:t>
      </w:r>
      <w:proofErr w:type="spellEnd"/>
      <w:r w:rsidRPr="00806E00">
        <w:t xml:space="preserve"> στο πλαίσιο της σταδιακής ενσωμάτωσής του στις πανευρωπαϊκές υποδομές του ομίλου. Παράλληλα, η MSCI έχει ανακοινώσει την </w:t>
      </w:r>
      <w:proofErr w:type="spellStart"/>
      <w:r w:rsidRPr="00806E00">
        <w:t>αναταξινόμηση</w:t>
      </w:r>
      <w:proofErr w:type="spellEnd"/>
      <w:r w:rsidRPr="00806E00">
        <w:t xml:space="preserve"> των ελληνικών δεικτών από την κατηγορία των αναδυ</w:t>
      </w:r>
      <w:r w:rsidR="00B05FAE">
        <w:t>ο</w:t>
      </w:r>
      <w:r w:rsidRPr="00806E00">
        <w:t>μ</w:t>
      </w:r>
      <w:r w:rsidR="00B05FAE">
        <w:t>έ</w:t>
      </w:r>
      <w:r w:rsidRPr="00806E00">
        <w:t>νων στην κατηγορία των ανεπτυγμένων αγορών, με εφαρμογή κατά την αναθεώρηση των δεικτών τον Μάιο 2027.</w:t>
      </w:r>
    </w:p>
    <w:p w14:paraId="096C6D4A" w14:textId="1EDE0F56" w:rsidR="008F04D5" w:rsidRPr="003A2443" w:rsidRDefault="008F04D5" w:rsidP="00685673">
      <w:pPr>
        <w:pStyle w:val="3"/>
        <w:keepNext w:val="0"/>
        <w:rPr>
          <w:lang w:val="el-GR"/>
        </w:rPr>
      </w:pPr>
      <w:bookmarkStart w:id="19" w:name="_Toc242019536"/>
      <w:bookmarkStart w:id="20" w:name="_Hlk50045320"/>
      <w:bookmarkEnd w:id="1"/>
      <w:r w:rsidRPr="00F44BF9">
        <w:t>Νομισματικές</w:t>
      </w:r>
      <w:r w:rsidRPr="003A2443">
        <w:t xml:space="preserve"> και πιστωτικές εξελίξεις στην Ελλάδα το 202</w:t>
      </w:r>
      <w:r w:rsidR="00065C3C">
        <w:rPr>
          <w:lang w:val="el-GR"/>
        </w:rPr>
        <w:t>6</w:t>
      </w:r>
      <w:bookmarkEnd w:id="19"/>
    </w:p>
    <w:p w14:paraId="44E93066" w14:textId="11E22AEA" w:rsidR="00065C3C" w:rsidRPr="008A4AD2" w:rsidRDefault="00065C3C" w:rsidP="00065C3C">
      <w:r w:rsidRPr="008A4AD2">
        <w:rPr>
          <w:lang w:val="en-US"/>
        </w:rPr>
        <w:t>O</w:t>
      </w:r>
      <w:r w:rsidRPr="008A4AD2">
        <w:t xml:space="preserve"> ετήσιος ρυθμός </w:t>
      </w:r>
      <w:r>
        <w:t xml:space="preserve">αύξησης </w:t>
      </w:r>
      <w:r w:rsidRPr="008A4AD2">
        <w:t xml:space="preserve">του </w:t>
      </w:r>
      <w:r w:rsidRPr="008E7700">
        <w:t>νομισματικού μεγέθους Μ3</w:t>
      </w:r>
      <w:r w:rsidRPr="008E7700">
        <w:rPr>
          <w:rStyle w:val="ab"/>
        </w:rPr>
        <w:footnoteReference w:id="5"/>
      </w:r>
      <w:r w:rsidRPr="008E7700">
        <w:t xml:space="preserve"> επιταχύνθηκε</w:t>
      </w:r>
      <w:r w:rsidRPr="008A4AD2">
        <w:t xml:space="preserve"> σταδιακά κατά τη διάρκεια του τρέχοντος έτους και διαμορφώθηκε </w:t>
      </w:r>
      <w:r>
        <w:t xml:space="preserve">κατά μέσο όρο </w:t>
      </w:r>
      <w:r w:rsidRPr="008A4AD2">
        <w:t xml:space="preserve">σε 6,8% </w:t>
      </w:r>
      <w:r>
        <w:t xml:space="preserve">την περίοδο </w:t>
      </w:r>
      <w:r w:rsidRPr="008A4AD2">
        <w:t xml:space="preserve">Ιανουαρίου - Ιουλίου </w:t>
      </w:r>
      <w:r w:rsidR="00913606">
        <w:t xml:space="preserve">2026 </w:t>
      </w:r>
      <w:r w:rsidRPr="008A4AD2">
        <w:t>έναντι 5,9% την αντίστοιχη περίοδο του 2025</w:t>
      </w:r>
      <w:r>
        <w:t xml:space="preserve">. </w:t>
      </w:r>
      <w:r w:rsidRPr="008A4AD2">
        <w:t>Η εξέλιξη αυτή αντανακλά κυρίως τη βελτίωση της οικονομικής δραστηριότητας και</w:t>
      </w:r>
      <w:r w:rsidR="00913606">
        <w:t xml:space="preserve"> την ενίσχυση</w:t>
      </w:r>
      <w:r w:rsidRPr="008A4AD2">
        <w:t xml:space="preserve"> των ονομαστικών εισοδημάτων καθώς και την επέκταση της τραπεζικής χρηματοδότησης. </w:t>
      </w:r>
      <w:r>
        <w:t>Ειδικότερα</w:t>
      </w:r>
      <w:r w:rsidRPr="008A4AD2">
        <w:t xml:space="preserve">, οι καταθέσεις διάρκειας </w:t>
      </w:r>
      <w:r w:rsidRPr="008E7700">
        <w:t>μίας ημέρας</w:t>
      </w:r>
      <w:r w:rsidR="00D37B68" w:rsidRPr="008E7700">
        <w:rPr>
          <w:rStyle w:val="ab"/>
        </w:rPr>
        <w:footnoteReference w:id="6"/>
      </w:r>
      <w:r w:rsidRPr="008E7700">
        <w:t xml:space="preserve"> αυξήθηκαν</w:t>
      </w:r>
      <w:r w:rsidRPr="008A4AD2">
        <w:t xml:space="preserve"> </w:t>
      </w:r>
      <w:r>
        <w:t xml:space="preserve">κατά </w:t>
      </w:r>
      <w:r w:rsidRPr="008A4AD2">
        <w:t xml:space="preserve">5,5 δισ. ευρώ </w:t>
      </w:r>
      <w:r w:rsidR="007C064C" w:rsidRPr="008A4AD2">
        <w:t xml:space="preserve">περίπου </w:t>
      </w:r>
      <w:r w:rsidRPr="008A4AD2">
        <w:t xml:space="preserve">το επτάμηνο Ιανουαρίου </w:t>
      </w:r>
      <w:r w:rsidR="00D37B68">
        <w:t>-</w:t>
      </w:r>
      <w:r w:rsidRPr="008A4AD2">
        <w:t xml:space="preserve"> Ιουλίου</w:t>
      </w:r>
      <w:r w:rsidR="00913606">
        <w:t xml:space="preserve"> 2026</w:t>
      </w:r>
      <w:r>
        <w:t xml:space="preserve">, ενώ </w:t>
      </w:r>
      <w:r w:rsidRPr="008A4AD2">
        <w:t xml:space="preserve">ο ετήσιος ρυθμός μεταβολής τους διαμορφώθηκε </w:t>
      </w:r>
      <w:r>
        <w:t xml:space="preserve">κατά μέσο όρο </w:t>
      </w:r>
      <w:r w:rsidRPr="008A4AD2">
        <w:t>σε 8,2% (Ιαν.</w:t>
      </w:r>
      <w:r w:rsidR="00D37B68">
        <w:t xml:space="preserve"> -</w:t>
      </w:r>
      <w:r w:rsidRPr="008A4AD2">
        <w:t xml:space="preserve"> </w:t>
      </w:r>
      <w:r w:rsidRPr="009A69EF">
        <w:t>Ιουλ.</w:t>
      </w:r>
      <w:r w:rsidRPr="008A4AD2">
        <w:t xml:space="preserve"> 2025: 8,1%). </w:t>
      </w:r>
      <w:r>
        <w:t>Παράλληλα,</w:t>
      </w:r>
      <w:r w:rsidRPr="008A4AD2">
        <w:t xml:space="preserve"> ο ετήσιος ρυθμός μεταβολής</w:t>
      </w:r>
      <w:r>
        <w:t xml:space="preserve"> των καταθέσεων προθεσμίας</w:t>
      </w:r>
      <w:r w:rsidRPr="008A4AD2">
        <w:t xml:space="preserve"> </w:t>
      </w:r>
      <w:r>
        <w:t>επανήλθε σε θετικές τιμές</w:t>
      </w:r>
      <w:r w:rsidRPr="008A4AD2">
        <w:t xml:space="preserve"> και ενισχύθηκε </w:t>
      </w:r>
      <w:r>
        <w:t>σταδιακά</w:t>
      </w:r>
      <w:r w:rsidRPr="008A4AD2">
        <w:t xml:space="preserve"> κατά τη διάρκεια του έτους</w:t>
      </w:r>
      <w:r>
        <w:t xml:space="preserve">, με συνέπεια </w:t>
      </w:r>
      <w:r w:rsidRPr="008A4AD2">
        <w:t xml:space="preserve">να διαμορφωθεί κατά μέσο όρο σε 1,6% το επτάμηνο Ιανουαρίου </w:t>
      </w:r>
      <w:r w:rsidR="00D40855">
        <w:t>-</w:t>
      </w:r>
      <w:r w:rsidRPr="008A4AD2">
        <w:t xml:space="preserve"> Ιουλίου έναντι </w:t>
      </w:r>
      <w:r>
        <w:t xml:space="preserve">μηδενικής </w:t>
      </w:r>
      <w:r w:rsidRPr="008A4AD2">
        <w:t>τιμής</w:t>
      </w:r>
      <w:r>
        <w:t xml:space="preserve"> </w:t>
      </w:r>
      <w:r w:rsidRPr="008A4AD2">
        <w:t>την αντίστοιχη περίοδο του 2025.</w:t>
      </w:r>
    </w:p>
    <w:p w14:paraId="40F29285" w14:textId="26AFC03F" w:rsidR="00065C3C" w:rsidRDefault="00065C3C" w:rsidP="00065C3C">
      <w:r w:rsidRPr="00FA7392">
        <w:t xml:space="preserve">Όσον αφορά </w:t>
      </w:r>
      <w:r w:rsidR="00747E83">
        <w:t>σ</w:t>
      </w:r>
      <w:r w:rsidRPr="00FA7392">
        <w:t xml:space="preserve">τις καταθέσεις των επιμέρους τομέων της οικονομίας, οι καταθέσεις των νοικοκυριών κατέγραψαν συνεχείς θετικές μηνιαίες ροές από </w:t>
      </w:r>
      <w:r w:rsidRPr="00747E83">
        <w:t xml:space="preserve">το </w:t>
      </w:r>
      <w:r w:rsidR="00747E83" w:rsidRPr="00747E83">
        <w:t>2ο</w:t>
      </w:r>
      <w:r w:rsidRPr="00747E83">
        <w:t xml:space="preserve"> τρίμηνο</w:t>
      </w:r>
      <w:r w:rsidRPr="00FA7392">
        <w:t xml:space="preserve"> του 2026 και αυξήθηκαν συνολικά κατά 1,4 δισ. ευρώ την περίοδο Ιανουαρίου</w:t>
      </w:r>
      <w:r w:rsidR="00BD7BC3">
        <w:t xml:space="preserve"> </w:t>
      </w:r>
      <w:r w:rsidRPr="00FA7392">
        <w:t>-</w:t>
      </w:r>
      <w:r w:rsidR="00BD7BC3">
        <w:t xml:space="preserve"> </w:t>
      </w:r>
      <w:r w:rsidRPr="00FA7392">
        <w:t xml:space="preserve">Ιουλίου έναντι αύξησης 0,8 δισ. ευρώ την αντίστοιχη περίοδο του 2025. Ο ετήσιος ρυθμός αύξησής τους επιταχύνθηκε σε 4,0% </w:t>
      </w:r>
      <w:r>
        <w:t xml:space="preserve">κατά μέσο όρο </w:t>
      </w:r>
      <w:r w:rsidRPr="00FA7392">
        <w:t>το επτάμηνο του 2026 από 3,0% το ίδιο διάστημα του προηγούμενου έτους.</w:t>
      </w:r>
      <w:r w:rsidRPr="00E80B67">
        <w:t xml:space="preserve"> </w:t>
      </w:r>
      <w:r w:rsidRPr="00FA7392">
        <w:t xml:space="preserve">Σε όρους ροών η αύξηση των καταθέσεων μίας ημέρας παρέμεινε ουσιαστικά αμετάβλητη </w:t>
      </w:r>
      <w:r w:rsidR="00846442">
        <w:t xml:space="preserve">έναντι </w:t>
      </w:r>
      <w:r w:rsidRPr="00FA7392">
        <w:t>το</w:t>
      </w:r>
      <w:r w:rsidR="00846442">
        <w:t>υ</w:t>
      </w:r>
      <w:r w:rsidRPr="00FA7392">
        <w:t xml:space="preserve"> 2025, σ</w:t>
      </w:r>
      <w:r w:rsidR="00747E83">
        <w:t>ε</w:t>
      </w:r>
      <w:r w:rsidRPr="00FA7392">
        <w:t xml:space="preserve"> 2,6 δισ. ευρώ, ενώ η μείωση των καταθέσεων προθεσμίας περιορίστηκε σε 1,2 δισ. ευρώ από 1,8 δισ. ευρώ το αντίστοιχο επτάμηνο του 2025.</w:t>
      </w:r>
      <w:r>
        <w:t xml:space="preserve"> </w:t>
      </w:r>
      <w:r w:rsidRPr="00FA7392">
        <w:t xml:space="preserve">Η εξέλιξη </w:t>
      </w:r>
      <w:r>
        <w:t>στις καταθέσεις προθεσμίας</w:t>
      </w:r>
      <w:r w:rsidRPr="00FA7392">
        <w:t xml:space="preserve"> ενδέχεται να υποδηλώνει εξασθένηση της μετατόπισης κεφαλαίων από τις τραπεζικές καταθέσεις προς εναλλακτικές μορφές αποταμίευσης με υψηλότερες αποδόσεις.</w:t>
      </w:r>
      <w:r w:rsidRPr="00E80B67">
        <w:t xml:space="preserve"> </w:t>
      </w:r>
      <w:r w:rsidRPr="00FA7392">
        <w:t>Αντίστοιχα, οι καταθέσεις των Μη Χρηματοπιστωτικών Επιχειρήσεων (ΜΧΕ) αυξήθηκαν σημαντικά κατά 6</w:t>
      </w:r>
      <w:r>
        <w:t>,0</w:t>
      </w:r>
      <w:r w:rsidRPr="00FA7392">
        <w:t xml:space="preserve"> δισ. ευρώ </w:t>
      </w:r>
      <w:r w:rsidR="00403096" w:rsidRPr="00FA7392">
        <w:t xml:space="preserve">περίπου </w:t>
      </w:r>
      <w:r w:rsidRPr="00FA7392">
        <w:t>την περίοδο Ιανουαρίου</w:t>
      </w:r>
      <w:r w:rsidR="00BD7BC3">
        <w:t xml:space="preserve"> </w:t>
      </w:r>
      <w:r w:rsidRPr="00FA7392">
        <w:t>-</w:t>
      </w:r>
      <w:r w:rsidR="00BD7BC3">
        <w:t xml:space="preserve"> </w:t>
      </w:r>
      <w:r w:rsidRPr="00FA7392">
        <w:t xml:space="preserve">Ιουλίου 2026 έναντι μείωσης κατά 0,5 δισ. ευρώ την αντίστοιχη περίοδο του 2025. Η </w:t>
      </w:r>
      <w:r w:rsidR="00747E83">
        <w:t xml:space="preserve">εν λόγω </w:t>
      </w:r>
      <w:r w:rsidRPr="00FA7392">
        <w:t xml:space="preserve">έντονη άνοδος </w:t>
      </w:r>
      <w:r>
        <w:t>οφείλεται</w:t>
      </w:r>
      <w:r w:rsidRPr="00FA7392">
        <w:t xml:space="preserve"> κυρίως </w:t>
      </w:r>
      <w:r>
        <w:t>σ</w:t>
      </w:r>
      <w:r w:rsidRPr="00FA7392">
        <w:t xml:space="preserve">την αύξηση του κύκλου εργασιών των επιχειρήσεων, </w:t>
      </w:r>
      <w:r w:rsidR="00747E83">
        <w:t>σ</w:t>
      </w:r>
      <w:r w:rsidRPr="00FA7392">
        <w:t xml:space="preserve">την επέκταση της τραπεζικής χρηματοδότησης προς τον επιχειρηματικό τομέα και, πιο πρόσφατα, </w:t>
      </w:r>
      <w:r w:rsidR="00747E83">
        <w:t>σ</w:t>
      </w:r>
      <w:r w:rsidRPr="00FA7392">
        <w:t xml:space="preserve">την ενίσχυση των κρατικών μεταβιβάσεων προς τις επιχειρήσεις. Ως αποτέλεσμα, ο ετήσιος ρυθμός αύξησης των εταιρικών καταθέσεων επιταχύνθηκε </w:t>
      </w:r>
      <w:r>
        <w:t xml:space="preserve">σημαντικά </w:t>
      </w:r>
      <w:r w:rsidRPr="00FA7392">
        <w:t xml:space="preserve">σε 16,3% </w:t>
      </w:r>
      <w:r>
        <w:t xml:space="preserve">κατά μέσο όρο </w:t>
      </w:r>
      <w:r w:rsidRPr="00FA7392">
        <w:t>το επτάμηνο Ιανουαρίου</w:t>
      </w:r>
      <w:r w:rsidR="00BD7BC3">
        <w:t xml:space="preserve"> </w:t>
      </w:r>
      <w:r w:rsidRPr="00FA7392">
        <w:t>-</w:t>
      </w:r>
      <w:r w:rsidR="00BD7BC3">
        <w:t xml:space="preserve"> </w:t>
      </w:r>
      <w:r w:rsidRPr="00FA7392">
        <w:t>Ιουλίου 2026 από 10,0% την αντίστοιχη περίοδο του 2025.</w:t>
      </w:r>
    </w:p>
    <w:p w14:paraId="34EBDBE6" w14:textId="472BAD8B" w:rsidR="00065C3C" w:rsidRDefault="00065C3C" w:rsidP="00065C3C">
      <w:r w:rsidRPr="000727EF">
        <w:t>Ο ετήσιος ρυθμός μεταβολής της τραπεζικής χρηματοδότησης</w:t>
      </w:r>
      <w:r w:rsidR="000E3F80" w:rsidRPr="000E3F80">
        <w:t xml:space="preserve"> </w:t>
      </w:r>
      <w:r w:rsidR="000E3F80" w:rsidRPr="00A30CC3">
        <w:t>προς</w:t>
      </w:r>
      <w:r w:rsidR="000E3F80" w:rsidRPr="000727EF">
        <w:t xml:space="preserve"> τ</w:t>
      </w:r>
      <w:r w:rsidR="000E3F80">
        <w:t>η</w:t>
      </w:r>
      <w:r w:rsidR="000E3F80" w:rsidRPr="000727EF">
        <w:t xml:space="preserve"> Γενική Κυβέρνηση</w:t>
      </w:r>
      <w:r w:rsidRPr="000727EF">
        <w:t xml:space="preserve">, συμπεριλαμβανομένης της χρηματοδότησης από </w:t>
      </w:r>
      <w:r w:rsidRPr="00A30CC3">
        <w:t>την Τράπεζα της Ελλάδος</w:t>
      </w:r>
      <w:r w:rsidR="00515F54" w:rsidRPr="00A30CC3">
        <w:t xml:space="preserve"> (ΤτΕ)</w:t>
      </w:r>
      <w:r w:rsidRPr="00A30CC3">
        <w:t xml:space="preserve">, </w:t>
      </w:r>
      <w:r w:rsidRPr="000727EF">
        <w:t>επιβραδύνθηκε το 2026 και διαμορφώθηκε κατά μέσο όρο το επτάμηνο Ιανουαρίου</w:t>
      </w:r>
      <w:r w:rsidR="00BD7BC3">
        <w:t xml:space="preserve"> </w:t>
      </w:r>
      <w:r w:rsidRPr="000727EF">
        <w:t>-</w:t>
      </w:r>
      <w:r w:rsidR="00BD7BC3">
        <w:t xml:space="preserve"> </w:t>
      </w:r>
      <w:r w:rsidRPr="000727EF">
        <w:t>Ιουλίου σε -0,5% έναντι 1,1% την αντίστοιχη περίοδο του 2025. Αντίστοιχα, ο ετήσιος ρυθμός αύξησης της τραπεζικής χρηματοδότησης προς τον ιδιωτικό τομέα της οικονομίας υποχώρησε το τρέχον έτος</w:t>
      </w:r>
      <w:r>
        <w:t xml:space="preserve">, </w:t>
      </w:r>
      <w:r w:rsidRPr="0099645B">
        <w:t>διατηρούμενος ωστόσο σε ισχυρά επίπεδα</w:t>
      </w:r>
      <w:r w:rsidRPr="000727EF">
        <w:t xml:space="preserve"> λόγω της επιβράδυνσης της πιστωτικής επέκτασης προς τις επιχειρήσεις.</w:t>
      </w:r>
    </w:p>
    <w:p w14:paraId="575FC964" w14:textId="7221FD52" w:rsidR="00065C3C" w:rsidRDefault="00065C3C" w:rsidP="00065C3C">
      <w:r w:rsidRPr="000727EF">
        <w:t xml:space="preserve">Αναλυτικότερα, η πιστωτική επέκταση προς τις ΜΧΕ παρέμεινε </w:t>
      </w:r>
      <w:r>
        <w:t>έντονη</w:t>
      </w:r>
      <w:r w:rsidRPr="000727EF">
        <w:t xml:space="preserve"> κατά το 2026 παρά τη σχετική επιβράδυνσή της, υποστηριζόμενη από τη θετική πορεία της οικονομικής δραστηριότητας και τις χρηματοδοτικές ανάγκες των επιχειρήσεων. Ο ετήσιος ρυθμός αύξησης των τραπεζικών δανείων προς τις ΜΧΕ διαμορφώθηκε κατά μέσο όρο το επτάμηνο Ιανουαρίου</w:t>
      </w:r>
      <w:r w:rsidR="00BD7BC3">
        <w:t xml:space="preserve"> </w:t>
      </w:r>
      <w:r w:rsidRPr="000727EF">
        <w:t>-</w:t>
      </w:r>
      <w:r w:rsidR="00BD7BC3">
        <w:t xml:space="preserve"> </w:t>
      </w:r>
      <w:r w:rsidRPr="000727EF">
        <w:t>Ιουλίου σε 10,0% έναντι 16,6% την αντίστοιχη περίοδο του 2025.</w:t>
      </w:r>
    </w:p>
    <w:p w14:paraId="10BDDC12" w14:textId="1EA57362" w:rsidR="00065C3C" w:rsidRDefault="00065C3C" w:rsidP="00065C3C">
      <w:r w:rsidRPr="002C7FB7">
        <w:t xml:space="preserve">Η διατήρηση ισχυρών ρυθμών τραπεζικής πιστωτικής επέκτασης προς τις ΜΧΕ αντανακλά </w:t>
      </w:r>
      <w:r w:rsidR="0090682C">
        <w:t xml:space="preserve">την ύπαρξη </w:t>
      </w:r>
      <w:r w:rsidRPr="002C7FB7">
        <w:t>ευνοϊκ</w:t>
      </w:r>
      <w:r w:rsidR="0090682C">
        <w:t>ών</w:t>
      </w:r>
      <w:r w:rsidRPr="002C7FB7">
        <w:t xml:space="preserve"> συνθ</w:t>
      </w:r>
      <w:r w:rsidR="0090682C">
        <w:t>ηκών</w:t>
      </w:r>
      <w:r w:rsidRPr="002C7FB7">
        <w:t xml:space="preserve"> τόσο από την πλευρά της ζήτησης όσο και από την πλευρά της προσφοράς δανείων. Όσον αφορά </w:t>
      </w:r>
      <w:r w:rsidR="0090682C">
        <w:t>σ</w:t>
      </w:r>
      <w:r w:rsidRPr="002C7FB7">
        <w:t>τη ζήτηση, η θετική πορεία της οικονομικής δραστηριότητας εξακολούθησε να λειτουργεί υποστηρικτικά. Από την πλευρά της προσφοράς, οι συνθήκες</w:t>
      </w:r>
      <w:r>
        <w:t xml:space="preserve"> υψηλής</w:t>
      </w:r>
      <w:r w:rsidRPr="002C7FB7">
        <w:t xml:space="preserve"> ρευστότητας και η ισχυρή κεφαλαιακή επάρκεια των ελληνικών τραπεζών, όπως αποτυπώνονται στη διατήρηση ή και </w:t>
      </w:r>
      <w:r w:rsidR="0090682C">
        <w:t xml:space="preserve">στη </w:t>
      </w:r>
      <w:r w:rsidRPr="002C7FB7">
        <w:t>βελτίωση των βασικών χρηματοοικονομικών τους δεικτών, σε συνδυασμό με τη</w:t>
      </w:r>
      <w:r>
        <w:t>ν αναβάθμιση</w:t>
      </w:r>
      <w:r w:rsidRPr="002C7FB7">
        <w:t xml:space="preserve"> της ποιότητας του ενεργητικού τους, συνέχισαν να στηρίζουν την παροχή πιστώσεων προς την πραγματική οικονομία. Επιπλέον, η χρηματοδότηση των επιχειρήσεων εν</w:t>
      </w:r>
      <w:r w:rsidR="003A7410">
        <w:t>δυναμώθηκε</w:t>
      </w:r>
      <w:r w:rsidRPr="002C7FB7">
        <w:t xml:space="preserve"> από προγράμματα συγχρηματοδότησης και εγγυοδοσίας του </w:t>
      </w:r>
      <w:r w:rsidR="0090682C">
        <w:t>ο</w:t>
      </w:r>
      <w:r w:rsidRPr="002C7FB7">
        <w:t xml:space="preserve">μίλου της Ευρωπαϊκής Τράπεζας Επενδύσεων (ΕΤΕπ) και της Ελληνικής Αναπτυξιακής Τράπεζας (ΕΑΤ) </w:t>
      </w:r>
      <w:r w:rsidR="00A67DDB">
        <w:t xml:space="preserve">καθώς </w:t>
      </w:r>
      <w:r w:rsidRPr="002C7FB7">
        <w:t xml:space="preserve">και από τραπεζικά δάνεια συγχρηματοδότησης στο πλαίσιο του </w:t>
      </w:r>
      <w:r w:rsidRPr="000727EF">
        <w:t>Ταμείου Ανάκαμψης και Ανθεκτικότητας (ΤΑΑ)</w:t>
      </w:r>
      <w:r>
        <w:t xml:space="preserve">, η απορρόφηση των </w:t>
      </w:r>
      <w:r w:rsidRPr="003A7410">
        <w:t xml:space="preserve">οποίων </w:t>
      </w:r>
      <w:r w:rsidR="003A7410" w:rsidRPr="003A7410">
        <w:t>ενισχύθηκε</w:t>
      </w:r>
      <w:r w:rsidR="00F006BF" w:rsidRPr="003A7410">
        <w:t>,</w:t>
      </w:r>
      <w:r>
        <w:t xml:space="preserve"> </w:t>
      </w:r>
      <w:r w:rsidR="00F006BF">
        <w:t>καθ’ όσον</w:t>
      </w:r>
      <w:r>
        <w:t xml:space="preserve"> η υπογραφή των δανειακών συμβάσεων με τις επιχειρήσεις ολοκληρώθηκε </w:t>
      </w:r>
      <w:r w:rsidRPr="00F006BF">
        <w:t>τον Μάιο 2026. Παρά</w:t>
      </w:r>
      <w:r>
        <w:t xml:space="preserve"> τη λήξη του εν λόγω προγράμματος το σημαντικό απόθεμα </w:t>
      </w:r>
      <w:r w:rsidRPr="00932280">
        <w:t>ήδη συνομολογημένων και μη εκταμιευμένων</w:t>
      </w:r>
      <w:r>
        <w:t xml:space="preserve"> τραπεζικών δανειακών συμβάσεων από τις επιχειρήσεις </w:t>
      </w:r>
      <w:r w:rsidRPr="00932280">
        <w:t xml:space="preserve">εκτιμάται ότι θα </w:t>
      </w:r>
      <w:r>
        <w:t xml:space="preserve">οδηγήσει σε πρόσθετες εκταμιεύσεις τραπεζικών πιστώσεων </w:t>
      </w:r>
      <w:r w:rsidRPr="00932280">
        <w:t xml:space="preserve">προς τις επιχειρήσεις </w:t>
      </w:r>
      <w:r>
        <w:t>κατά τους προσεχείς μήνες. Οι</w:t>
      </w:r>
      <w:r w:rsidR="003A7410">
        <w:t xml:space="preserve"> </w:t>
      </w:r>
      <w:r w:rsidR="00A6553B">
        <w:t>ως άνω</w:t>
      </w:r>
      <w:r>
        <w:t xml:space="preserve"> εκταμιεύσεις </w:t>
      </w:r>
      <w:r w:rsidRPr="00B642E2">
        <w:t>δύναται να εκτείνονται χρονικά έως και το 2029</w:t>
      </w:r>
      <w:r w:rsidRPr="003E4DAB">
        <w:t xml:space="preserve"> ανάλογα με το χρονοδιάγραμμα υλοποίησης των επενδυτικών έργων και </w:t>
      </w:r>
      <w:r w:rsidR="00B4310A">
        <w:t xml:space="preserve">με </w:t>
      </w:r>
      <w:r w:rsidRPr="003E4DAB">
        <w:t>τους όρους των σχετικών δανειακών συμβάσεων</w:t>
      </w:r>
      <w:r>
        <w:t>.</w:t>
      </w:r>
    </w:p>
    <w:p w14:paraId="5EB050BD" w14:textId="6001FD84" w:rsidR="00065C3C" w:rsidRDefault="00065C3C" w:rsidP="00065C3C">
      <w:r w:rsidRPr="002C7FB7">
        <w:t xml:space="preserve">Όσον αφορά </w:t>
      </w:r>
      <w:r w:rsidR="003A7410">
        <w:t>σ</w:t>
      </w:r>
      <w:r w:rsidRPr="002C7FB7">
        <w:t>τα νοικοκυριά, ο ετήσιος ρυθμός μεταβολής των τραπεζικών δανείων διαμορφώθηκε κατά μέσο όρο σε 2,6% το διάστημα Ιανουαρίου</w:t>
      </w:r>
      <w:r w:rsidR="00792D0A">
        <w:t xml:space="preserve"> </w:t>
      </w:r>
      <w:r w:rsidRPr="002C7FB7">
        <w:t>-</w:t>
      </w:r>
      <w:r w:rsidR="00792D0A">
        <w:t xml:space="preserve"> </w:t>
      </w:r>
      <w:r w:rsidRPr="002C7FB7">
        <w:t>Ιουλίου</w:t>
      </w:r>
      <w:r w:rsidR="003A7410">
        <w:t xml:space="preserve"> 2026</w:t>
      </w:r>
      <w:r w:rsidRPr="002C7FB7">
        <w:t xml:space="preserve"> έναντι οριακά αρνητικού ρυθμού την αντίστοιχη περίοδο </w:t>
      </w:r>
      <w:r w:rsidR="00A136DF">
        <w:t xml:space="preserve">του προηγούμενου </w:t>
      </w:r>
      <w:r w:rsidRPr="002C7FB7">
        <w:t>έτο</w:t>
      </w:r>
      <w:r w:rsidR="00A136DF">
        <w:t>υ</w:t>
      </w:r>
      <w:r w:rsidRPr="002C7FB7">
        <w:t xml:space="preserve">ς </w:t>
      </w:r>
      <w:r w:rsidRPr="00252664">
        <w:t>(-0,1%</w:t>
      </w:r>
      <w:r w:rsidRPr="00724293">
        <w:t>)</w:t>
      </w:r>
      <w:r w:rsidRPr="002C7FB7">
        <w:t xml:space="preserve">. Η ενίσχυση των πιστοδοτήσεων προς τα νοικοκυριά αντανακλά αφενός την </w:t>
      </w:r>
      <w:r>
        <w:t>ανοδική εξέλιξη της καταναλωτικής πίστης</w:t>
      </w:r>
      <w:r w:rsidRPr="002C7FB7">
        <w:t xml:space="preserve"> και αφετέρου την ανάκαμψη </w:t>
      </w:r>
      <w:r>
        <w:t>των</w:t>
      </w:r>
      <w:r w:rsidRPr="002C7FB7">
        <w:t xml:space="preserve"> στεγαστικ</w:t>
      </w:r>
      <w:r>
        <w:t>ών</w:t>
      </w:r>
      <w:r w:rsidRPr="002C7FB7">
        <w:t xml:space="preserve"> </w:t>
      </w:r>
      <w:r>
        <w:t>δανείων</w:t>
      </w:r>
      <w:r w:rsidRPr="002C7FB7">
        <w:t xml:space="preserve">, </w:t>
      </w:r>
      <w:r>
        <w:t>τα</w:t>
      </w:r>
      <w:r w:rsidRPr="002C7FB7">
        <w:t xml:space="preserve"> οποία συνέχισ</w:t>
      </w:r>
      <w:r>
        <w:t>αν</w:t>
      </w:r>
      <w:r w:rsidRPr="002C7FB7">
        <w:t xml:space="preserve"> να υποστηρίζ</w:t>
      </w:r>
      <w:r>
        <w:t>ον</w:t>
      </w:r>
      <w:r w:rsidRPr="002C7FB7">
        <w:t>ται από το συγχρηματοδοτούμενο πρόγραμμα «Σπίτι μου ΙΙ» της ΕΑΤ.</w:t>
      </w:r>
    </w:p>
    <w:p w14:paraId="2D165753" w14:textId="0DA8E26C" w:rsidR="00065C3C" w:rsidRPr="000E75B9" w:rsidRDefault="00A136DF" w:rsidP="00065C3C">
      <w:r>
        <w:t>Αναφορικά</w:t>
      </w:r>
      <w:r w:rsidR="00065C3C" w:rsidRPr="0080104A">
        <w:t xml:space="preserve"> με τις προοπτικές, η αναμενόμενη άνοδος του ΑΕΠ το 2026 εκτιμάται ότι θα συνεχίσει να στηρίζει τη χορήγηση τραπεζικών πιστώσεων προς τις ΜΧΕ. Από την άλλη πλευρά, </w:t>
      </w:r>
      <w:r w:rsidR="00065C3C">
        <w:t xml:space="preserve">η μετακύλιση στα επιτόκια επιχειρηματικών δανείων των πρόσφατων αυξήσεων των επιτοκίων πολιτικής του Ευρωσυστήματος </w:t>
      </w:r>
      <w:r w:rsidR="00065C3C" w:rsidRPr="000E75B9">
        <w:t xml:space="preserve">κατά το τρέχον έτος θα λειτουργήσει σε κάποιο βαθμό ανασταλτικά προς την πιστωτική επέκταση. Η </w:t>
      </w:r>
      <w:r w:rsidR="00065C3C">
        <w:t xml:space="preserve">θετική </w:t>
      </w:r>
      <w:r w:rsidR="00065C3C" w:rsidRPr="000E75B9">
        <w:t>επίδραση των χρηματοδοτικών προγραμμάτων του ομίλου της ΕΤΕπ και της ΕΑΤ στη χορήγηση επιχειρηματικών τραπεζικών πιστώσεων αναμένεται</w:t>
      </w:r>
      <w:r>
        <w:t>,</w:t>
      </w:r>
      <w:r w:rsidR="00065C3C" w:rsidRPr="000E75B9">
        <w:t xml:space="preserve"> </w:t>
      </w:r>
      <w:r>
        <w:t>επίσης,</w:t>
      </w:r>
      <w:r w:rsidR="00065C3C">
        <w:t xml:space="preserve"> </w:t>
      </w:r>
      <w:r w:rsidR="00065C3C" w:rsidRPr="000E75B9">
        <w:t xml:space="preserve">να παραμείνει </w:t>
      </w:r>
      <w:r w:rsidR="00065C3C">
        <w:t>σημαντική.</w:t>
      </w:r>
    </w:p>
    <w:p w14:paraId="4D20DDDF" w14:textId="7AE5D852" w:rsidR="00065C3C" w:rsidRDefault="00065C3C" w:rsidP="00065C3C">
      <w:pPr>
        <w:rPr>
          <w:highlight w:val="yellow"/>
        </w:rPr>
      </w:pPr>
      <w:r w:rsidRPr="00972B59">
        <w:t xml:space="preserve">Τα επιτόκια τραπεζικών καταθέσεων που προσφέρονται στα νοικοκυριά και στις </w:t>
      </w:r>
      <w:r>
        <w:t xml:space="preserve">ΜΧΕ </w:t>
      </w:r>
      <w:r w:rsidRPr="00972B59">
        <w:t>στην Ελλάδα ακολούθησαν ήπια ανοδική πορεία κατά το επτάμηνο Ιανουαρίου</w:t>
      </w:r>
      <w:r w:rsidR="00792D0A">
        <w:t xml:space="preserve"> </w:t>
      </w:r>
      <w:r w:rsidRPr="00972B59">
        <w:t>-</w:t>
      </w:r>
      <w:r w:rsidR="00792D0A">
        <w:t xml:space="preserve"> </w:t>
      </w:r>
      <w:r w:rsidRPr="00972B59">
        <w:t xml:space="preserve">Ιουλίου 2026, αντισταθμίζοντας εν μέρει τις μειώσεις που είχαν καταγραφεί στη διάρκεια του προηγούμενου έτους. Ειδικότερα, στις καταθέσεις προθεσμίας διάρκειας έως ενός έτους, </w:t>
      </w:r>
      <w:r w:rsidR="00A136DF">
        <w:t>οι οποίες</w:t>
      </w:r>
      <w:r w:rsidRPr="00972B59">
        <w:t xml:space="preserve"> αποτελούν τη σημαντικότερη κατηγορία από πλευράς όγκου, το επιτόκιο για τα νοικοκυριά διαμορφώθηκε σε 1,2%</w:t>
      </w:r>
      <w:r>
        <w:t xml:space="preserve"> το επτάμηνο</w:t>
      </w:r>
      <w:r w:rsidRPr="00972B59">
        <w:t xml:space="preserve"> έναντι 1,4% την αντίστοιχη περίοδο του 2025. Για τις ΜΧΕ το αντίστοιχο επιτόκιο διαμορφώθηκε σε </w:t>
      </w:r>
      <w:r>
        <w:t>ελαφρώς υψηλότερο επίπεδο (</w:t>
      </w:r>
      <w:r w:rsidRPr="00972B59">
        <w:t>1,8%</w:t>
      </w:r>
      <w:r>
        <w:t xml:space="preserve">) σε σύγκριση με τα </w:t>
      </w:r>
      <w:r w:rsidRPr="00A136DF">
        <w:t>νοικοκυριά (Ιαν.</w:t>
      </w:r>
      <w:r w:rsidR="00792D0A" w:rsidRPr="00A136DF">
        <w:t xml:space="preserve"> </w:t>
      </w:r>
      <w:r w:rsidRPr="00A136DF">
        <w:t>-</w:t>
      </w:r>
      <w:r w:rsidR="00792D0A" w:rsidRPr="00A136DF">
        <w:t xml:space="preserve"> </w:t>
      </w:r>
      <w:r w:rsidRPr="00A136DF">
        <w:t>Ιο</w:t>
      </w:r>
      <w:r w:rsidR="00A136DF" w:rsidRPr="00A136DF">
        <w:t>υ</w:t>
      </w:r>
      <w:r w:rsidRPr="00A136DF">
        <w:t>λ. 2025: 2,0%). Τέλος, τα επιτόκια στις καταθέσεις μίας ημέρας παρέμειναν σε σχεδόν μηδενικά επίπεδα τόσο</w:t>
      </w:r>
      <w:r w:rsidRPr="00972B59">
        <w:t xml:space="preserve"> για τα νοικοκυριά όσο και για τις ΜΧΕ.</w:t>
      </w:r>
    </w:p>
    <w:p w14:paraId="00ECA23C" w14:textId="6E42C3C3" w:rsidR="00065C3C" w:rsidRDefault="00065C3C" w:rsidP="00065C3C">
      <w:r w:rsidRPr="002513B9">
        <w:t xml:space="preserve">Κατά τη διάρκεια του τρέχοντος έτους το ονομαστικό κόστος τραπεζικού δανεισμού παρουσίασε διαφοροποιημένες τάσεις μεταξύ των επιμέρους κατηγοριών δανείων. Τα επιτόκια χορηγήσεων προς </w:t>
      </w:r>
      <w:r w:rsidR="0033216B">
        <w:t xml:space="preserve">τις </w:t>
      </w:r>
      <w:r w:rsidRPr="002513B9">
        <w:t>ΜΧΕ στην πλειονότητά</w:t>
      </w:r>
      <w:r>
        <w:t xml:space="preserve"> τους</w:t>
      </w:r>
      <w:r w:rsidRPr="002513B9">
        <w:t xml:space="preserve"> κινήθηκαν ήπια ανοδικά</w:t>
      </w:r>
      <w:r w:rsidR="00CB1853">
        <w:t>,</w:t>
      </w:r>
      <w:r w:rsidRPr="002513B9">
        <w:t xml:space="preserve"> </w:t>
      </w:r>
      <w:r>
        <w:t>ως</w:t>
      </w:r>
      <w:r w:rsidRPr="002513B9">
        <w:t xml:space="preserve"> </w:t>
      </w:r>
      <w:r w:rsidR="006D41E9">
        <w:t xml:space="preserve">απόρροια </w:t>
      </w:r>
      <w:r>
        <w:t>της ανόδου</w:t>
      </w:r>
      <w:r w:rsidRPr="002513B9">
        <w:t xml:space="preserve"> των επιτοκίων πολιτικής του Ευρωσυστήματος</w:t>
      </w:r>
      <w:r>
        <w:t>,</w:t>
      </w:r>
      <w:r w:rsidRPr="002513B9">
        <w:t xml:space="preserve"> </w:t>
      </w:r>
      <w:r w:rsidR="006D41E9">
        <w:t xml:space="preserve">δεδομένου ότι </w:t>
      </w:r>
      <w:r w:rsidRPr="002513B9">
        <w:t>το μεγαλύτερο μέρος των επιχειρηματικών δανείων είναι κυμαινόμενου επιτοκίου και συνδέεται με τα επιτόκια της αγοράς. Οι αυξήσεις αυτές αντιστάθμισαν τις μειώσεις που είχαν προηγηθεί κατά το 2025, με αποτέλεσμα το μεσοσταθμικό επιτόκιο των επιχειρηματικών δανείων καθορισμένης διάρκειας να διαμορφωθεί το επτάμηνο Ιανουαρίου</w:t>
      </w:r>
      <w:r w:rsidR="00792D0A">
        <w:t xml:space="preserve"> </w:t>
      </w:r>
      <w:r w:rsidRPr="002513B9">
        <w:t>-</w:t>
      </w:r>
      <w:r w:rsidR="00792D0A">
        <w:t xml:space="preserve"> </w:t>
      </w:r>
      <w:r w:rsidRPr="002513B9">
        <w:t>Ιουλίου 2026 στο ίδιο περίπου επίπεδο με την αντίστοιχη περίοδο του 2025, δηλαδή σ</w:t>
      </w:r>
      <w:r w:rsidR="00C92738">
        <w:t>ε</w:t>
      </w:r>
      <w:r w:rsidRPr="002513B9">
        <w:t xml:space="preserve"> 4,2%.</w:t>
      </w:r>
      <w:r w:rsidRPr="00AF3530">
        <w:t xml:space="preserve"> </w:t>
      </w:r>
      <w:r w:rsidRPr="002513B9">
        <w:t>Αντίθετα, το μεσοσταθμικό επιτόκιο δανεισμού προς τα νοικοκυριά ακολούθησε ήπια πτωτική πορεία και διαμορφώθηκε σε 5,5%, περίπου 30 μονάδες βάσης χαμηλότερα από τη μέση τιμή της αντίστοιχης περιόδου του 2025.</w:t>
      </w:r>
    </w:p>
    <w:p w14:paraId="1F559288" w14:textId="29AB02AB" w:rsidR="00065C3C" w:rsidRDefault="001333A3" w:rsidP="004453D2">
      <w:pPr>
        <w:rPr>
          <w:highlight w:val="yellow"/>
        </w:rPr>
      </w:pPr>
      <w:r>
        <w:t>Τέλος, η</w:t>
      </w:r>
      <w:r w:rsidRPr="002513B9">
        <w:t xml:space="preserve"> αξιοποίηση επιδοτούμενων χρηματοδοτήσεων μέσω σύγχρονων χρηματοδοτικών εργαλείων, συγχρηματοδοτούμενων προγραμμάτων της ΕΑΤ καθώς και δανείων του </w:t>
      </w:r>
      <w:r>
        <w:t>ΤΑΑ</w:t>
      </w:r>
      <w:r w:rsidR="004D17D5">
        <w:t xml:space="preserve"> συν</w:t>
      </w:r>
      <w:r w:rsidR="00CB1853">
        <w:t>έβαλε</w:t>
      </w:r>
      <w:r w:rsidR="004D17D5">
        <w:t xml:space="preserve"> σε </w:t>
      </w:r>
      <w:r w:rsidR="004D17D5" w:rsidRPr="002513B9">
        <w:t>ευνοϊκότερο</w:t>
      </w:r>
      <w:r w:rsidR="004D17D5">
        <w:t xml:space="preserve">, </w:t>
      </w:r>
      <w:r w:rsidR="004D17D5" w:rsidRPr="002513B9">
        <w:t>στην πράξη</w:t>
      </w:r>
      <w:r w:rsidR="004D17D5">
        <w:t>,</w:t>
      </w:r>
      <w:r w:rsidR="004D17D5" w:rsidRPr="002513B9">
        <w:t xml:space="preserve"> </w:t>
      </w:r>
      <w:r w:rsidR="00065C3C" w:rsidRPr="002513B9">
        <w:t xml:space="preserve">πραγματικό κόστος χρηματοδότησης τόσο των επιχειρήσεων όσο και των νοικοκυριών </w:t>
      </w:r>
      <w:r w:rsidR="004D17D5">
        <w:t xml:space="preserve">σε σύγκριση με </w:t>
      </w:r>
      <w:r w:rsidR="00C92738">
        <w:t>το κόστος</w:t>
      </w:r>
      <w:r w:rsidR="00065C3C" w:rsidRPr="002513B9">
        <w:t xml:space="preserve"> που αποτυπώνεται στη στατιστική σειρά των τραπεζικών επιτοκίων.</w:t>
      </w:r>
    </w:p>
    <w:p w14:paraId="537CD9C6" w14:textId="06E95F97" w:rsidR="008F04D5" w:rsidRPr="00151E2C" w:rsidRDefault="008F04D5" w:rsidP="00685673">
      <w:pPr>
        <w:pStyle w:val="3"/>
        <w:keepNext w:val="0"/>
      </w:pPr>
      <w:bookmarkStart w:id="21" w:name="_Toc242019537"/>
      <w:r w:rsidRPr="00744E41">
        <w:t>Μακροοικονομικές</w:t>
      </w:r>
      <w:r w:rsidRPr="00151E2C">
        <w:t xml:space="preserve"> </w:t>
      </w:r>
      <w:r w:rsidRPr="00656E67">
        <w:t>προβλέψεις</w:t>
      </w:r>
      <w:r w:rsidRPr="00151E2C">
        <w:t xml:space="preserve"> το </w:t>
      </w:r>
      <w:r w:rsidRPr="007B0AAB">
        <w:t>202</w:t>
      </w:r>
      <w:r w:rsidR="0000000D">
        <w:rPr>
          <w:lang w:val="en-US"/>
        </w:rPr>
        <w:t>7</w:t>
      </w:r>
      <w:bookmarkEnd w:id="21"/>
    </w:p>
    <w:bookmarkEnd w:id="20"/>
    <w:p w14:paraId="4DA1AD38" w14:textId="2CAFCB0F" w:rsidR="0000000D" w:rsidRDefault="0000000D" w:rsidP="00613FED">
      <w:r>
        <w:t>Το διεθνές μακροοικονομικό περιβάλλον για την περίοδο 2026</w:t>
      </w:r>
      <w:r w:rsidR="00AB01D0">
        <w:t xml:space="preserve"> - </w:t>
      </w:r>
      <w:r>
        <w:t xml:space="preserve">2027 </w:t>
      </w:r>
      <w:r w:rsidR="00F03D3B">
        <w:t>διακρίνεται</w:t>
      </w:r>
      <w:r>
        <w:t xml:space="preserve"> από αυξημένη γεωπολιτική και εμπορική αβεβαιότητα,</w:t>
      </w:r>
      <w:r w:rsidR="00B025E3">
        <w:t xml:space="preserve"> από</w:t>
      </w:r>
      <w:r>
        <w:t xml:space="preserve"> υψηλ</w:t>
      </w:r>
      <w:r w:rsidR="00B025E3">
        <w:t xml:space="preserve">ή διακύμανση στις </w:t>
      </w:r>
      <w:r>
        <w:t xml:space="preserve">τιμές ενέργειας και </w:t>
      </w:r>
      <w:r w:rsidR="00B025E3">
        <w:t xml:space="preserve">από </w:t>
      </w:r>
      <w:r>
        <w:t>διαφοροποιήσεις των προοπτικών μεταξύ οικονομιών. Οι επιδράσεις των αυξημένων ενεργειακών τιμών στην πραγματική αγοραστική δύναμη και στο κόστος παραγωγής επιβαρύνουν την ιδιωτική κατανάλωση και τις επενδύσεις, ενώ η διαδικασία αποκλιμάκωσης του παγκ</w:t>
      </w:r>
      <w:r w:rsidR="002C4631">
        <w:t>ο</w:t>
      </w:r>
      <w:r>
        <w:t>σμ</w:t>
      </w:r>
      <w:r w:rsidR="002C4631">
        <w:t>ί</w:t>
      </w:r>
      <w:r>
        <w:t>ου πληθωρισμού έχει ανακοπεί. Αντισταθμιστικά στην παγκόσμια δραστηριότητα λειτουργεί η ενίσχυση του διεθνούς τεχνολογικού κύκλου και των επενδύσεων που σχετίζονται με την τεχνητή νοημοσύνη.</w:t>
      </w:r>
    </w:p>
    <w:p w14:paraId="4E7F2292" w14:textId="3F1CC086" w:rsidR="0000000D" w:rsidRDefault="0000000D" w:rsidP="00613FED">
      <w:r>
        <w:t>Σύμφωνα με την επικαιροποίηση του World Economic Outlook του Διεθνούς Νομισματικού Ταμείου (ΔΝΤ) του Ιουλίου 2026, ο ρυθμός αύξησης του παγκ</w:t>
      </w:r>
      <w:r w:rsidR="002C4631">
        <w:t>ο</w:t>
      </w:r>
      <w:r>
        <w:t>σμ</w:t>
      </w:r>
      <w:r w:rsidR="002C4631">
        <w:t>ί</w:t>
      </w:r>
      <w:r>
        <w:t>ου ΑΕΠ προβλέπεται να διαμορφωθεί σε 3,0% το 2026</w:t>
      </w:r>
      <w:r w:rsidR="008B025C">
        <w:t xml:space="preserve"> έναντι 3,5% το 2025</w:t>
      </w:r>
      <w:r>
        <w:t xml:space="preserve"> και να επιταχυνθεί σε 3,4% το 2027. Η πρόβλεψη αντανακλά τ</w:t>
      </w:r>
      <w:r w:rsidR="002C4631">
        <w:t>ο</w:t>
      </w:r>
      <w:r>
        <w:t>ν αρνητικ</w:t>
      </w:r>
      <w:r w:rsidR="002C4631">
        <w:t>ό</w:t>
      </w:r>
      <w:r>
        <w:t xml:space="preserve"> </w:t>
      </w:r>
      <w:r w:rsidR="002C4631">
        <w:t>αντίκτυπο</w:t>
      </w:r>
      <w:r>
        <w:t xml:space="preserve"> του ενεργειακού σοκ, </w:t>
      </w:r>
      <w:r w:rsidR="007B229D">
        <w:t xml:space="preserve">ο </w:t>
      </w:r>
      <w:r>
        <w:t>οποί</w:t>
      </w:r>
      <w:r w:rsidR="007B229D">
        <w:t>ος</w:t>
      </w:r>
      <w:r>
        <w:t xml:space="preserve"> αντισταθμίζεται εν μέρει από την αυξημένη δραστηριότητα στις οικονομίες που συμμετέχουν εντονότερα στην παγκόσμια τεχνολογική αλυσίδα αξίας.</w:t>
      </w:r>
    </w:p>
    <w:p w14:paraId="7E5E2416" w14:textId="3D955653" w:rsidR="0000000D" w:rsidRDefault="0000000D" w:rsidP="00613FED">
      <w:r>
        <w:t xml:space="preserve">Για την ΕΕ και την Ευρωζώνη οι </w:t>
      </w:r>
      <w:r w:rsidR="002C4631">
        <w:t>ε</w:t>
      </w:r>
      <w:r>
        <w:t xml:space="preserve">αρινές </w:t>
      </w:r>
      <w:r w:rsidR="002C4631">
        <w:t>ο</w:t>
      </w:r>
      <w:r>
        <w:t xml:space="preserve">ικονομικές </w:t>
      </w:r>
      <w:r w:rsidR="002C4631">
        <w:t>π</w:t>
      </w:r>
      <w:r>
        <w:t xml:space="preserve">ροβλέψεις της Ευρωπαϊκής Επιτροπής του Μαΐου 2026 </w:t>
      </w:r>
      <w:r w:rsidR="00F70118">
        <w:t>παρουσιάζουν</w:t>
      </w:r>
      <w:r>
        <w:t xml:space="preserve"> επιβράδυνση της οικονομικής δραστηριότητας το 2026 και μερική ανάκαμψη το 2027. Ο ρυθμός αύξησης του πραγματικού ΑΕΠ στην ΕΕ προβλέπεται να διαμορφωθεί σε 1,1% το 2026 από 1,5% το 2025 και να ενισχυθεί σε 1,4% το 2027. Για την Ευρωζώνη οι αντίστοιχοι ρυθμοί προβλέπονται σε 0,9% για το 2026 και σε 1,2% για το 2027 έναντι 1,4% το 2025.</w:t>
      </w:r>
    </w:p>
    <w:p w14:paraId="7C9B5327" w14:textId="7351A862" w:rsidR="0000000D" w:rsidRDefault="0000000D" w:rsidP="00613FED">
      <w:r>
        <w:t xml:space="preserve">Η επιβράδυνση της </w:t>
      </w:r>
      <w:r w:rsidR="00F40EBD">
        <w:t xml:space="preserve">εγχώριας </w:t>
      </w:r>
      <w:r>
        <w:t>ζήτησης στην ΕΕ συνδέεται κυρίως με την ασθενέστερη εξέλιξη της ιδιωτικής κατανάλωσης. Σύμφωνα με την Επιτροπή, η αύξηση των ονομαστικών αμοιβών περιορίζει εν μέρει την επίδραση της ασθενέστερης απασχόλησης, ωστόσο η αναθεώρηση του πληθωρισμού προς τα πάνω μειώνει σωρευτικά την αύξηση του πραγματικού διαθέσιμου εισοδήματος των νοικοκυριών κατά 1,4 ποσοστιαίες μονάδες τη διετία 2026</w:t>
      </w:r>
      <w:r w:rsidR="00CC157C">
        <w:t xml:space="preserve"> - </w:t>
      </w:r>
      <w:r>
        <w:t>2027 σε σ</w:t>
      </w:r>
      <w:r w:rsidR="00CC157C">
        <w:t xml:space="preserve">ύγκριση </w:t>
      </w:r>
      <w:r>
        <w:t xml:space="preserve">με τις </w:t>
      </w:r>
      <w:r w:rsidR="00CC157C">
        <w:t>φ</w:t>
      </w:r>
      <w:r>
        <w:t xml:space="preserve">θινοπωρινές </w:t>
      </w:r>
      <w:r w:rsidR="00CC157C">
        <w:t>π</w:t>
      </w:r>
      <w:r>
        <w:t>ροβλέψεις του 2025. Στο πλαίσιο αυτό η ιδιωτική κατανάλωση στην ΕΕ προβλέπεται να αυξηθεί κατά 1,1% το 2026 έναντι 1,7% το 2025 και κατά 1,3% το 2027.</w:t>
      </w:r>
    </w:p>
    <w:p w14:paraId="6DD20669" w14:textId="54138728" w:rsidR="0000000D" w:rsidRDefault="005943CC" w:rsidP="00613FED">
      <w:r>
        <w:t xml:space="preserve">Σύμφωνα με τις </w:t>
      </w:r>
      <w:r w:rsidR="0000000D">
        <w:t>πλέον πρόσφατες προβλέψεις των εμπειρογνωμόνων της ΕΚΤ του Σεπτεμβρίου 2026</w:t>
      </w:r>
      <w:r>
        <w:t>, εκτιμάται</w:t>
      </w:r>
      <w:r w:rsidR="0000000D">
        <w:t xml:space="preserve"> αύξηση του πραγματικού ΑΕΠ της Ευρωζώνης κατά 0,9% το 2026, αλλά αναθεωρ</w:t>
      </w:r>
      <w:r>
        <w:t xml:space="preserve">είται </w:t>
      </w:r>
      <w:r w:rsidR="0000000D">
        <w:t>ο ρυθμό</w:t>
      </w:r>
      <w:r>
        <w:t>ς</w:t>
      </w:r>
      <w:r w:rsidR="0000000D">
        <w:t xml:space="preserve"> του 2027 σε 1,4%. Σ</w:t>
      </w:r>
      <w:r>
        <w:t xml:space="preserve">υγκριτικά </w:t>
      </w:r>
      <w:r w:rsidR="0000000D">
        <w:t>με τις προβλέψεις του Ιουνίου οι εκτιμήσεις αναθεωρήθηκαν προς τα πάνω κατά 0,1 ποσοστιαία μονάδα για το 2026 και κατά 0,2 ποσοστιαίες μονάδες για το 2027, κυρίως λόγω καλ</w:t>
      </w:r>
      <w:r w:rsidR="00534BB4">
        <w:t>ύ</w:t>
      </w:r>
      <w:r w:rsidR="0000000D">
        <w:t>τ</w:t>
      </w:r>
      <w:r w:rsidR="00534BB4">
        <w:t>ε</w:t>
      </w:r>
      <w:r w:rsidR="0000000D">
        <w:t>ρων από τα αναμενόμενα στοιχείων για το 2ο τρίμηνο και ισχυρ</w:t>
      </w:r>
      <w:r w:rsidR="00534BB4">
        <w:t>ό</w:t>
      </w:r>
      <w:r w:rsidR="0000000D">
        <w:t>τ</w:t>
      </w:r>
      <w:r w:rsidR="00534BB4">
        <w:t>ε</w:t>
      </w:r>
      <w:r w:rsidR="0000000D">
        <w:t>ρων βραχυχρ</w:t>
      </w:r>
      <w:r w:rsidR="00534BB4">
        <w:t>ό</w:t>
      </w:r>
      <w:r w:rsidR="0000000D">
        <w:t>ν</w:t>
      </w:r>
      <w:r w:rsidR="00534BB4">
        <w:t>ι</w:t>
      </w:r>
      <w:r w:rsidR="0000000D">
        <w:t xml:space="preserve">ων ενδείξεων για την επενδυτική και </w:t>
      </w:r>
      <w:r>
        <w:t xml:space="preserve">την </w:t>
      </w:r>
      <w:r w:rsidR="0000000D">
        <w:t>καταναλωτική δραστηριότητα.</w:t>
      </w:r>
    </w:p>
    <w:p w14:paraId="2D4CE51A" w14:textId="6C0B6EBB" w:rsidR="0000000D" w:rsidRDefault="0000000D" w:rsidP="00BE678F">
      <w:pPr>
        <w:spacing w:after="240"/>
      </w:pPr>
      <w:r>
        <w:t xml:space="preserve">Για τις δύο μεγαλύτερες οικονομίες της Ευρωζώνης οι </w:t>
      </w:r>
      <w:r w:rsidR="005943CC">
        <w:t>ε</w:t>
      </w:r>
      <w:r>
        <w:t xml:space="preserve">αρινές </w:t>
      </w:r>
      <w:r w:rsidR="005943CC">
        <w:t>π</w:t>
      </w:r>
      <w:r>
        <w:t xml:space="preserve">ροβλέψεις της Επιτροπής παραμένουν συγκρατημένες. Στη Γαλλία ο ρυθμός αύξησης του πραγματικού ΑΕΠ </w:t>
      </w:r>
      <w:r w:rsidR="00534BB4">
        <w:t>εκτιμάται</w:t>
      </w:r>
      <w:r>
        <w:t xml:space="preserve"> σε 0,8% τόσο το 2025 όσο και το 2026 και σε 1,1% το 2027. Στη Γερμανία προβλέπεται επιτάχυνση από 0,2% το 2025 σε 0,6% το 2026 και </w:t>
      </w:r>
      <w:r w:rsidR="005943CC">
        <w:t xml:space="preserve">σε </w:t>
      </w:r>
      <w:r>
        <w:t>0,9% το 2027. Η προβλεπόμενη ανάκαμψη της γερμανικής οικονομίας υποστηρίζεται από την αύξηση των δημ</w:t>
      </w:r>
      <w:r w:rsidR="005943CC">
        <w:t>ο</w:t>
      </w:r>
      <w:r>
        <w:t>σ</w:t>
      </w:r>
      <w:r w:rsidR="005943CC">
        <w:t>ί</w:t>
      </w:r>
      <w:r>
        <w:t>ων δαπανών, ιδίως των αμυντικών δαπανών, ενώ για το 2027 προβλέπεται ενίσχυση και της ιδιωτικής κατανάλωσης.</w:t>
      </w:r>
    </w:p>
    <w:tbl>
      <w:tblPr>
        <w:tblW w:w="731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CellMar>
          <w:left w:w="0" w:type="dxa"/>
          <w:right w:w="0" w:type="dxa"/>
        </w:tblCellMar>
        <w:tblLook w:val="04A0" w:firstRow="1" w:lastRow="0" w:firstColumn="1" w:lastColumn="0" w:noHBand="0" w:noVBand="1"/>
      </w:tblPr>
      <w:tblGrid>
        <w:gridCol w:w="5031"/>
        <w:gridCol w:w="714"/>
        <w:gridCol w:w="784"/>
        <w:gridCol w:w="784"/>
      </w:tblGrid>
      <w:tr w:rsidR="0000000D" w:rsidRPr="00B62E85" w14:paraId="0F0D9CFF" w14:textId="77777777" w:rsidTr="00572429">
        <w:trPr>
          <w:cantSplit/>
          <w:trHeight w:val="567"/>
          <w:jc w:val="center"/>
        </w:trPr>
        <w:tc>
          <w:tcPr>
            <w:tcW w:w="0" w:type="auto"/>
            <w:gridSpan w:val="4"/>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hideMark/>
          </w:tcPr>
          <w:p w14:paraId="1DB4EBDF" w14:textId="10593A7A" w:rsidR="0000000D" w:rsidRPr="00B62E85" w:rsidRDefault="0000000D" w:rsidP="009D2D10">
            <w:pPr>
              <w:spacing w:after="0" w:line="276" w:lineRule="auto"/>
              <w:jc w:val="center"/>
              <w:rPr>
                <w:rFonts w:eastAsia="Calibri" w:cs="Arial"/>
                <w:b/>
                <w:sz w:val="18"/>
                <w:szCs w:val="18"/>
              </w:rPr>
            </w:pPr>
            <w:bookmarkStart w:id="22" w:name="_Ref241417024"/>
            <w:bookmarkStart w:id="23" w:name="_Toc241773165"/>
            <w:r w:rsidRPr="00B62E85">
              <w:rPr>
                <w:b/>
                <w:sz w:val="18"/>
                <w:szCs w:val="18"/>
              </w:rPr>
              <w:t>Πίνακας 1.</w:t>
            </w:r>
            <w:r w:rsidRPr="00B62E85">
              <w:rPr>
                <w:b/>
                <w:sz w:val="18"/>
                <w:szCs w:val="18"/>
              </w:rPr>
              <w:fldChar w:fldCharType="begin"/>
            </w:r>
            <w:r w:rsidRPr="00B62E85">
              <w:rPr>
                <w:b/>
                <w:sz w:val="18"/>
                <w:szCs w:val="18"/>
              </w:rPr>
              <w:instrText xml:space="preserve"> SEQ Πίνακας_1. \* ARABIC </w:instrText>
            </w:r>
            <w:r w:rsidRPr="00B62E85">
              <w:rPr>
                <w:b/>
                <w:sz w:val="18"/>
                <w:szCs w:val="18"/>
              </w:rPr>
              <w:fldChar w:fldCharType="separate"/>
            </w:r>
            <w:r w:rsidR="007F6D9C">
              <w:rPr>
                <w:b/>
                <w:noProof/>
                <w:sz w:val="18"/>
                <w:szCs w:val="18"/>
              </w:rPr>
              <w:t>1</w:t>
            </w:r>
            <w:r w:rsidRPr="00B62E85">
              <w:rPr>
                <w:b/>
                <w:sz w:val="18"/>
                <w:szCs w:val="18"/>
              </w:rPr>
              <w:fldChar w:fldCharType="end"/>
            </w:r>
            <w:bookmarkEnd w:id="22"/>
            <w:r w:rsidRPr="00B62E85">
              <w:rPr>
                <w:b/>
                <w:sz w:val="18"/>
                <w:szCs w:val="18"/>
              </w:rPr>
              <w:t>.</w:t>
            </w:r>
            <w:r w:rsidRPr="00B62E85">
              <w:rPr>
                <w:rFonts w:eastAsia="Calibri" w:cs="Arial"/>
                <w:b/>
                <w:sz w:val="18"/>
                <w:szCs w:val="18"/>
              </w:rPr>
              <w:t xml:space="preserve">: </w:t>
            </w:r>
            <w:r w:rsidRPr="00E75365">
              <w:rPr>
                <w:rFonts w:eastAsia="Calibri" w:cs="Arial"/>
                <w:b/>
                <w:sz w:val="18"/>
                <w:szCs w:val="18"/>
              </w:rPr>
              <w:t>Βασικές διεθνείς μακροοικονομικές προβλέψεις και παραδοχές</w:t>
            </w:r>
            <w:bookmarkEnd w:id="23"/>
          </w:p>
          <w:p w14:paraId="40C98C06" w14:textId="158BF845" w:rsidR="0000000D" w:rsidRPr="00B62E85" w:rsidRDefault="0000000D" w:rsidP="009D2D10">
            <w:pPr>
              <w:snapToGrid w:val="0"/>
              <w:spacing w:after="0" w:line="276" w:lineRule="auto"/>
              <w:jc w:val="center"/>
              <w:rPr>
                <w:rFonts w:eastAsia="Calibri" w:cs="Arial"/>
                <w:b/>
                <w:bCs/>
                <w:sz w:val="16"/>
                <w:szCs w:val="16"/>
              </w:rPr>
            </w:pPr>
            <w:r w:rsidRPr="00E75365">
              <w:rPr>
                <w:rFonts w:eastAsia="Calibri" w:cs="Arial"/>
                <w:b/>
                <w:sz w:val="18"/>
                <w:szCs w:val="18"/>
              </w:rPr>
              <w:t>(ετήσιες μεταβολές %</w:t>
            </w:r>
            <w:r w:rsidR="00570082">
              <w:rPr>
                <w:rFonts w:eastAsia="Calibri" w:cs="Arial"/>
                <w:b/>
                <w:sz w:val="18"/>
                <w:szCs w:val="18"/>
              </w:rPr>
              <w:t>)</w:t>
            </w:r>
          </w:p>
        </w:tc>
      </w:tr>
      <w:tr w:rsidR="0000000D" w:rsidRPr="005041F3" w14:paraId="4920776B" w14:textId="77777777" w:rsidTr="00572429">
        <w:trPr>
          <w:cantSplit/>
          <w:trHeight w:val="340"/>
          <w:jc w:val="center"/>
        </w:trPr>
        <w:tc>
          <w:tcPr>
            <w:tcW w:w="0" w:type="auto"/>
            <w:tcBorders>
              <w:top w:val="nil"/>
              <w:left w:val="single" w:sz="2" w:space="0" w:color="A6A6A6" w:themeColor="background1" w:themeShade="A6"/>
              <w:bottom w:val="nil"/>
            </w:tcBorders>
            <w:shd w:val="clear" w:color="auto" w:fill="F2F2F2" w:themeFill="background1" w:themeFillShade="F2"/>
            <w:tcMar>
              <w:top w:w="0" w:type="dxa"/>
              <w:left w:w="108" w:type="dxa"/>
              <w:bottom w:w="0" w:type="dxa"/>
              <w:right w:w="108" w:type="dxa"/>
            </w:tcMar>
            <w:vAlign w:val="center"/>
          </w:tcPr>
          <w:p w14:paraId="184C9BCF" w14:textId="77777777" w:rsidR="0000000D" w:rsidRPr="00B62E85" w:rsidRDefault="0000000D" w:rsidP="009D2D10">
            <w:pPr>
              <w:snapToGrid w:val="0"/>
              <w:spacing w:after="0" w:line="276" w:lineRule="auto"/>
              <w:jc w:val="center"/>
              <w:rPr>
                <w:rFonts w:eastAsia="Calibri" w:cs="Arial"/>
                <w:bCs/>
                <w:sz w:val="16"/>
                <w:szCs w:val="16"/>
              </w:rPr>
            </w:pPr>
          </w:p>
        </w:tc>
        <w:tc>
          <w:tcPr>
            <w:tcW w:w="0" w:type="auto"/>
            <w:tcBorders>
              <w:top w:val="nil"/>
              <w:bottom w:val="nil"/>
            </w:tcBorders>
            <w:shd w:val="clear" w:color="auto" w:fill="F2F2F2" w:themeFill="background1" w:themeFillShade="F2"/>
            <w:tcMar>
              <w:top w:w="0" w:type="dxa"/>
              <w:left w:w="108" w:type="dxa"/>
              <w:bottom w:w="0" w:type="dxa"/>
              <w:right w:w="108" w:type="dxa"/>
            </w:tcMar>
            <w:vAlign w:val="center"/>
            <w:hideMark/>
          </w:tcPr>
          <w:p w14:paraId="4E021E61" w14:textId="77777777" w:rsidR="0000000D" w:rsidRPr="00F503EE" w:rsidRDefault="0000000D" w:rsidP="009D2D10">
            <w:pPr>
              <w:snapToGrid w:val="0"/>
              <w:spacing w:after="0" w:line="276" w:lineRule="auto"/>
              <w:jc w:val="center"/>
              <w:rPr>
                <w:rFonts w:eastAsia="Calibri" w:cs="Arial"/>
                <w:b/>
                <w:sz w:val="16"/>
                <w:szCs w:val="16"/>
                <w:lang w:val="en-US"/>
              </w:rPr>
            </w:pPr>
            <w:r w:rsidRPr="00B62E85">
              <w:rPr>
                <w:rFonts w:eastAsia="Calibri" w:cs="Arial"/>
                <w:b/>
                <w:sz w:val="16"/>
                <w:szCs w:val="16"/>
              </w:rPr>
              <w:t>202</w:t>
            </w:r>
            <w:r>
              <w:rPr>
                <w:rFonts w:eastAsia="Calibri" w:cs="Arial"/>
                <w:b/>
                <w:sz w:val="16"/>
                <w:szCs w:val="16"/>
                <w:lang w:val="en-US"/>
              </w:rPr>
              <w:t>5</w:t>
            </w:r>
          </w:p>
        </w:tc>
        <w:tc>
          <w:tcPr>
            <w:tcW w:w="0" w:type="auto"/>
            <w:tcBorders>
              <w:top w:val="nil"/>
              <w:bottom w:val="nil"/>
            </w:tcBorders>
            <w:shd w:val="clear" w:color="auto" w:fill="F2F2F2" w:themeFill="background1" w:themeFillShade="F2"/>
            <w:tcMar>
              <w:top w:w="0" w:type="dxa"/>
              <w:left w:w="108" w:type="dxa"/>
              <w:bottom w:w="0" w:type="dxa"/>
              <w:right w:w="108" w:type="dxa"/>
            </w:tcMar>
            <w:vAlign w:val="center"/>
            <w:hideMark/>
          </w:tcPr>
          <w:p w14:paraId="42544255" w14:textId="1BE7CF7F" w:rsidR="0000000D" w:rsidRPr="005041F3" w:rsidRDefault="0000000D" w:rsidP="009D2D10">
            <w:pPr>
              <w:snapToGrid w:val="0"/>
              <w:spacing w:after="0" w:line="276" w:lineRule="auto"/>
              <w:jc w:val="center"/>
              <w:rPr>
                <w:rFonts w:eastAsia="Calibri" w:cs="Arial"/>
                <w:b/>
                <w:sz w:val="16"/>
                <w:szCs w:val="16"/>
              </w:rPr>
            </w:pPr>
            <w:r w:rsidRPr="005041F3">
              <w:rPr>
                <w:rFonts w:eastAsia="Calibri" w:cs="Arial"/>
                <w:b/>
                <w:sz w:val="16"/>
                <w:szCs w:val="16"/>
              </w:rPr>
              <w:t>202</w:t>
            </w:r>
            <w:r w:rsidRPr="005041F3">
              <w:rPr>
                <w:rFonts w:eastAsia="Calibri" w:cs="Arial"/>
                <w:b/>
                <w:sz w:val="16"/>
                <w:szCs w:val="16"/>
                <w:lang w:val="en-US"/>
              </w:rPr>
              <w:t>6</w:t>
            </w:r>
            <w:r w:rsidR="00EA7F48" w:rsidRPr="005041F3">
              <w:rPr>
                <w:rFonts w:eastAsia="Calibri" w:cs="Arial"/>
                <w:b/>
                <w:sz w:val="16"/>
                <w:szCs w:val="16"/>
                <w:vertAlign w:val="superscript"/>
              </w:rPr>
              <w:t>1</w:t>
            </w:r>
          </w:p>
        </w:tc>
        <w:tc>
          <w:tcPr>
            <w:tcW w:w="0" w:type="auto"/>
            <w:tcBorders>
              <w:top w:val="nil"/>
              <w:bottom w:val="nil"/>
              <w:right w:val="single" w:sz="2" w:space="0" w:color="A6A6A6" w:themeColor="background1" w:themeShade="A6"/>
            </w:tcBorders>
            <w:shd w:val="clear" w:color="auto" w:fill="F2F2F2" w:themeFill="background1" w:themeFillShade="F2"/>
            <w:tcMar>
              <w:top w:w="0" w:type="dxa"/>
              <w:left w:w="108" w:type="dxa"/>
              <w:bottom w:w="0" w:type="dxa"/>
              <w:right w:w="108" w:type="dxa"/>
            </w:tcMar>
            <w:vAlign w:val="center"/>
            <w:hideMark/>
          </w:tcPr>
          <w:p w14:paraId="3581A194" w14:textId="293EEED7" w:rsidR="0000000D" w:rsidRPr="005041F3" w:rsidRDefault="0000000D" w:rsidP="009D2D10">
            <w:pPr>
              <w:snapToGrid w:val="0"/>
              <w:spacing w:after="0" w:line="276" w:lineRule="auto"/>
              <w:jc w:val="center"/>
              <w:rPr>
                <w:rFonts w:eastAsia="Calibri" w:cs="Arial"/>
                <w:b/>
                <w:sz w:val="16"/>
                <w:szCs w:val="16"/>
              </w:rPr>
            </w:pPr>
            <w:r w:rsidRPr="005041F3">
              <w:rPr>
                <w:rFonts w:eastAsia="Calibri" w:cs="Arial"/>
                <w:b/>
                <w:sz w:val="16"/>
                <w:szCs w:val="16"/>
              </w:rPr>
              <w:t>202</w:t>
            </w:r>
            <w:r w:rsidRPr="005041F3">
              <w:rPr>
                <w:rFonts w:eastAsia="Calibri" w:cs="Arial"/>
                <w:b/>
                <w:sz w:val="16"/>
                <w:szCs w:val="16"/>
                <w:lang w:val="en-US"/>
              </w:rPr>
              <w:t>7</w:t>
            </w:r>
            <w:r w:rsidR="00EA7F48" w:rsidRPr="005041F3">
              <w:rPr>
                <w:rFonts w:eastAsia="Calibri" w:cs="Arial"/>
                <w:b/>
                <w:sz w:val="16"/>
                <w:szCs w:val="16"/>
                <w:vertAlign w:val="superscript"/>
              </w:rPr>
              <w:t>2</w:t>
            </w:r>
          </w:p>
        </w:tc>
      </w:tr>
      <w:tr w:rsidR="0000000D" w:rsidRPr="00B62E85" w14:paraId="162AF6DC"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7D9216BD" w14:textId="0FA8190E"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Παγκόσμιο ΑΕΠ</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687F4CD0"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3,5</w:t>
            </w:r>
          </w:p>
        </w:tc>
        <w:tc>
          <w:tcPr>
            <w:tcW w:w="0" w:type="auto"/>
            <w:tcBorders>
              <w:top w:val="nil"/>
              <w:bottom w:val="nil"/>
            </w:tcBorders>
            <w:shd w:val="clear" w:color="auto" w:fill="FFFFFF"/>
            <w:tcMar>
              <w:top w:w="0" w:type="dxa"/>
              <w:left w:w="108" w:type="dxa"/>
              <w:bottom w:w="0" w:type="dxa"/>
              <w:right w:w="108" w:type="dxa"/>
            </w:tcMar>
            <w:vAlign w:val="center"/>
            <w:hideMark/>
          </w:tcPr>
          <w:p w14:paraId="76B2C703"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4389BD2B"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3,4</w:t>
            </w:r>
          </w:p>
        </w:tc>
      </w:tr>
      <w:tr w:rsidR="0000000D" w:rsidRPr="00B62E85" w14:paraId="19A34B41"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094D2067" w14:textId="5F81D5D7" w:rsidR="0000000D" w:rsidRPr="00152703" w:rsidRDefault="0000000D" w:rsidP="009D2D10">
            <w:pPr>
              <w:snapToGrid w:val="0"/>
              <w:spacing w:after="0" w:line="276" w:lineRule="auto"/>
              <w:jc w:val="left"/>
              <w:rPr>
                <w:rFonts w:eastAsia="Calibri" w:cs="Arial"/>
                <w:bCs/>
                <w:sz w:val="16"/>
                <w:szCs w:val="16"/>
                <w:lang w:val="en-US"/>
              </w:rPr>
            </w:pPr>
            <w:r w:rsidRPr="00152703">
              <w:rPr>
                <w:sz w:val="16"/>
                <w:szCs w:val="16"/>
              </w:rPr>
              <w:t>ΑΕΠ ΕΕ</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6EE0D805"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1,5</w:t>
            </w:r>
          </w:p>
        </w:tc>
        <w:tc>
          <w:tcPr>
            <w:tcW w:w="0" w:type="auto"/>
            <w:tcBorders>
              <w:top w:val="nil"/>
              <w:bottom w:val="nil"/>
            </w:tcBorders>
            <w:shd w:val="clear" w:color="auto" w:fill="FFFFFF"/>
            <w:tcMar>
              <w:top w:w="0" w:type="dxa"/>
              <w:left w:w="108" w:type="dxa"/>
              <w:bottom w:w="0" w:type="dxa"/>
              <w:right w:w="108" w:type="dxa"/>
            </w:tcMar>
            <w:vAlign w:val="center"/>
            <w:hideMark/>
          </w:tcPr>
          <w:p w14:paraId="42CC3865"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1,1</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2F9C48D8"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1,4</w:t>
            </w:r>
          </w:p>
        </w:tc>
      </w:tr>
      <w:tr w:rsidR="0000000D" w:rsidRPr="00B62E85" w14:paraId="20CB9161"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288ACCB7" w14:textId="6EF98C0E" w:rsidR="0000000D" w:rsidRPr="00152703" w:rsidRDefault="0000000D" w:rsidP="009D2D10">
            <w:pPr>
              <w:snapToGrid w:val="0"/>
              <w:spacing w:after="0" w:line="276" w:lineRule="auto"/>
              <w:jc w:val="left"/>
              <w:rPr>
                <w:rFonts w:eastAsia="Calibri" w:cs="Arial"/>
                <w:bCs/>
                <w:sz w:val="16"/>
                <w:szCs w:val="16"/>
                <w:lang w:val="en-US"/>
              </w:rPr>
            </w:pPr>
            <w:r w:rsidRPr="00152703">
              <w:rPr>
                <w:sz w:val="16"/>
                <w:szCs w:val="16"/>
              </w:rPr>
              <w:t>ΑΕΠ Ευρωζώνης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6FDC429F"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1,4</w:t>
            </w:r>
          </w:p>
        </w:tc>
        <w:tc>
          <w:tcPr>
            <w:tcW w:w="0" w:type="auto"/>
            <w:tcBorders>
              <w:top w:val="nil"/>
              <w:bottom w:val="nil"/>
            </w:tcBorders>
            <w:shd w:val="clear" w:color="auto" w:fill="FFFFFF"/>
            <w:tcMar>
              <w:top w:w="0" w:type="dxa"/>
              <w:left w:w="108" w:type="dxa"/>
              <w:bottom w:w="0" w:type="dxa"/>
              <w:right w:w="108" w:type="dxa"/>
            </w:tcMar>
            <w:vAlign w:val="center"/>
            <w:hideMark/>
          </w:tcPr>
          <w:p w14:paraId="6FF4CC2A"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0,9</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1D495195" w14:textId="77777777" w:rsidR="0000000D" w:rsidRPr="00B62E85" w:rsidRDefault="0000000D" w:rsidP="009D2D10">
            <w:pPr>
              <w:snapToGrid w:val="0"/>
              <w:spacing w:after="0" w:line="276" w:lineRule="auto"/>
              <w:jc w:val="right"/>
              <w:rPr>
                <w:rFonts w:eastAsia="Calibri" w:cs="Arial"/>
                <w:sz w:val="16"/>
                <w:szCs w:val="16"/>
                <w:lang w:val="en-US"/>
              </w:rPr>
            </w:pPr>
            <w:r w:rsidRPr="00B62E85">
              <w:rPr>
                <w:sz w:val="16"/>
                <w:szCs w:val="16"/>
              </w:rPr>
              <w:t>1,2</w:t>
            </w:r>
          </w:p>
        </w:tc>
      </w:tr>
      <w:tr w:rsidR="0000000D" w:rsidRPr="00B62E85" w14:paraId="59171893"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3C94FE52" w14:textId="66F2BB9B"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ΑΕΠ ΗΠΑ</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3AED5F97"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2,1</w:t>
            </w:r>
          </w:p>
        </w:tc>
        <w:tc>
          <w:tcPr>
            <w:tcW w:w="0" w:type="auto"/>
            <w:tcBorders>
              <w:top w:val="nil"/>
              <w:bottom w:val="nil"/>
            </w:tcBorders>
            <w:shd w:val="clear" w:color="auto" w:fill="FFFFFF"/>
            <w:tcMar>
              <w:top w:w="0" w:type="dxa"/>
              <w:left w:w="108" w:type="dxa"/>
              <w:bottom w:w="0" w:type="dxa"/>
              <w:right w:w="108" w:type="dxa"/>
            </w:tcMar>
            <w:vAlign w:val="center"/>
            <w:hideMark/>
          </w:tcPr>
          <w:p w14:paraId="3F78E87D"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2,3</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1C7BEBF0"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2,2</w:t>
            </w:r>
          </w:p>
        </w:tc>
      </w:tr>
      <w:tr w:rsidR="0000000D" w:rsidRPr="00B62E85" w14:paraId="45D2C1C5"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661696B1" w14:textId="4B670EFA" w:rsidR="0000000D" w:rsidRPr="006416A8" w:rsidRDefault="0000000D" w:rsidP="009D2D10">
            <w:pPr>
              <w:snapToGrid w:val="0"/>
              <w:spacing w:after="0" w:line="276" w:lineRule="auto"/>
              <w:jc w:val="left"/>
              <w:rPr>
                <w:rFonts w:eastAsia="Calibri" w:cs="Arial"/>
                <w:bCs/>
                <w:sz w:val="16"/>
                <w:szCs w:val="16"/>
              </w:rPr>
            </w:pPr>
            <w:r w:rsidRPr="00152703">
              <w:rPr>
                <w:sz w:val="16"/>
                <w:szCs w:val="16"/>
              </w:rPr>
              <w:t>Όγκος παγκ</w:t>
            </w:r>
            <w:r w:rsidR="008240C9" w:rsidRPr="00152703">
              <w:rPr>
                <w:sz w:val="16"/>
                <w:szCs w:val="16"/>
              </w:rPr>
              <w:t>ο</w:t>
            </w:r>
            <w:r w:rsidRPr="00152703">
              <w:rPr>
                <w:sz w:val="16"/>
                <w:szCs w:val="16"/>
              </w:rPr>
              <w:t>σμ</w:t>
            </w:r>
            <w:r w:rsidR="008240C9" w:rsidRPr="00152703">
              <w:rPr>
                <w:sz w:val="16"/>
                <w:szCs w:val="16"/>
              </w:rPr>
              <w:t>ί</w:t>
            </w:r>
            <w:r w:rsidRPr="00152703">
              <w:rPr>
                <w:sz w:val="16"/>
                <w:szCs w:val="16"/>
              </w:rPr>
              <w:t>ου εμπορίου (αγαθά και υπηρεσίες)</w:t>
            </w:r>
            <w:r w:rsidR="006416A8" w:rsidRP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0B9FF599"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5,0</w:t>
            </w:r>
          </w:p>
        </w:tc>
        <w:tc>
          <w:tcPr>
            <w:tcW w:w="0" w:type="auto"/>
            <w:tcBorders>
              <w:top w:val="nil"/>
              <w:bottom w:val="nil"/>
            </w:tcBorders>
            <w:shd w:val="clear" w:color="auto" w:fill="FFFFFF"/>
            <w:tcMar>
              <w:top w:w="0" w:type="dxa"/>
              <w:left w:w="108" w:type="dxa"/>
              <w:bottom w:w="0" w:type="dxa"/>
              <w:right w:w="108" w:type="dxa"/>
            </w:tcMar>
            <w:vAlign w:val="center"/>
            <w:hideMark/>
          </w:tcPr>
          <w:p w14:paraId="129D9446"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3,5</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424E02EB"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4,3</w:t>
            </w:r>
          </w:p>
        </w:tc>
      </w:tr>
      <w:tr w:rsidR="0000000D" w:rsidRPr="00B62E85" w14:paraId="011CCFCA"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41607896" w14:textId="75CC5E51"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Πληθωρισμός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tcPr>
          <w:p w14:paraId="2CFEDA0D"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4,1</w:t>
            </w:r>
          </w:p>
        </w:tc>
        <w:tc>
          <w:tcPr>
            <w:tcW w:w="0" w:type="auto"/>
            <w:tcBorders>
              <w:top w:val="nil"/>
              <w:bottom w:val="nil"/>
            </w:tcBorders>
            <w:shd w:val="clear" w:color="auto" w:fill="FFFFFF"/>
            <w:tcMar>
              <w:top w:w="0" w:type="dxa"/>
              <w:left w:w="108" w:type="dxa"/>
              <w:bottom w:w="0" w:type="dxa"/>
              <w:right w:w="108" w:type="dxa"/>
            </w:tcMar>
            <w:vAlign w:val="center"/>
          </w:tcPr>
          <w:p w14:paraId="47FFEA1B"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4,7</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tcPr>
          <w:p w14:paraId="3FC4EF4A"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3,9</w:t>
            </w:r>
          </w:p>
        </w:tc>
      </w:tr>
      <w:tr w:rsidR="0000000D" w:rsidRPr="00B62E85" w14:paraId="75E22039"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495C2D0F" w14:textId="07ED3077" w:rsidR="0000000D" w:rsidRPr="00152703" w:rsidRDefault="0000000D" w:rsidP="009D2D10">
            <w:pPr>
              <w:snapToGrid w:val="0"/>
              <w:spacing w:after="0" w:line="276" w:lineRule="auto"/>
              <w:jc w:val="left"/>
              <w:rPr>
                <w:rFonts w:eastAsia="Calibri" w:cs="Arial"/>
                <w:bCs/>
                <w:sz w:val="16"/>
                <w:szCs w:val="16"/>
                <w:lang w:val="en-US"/>
              </w:rPr>
            </w:pPr>
            <w:r w:rsidRPr="00152703">
              <w:rPr>
                <w:sz w:val="16"/>
                <w:szCs w:val="16"/>
              </w:rPr>
              <w:t>α. Προηγμένες οικονομίες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70396686"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2,5</w:t>
            </w:r>
          </w:p>
        </w:tc>
        <w:tc>
          <w:tcPr>
            <w:tcW w:w="0" w:type="auto"/>
            <w:tcBorders>
              <w:top w:val="nil"/>
              <w:bottom w:val="nil"/>
            </w:tcBorders>
            <w:shd w:val="clear" w:color="auto" w:fill="FFFFFF"/>
            <w:tcMar>
              <w:top w:w="0" w:type="dxa"/>
              <w:left w:w="108" w:type="dxa"/>
              <w:bottom w:w="0" w:type="dxa"/>
              <w:right w:w="108" w:type="dxa"/>
            </w:tcMar>
            <w:vAlign w:val="center"/>
            <w:hideMark/>
          </w:tcPr>
          <w:p w14:paraId="651F1252"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740EC680"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2,4</w:t>
            </w:r>
          </w:p>
        </w:tc>
      </w:tr>
      <w:tr w:rsidR="0000000D" w:rsidRPr="00B62E85" w14:paraId="0CB7748C"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7EFB1121" w14:textId="54439B86"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β. Αναδυόμενες και αναπτυσσόμενες οικονομίες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00CD2AE2" w14:textId="77777777" w:rsidR="0000000D" w:rsidRPr="00B62E85" w:rsidRDefault="0000000D" w:rsidP="009D2D10">
            <w:pPr>
              <w:snapToGrid w:val="0"/>
              <w:spacing w:after="0" w:line="276" w:lineRule="auto"/>
              <w:jc w:val="right"/>
              <w:rPr>
                <w:rFonts w:eastAsia="Calibri" w:cs="Arial"/>
                <w:bCs/>
                <w:sz w:val="16"/>
                <w:szCs w:val="16"/>
              </w:rPr>
            </w:pPr>
            <w:r w:rsidRPr="00B62E85">
              <w:rPr>
                <w:sz w:val="16"/>
                <w:szCs w:val="16"/>
              </w:rPr>
              <w:t>5,2</w:t>
            </w:r>
          </w:p>
        </w:tc>
        <w:tc>
          <w:tcPr>
            <w:tcW w:w="0" w:type="auto"/>
            <w:tcBorders>
              <w:top w:val="nil"/>
              <w:bottom w:val="nil"/>
            </w:tcBorders>
            <w:shd w:val="clear" w:color="auto" w:fill="FFFFFF"/>
            <w:tcMar>
              <w:top w:w="0" w:type="dxa"/>
              <w:left w:w="108" w:type="dxa"/>
              <w:bottom w:w="0" w:type="dxa"/>
              <w:right w:w="108" w:type="dxa"/>
            </w:tcMar>
            <w:vAlign w:val="center"/>
            <w:hideMark/>
          </w:tcPr>
          <w:p w14:paraId="59F2D85F" w14:textId="77777777" w:rsidR="0000000D" w:rsidRPr="00B62E85" w:rsidRDefault="0000000D" w:rsidP="009D2D10">
            <w:pPr>
              <w:snapToGrid w:val="0"/>
              <w:spacing w:after="0" w:line="276" w:lineRule="auto"/>
              <w:jc w:val="right"/>
              <w:rPr>
                <w:rFonts w:eastAsia="Calibri" w:cs="Arial"/>
                <w:bCs/>
                <w:sz w:val="16"/>
                <w:szCs w:val="16"/>
              </w:rPr>
            </w:pPr>
            <w:r w:rsidRPr="00B62E85">
              <w:rPr>
                <w:sz w:val="16"/>
                <w:szCs w:val="16"/>
              </w:rPr>
              <w:t>5,8</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54639E29" w14:textId="77777777" w:rsidR="0000000D" w:rsidRPr="00B62E85" w:rsidRDefault="0000000D" w:rsidP="009D2D10">
            <w:pPr>
              <w:tabs>
                <w:tab w:val="left" w:pos="380"/>
                <w:tab w:val="right" w:pos="578"/>
              </w:tabs>
              <w:snapToGrid w:val="0"/>
              <w:spacing w:after="0" w:line="276" w:lineRule="auto"/>
              <w:jc w:val="right"/>
              <w:rPr>
                <w:rFonts w:eastAsia="Calibri" w:cs="Arial"/>
                <w:bCs/>
                <w:sz w:val="16"/>
                <w:szCs w:val="16"/>
              </w:rPr>
            </w:pPr>
            <w:r w:rsidRPr="00B62E85">
              <w:rPr>
                <w:sz w:val="16"/>
                <w:szCs w:val="16"/>
              </w:rPr>
              <w:t>4,8</w:t>
            </w:r>
          </w:p>
        </w:tc>
      </w:tr>
      <w:tr w:rsidR="0000000D" w:rsidRPr="00B62E85" w14:paraId="31324C42"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tcPr>
          <w:p w14:paraId="74FED6AE" w14:textId="7E3ED8F1"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γ. Ευρωζώνη</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tcPr>
          <w:p w14:paraId="6F7EB769"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2,1</w:t>
            </w:r>
          </w:p>
        </w:tc>
        <w:tc>
          <w:tcPr>
            <w:tcW w:w="0" w:type="auto"/>
            <w:tcBorders>
              <w:top w:val="nil"/>
              <w:bottom w:val="nil"/>
            </w:tcBorders>
            <w:shd w:val="clear" w:color="auto" w:fill="FFFFFF"/>
            <w:tcMar>
              <w:top w:w="0" w:type="dxa"/>
              <w:left w:w="108" w:type="dxa"/>
              <w:bottom w:w="0" w:type="dxa"/>
              <w:right w:w="108" w:type="dxa"/>
            </w:tcMar>
            <w:vAlign w:val="center"/>
          </w:tcPr>
          <w:p w14:paraId="6B4F2E0E"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tcPr>
          <w:p w14:paraId="57A6B31D"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2,3</w:t>
            </w:r>
          </w:p>
        </w:tc>
      </w:tr>
      <w:tr w:rsidR="0000000D" w:rsidRPr="00B62E85" w14:paraId="5D2DD931" w14:textId="77777777" w:rsidTr="00CC2483">
        <w:trPr>
          <w:cantSplit/>
          <w:trHeight w:val="283"/>
          <w:jc w:val="center"/>
        </w:trPr>
        <w:tc>
          <w:tcPr>
            <w:tcW w:w="0" w:type="auto"/>
            <w:tcBorders>
              <w:top w:val="nil"/>
              <w:left w:val="single" w:sz="2" w:space="0" w:color="A6A6A6" w:themeColor="background1" w:themeShade="A6"/>
              <w:bottom w:val="single" w:sz="2" w:space="0" w:color="A6A6A6" w:themeColor="background1" w:themeShade="A6"/>
            </w:tcBorders>
            <w:shd w:val="clear" w:color="auto" w:fill="FFFFFF"/>
            <w:tcMar>
              <w:top w:w="0" w:type="dxa"/>
              <w:left w:w="108" w:type="dxa"/>
              <w:bottom w:w="0" w:type="dxa"/>
              <w:right w:w="108" w:type="dxa"/>
            </w:tcMar>
            <w:vAlign w:val="center"/>
            <w:hideMark/>
          </w:tcPr>
          <w:p w14:paraId="71A448F4" w14:textId="0CB9B525" w:rsidR="0000000D" w:rsidRPr="006416A8" w:rsidRDefault="0000000D" w:rsidP="009D2D10">
            <w:pPr>
              <w:snapToGrid w:val="0"/>
              <w:spacing w:after="0" w:line="276" w:lineRule="auto"/>
              <w:jc w:val="left"/>
              <w:rPr>
                <w:rFonts w:eastAsia="Calibri" w:cs="Arial"/>
                <w:bCs/>
                <w:sz w:val="16"/>
                <w:szCs w:val="16"/>
              </w:rPr>
            </w:pPr>
            <w:r w:rsidRPr="00152703">
              <w:rPr>
                <w:sz w:val="16"/>
                <w:szCs w:val="16"/>
              </w:rPr>
              <w:t>Τιμή πετρελαίου (</w:t>
            </w:r>
            <w:proofErr w:type="spellStart"/>
            <w:r w:rsidRPr="00152703">
              <w:rPr>
                <w:sz w:val="16"/>
                <w:szCs w:val="16"/>
              </w:rPr>
              <w:t>Brent</w:t>
            </w:r>
            <w:proofErr w:type="spellEnd"/>
            <w:r w:rsidRPr="00152703">
              <w:rPr>
                <w:sz w:val="16"/>
                <w:szCs w:val="16"/>
              </w:rPr>
              <w:t>, USD/</w:t>
            </w:r>
            <w:proofErr w:type="spellStart"/>
            <w:r w:rsidRPr="00152703">
              <w:rPr>
                <w:sz w:val="16"/>
                <w:szCs w:val="16"/>
              </w:rPr>
              <w:t>barrel</w:t>
            </w:r>
            <w:proofErr w:type="spellEnd"/>
            <w:r w:rsidRPr="00152703">
              <w:rPr>
                <w:sz w:val="16"/>
                <w:szCs w:val="16"/>
              </w:rPr>
              <w:t>)</w:t>
            </w:r>
            <w:r w:rsidR="006416A8" w:rsidRPr="006416A8">
              <w:rPr>
                <w:sz w:val="16"/>
                <w:szCs w:val="16"/>
              </w:rPr>
              <w:t>*</w:t>
            </w:r>
          </w:p>
        </w:tc>
        <w:tc>
          <w:tcPr>
            <w:tcW w:w="0" w:type="auto"/>
            <w:tcBorders>
              <w:top w:val="nil"/>
              <w:bottom w:val="single" w:sz="2" w:space="0" w:color="A6A6A6" w:themeColor="background1" w:themeShade="A6"/>
            </w:tcBorders>
            <w:shd w:val="clear" w:color="auto" w:fill="FFFFFF"/>
            <w:tcMar>
              <w:top w:w="0" w:type="dxa"/>
              <w:left w:w="108" w:type="dxa"/>
              <w:bottom w:w="0" w:type="dxa"/>
              <w:right w:w="108" w:type="dxa"/>
            </w:tcMar>
            <w:vAlign w:val="center"/>
            <w:hideMark/>
          </w:tcPr>
          <w:p w14:paraId="468FB5B2" w14:textId="77777777" w:rsidR="0000000D" w:rsidRPr="00B62E85" w:rsidRDefault="0000000D" w:rsidP="009D2D10">
            <w:pPr>
              <w:snapToGrid w:val="0"/>
              <w:spacing w:after="0" w:line="276" w:lineRule="auto"/>
              <w:jc w:val="right"/>
              <w:rPr>
                <w:rFonts w:eastAsia="Calibri" w:cs="Arial"/>
                <w:sz w:val="16"/>
                <w:szCs w:val="16"/>
                <w:lang w:val="en-US"/>
              </w:rPr>
            </w:pPr>
            <w:r w:rsidRPr="00B62E85">
              <w:rPr>
                <w:sz w:val="16"/>
                <w:szCs w:val="16"/>
              </w:rPr>
              <w:t>68,9</w:t>
            </w:r>
          </w:p>
        </w:tc>
        <w:tc>
          <w:tcPr>
            <w:tcW w:w="0" w:type="auto"/>
            <w:tcBorders>
              <w:top w:val="nil"/>
              <w:bottom w:val="single" w:sz="2" w:space="0" w:color="A6A6A6" w:themeColor="background1" w:themeShade="A6"/>
            </w:tcBorders>
            <w:shd w:val="clear" w:color="auto" w:fill="FFFFFF"/>
            <w:tcMar>
              <w:top w:w="0" w:type="dxa"/>
              <w:left w:w="108" w:type="dxa"/>
              <w:bottom w:w="0" w:type="dxa"/>
              <w:right w:w="108" w:type="dxa"/>
            </w:tcMar>
            <w:vAlign w:val="center"/>
            <w:hideMark/>
          </w:tcPr>
          <w:p w14:paraId="123A4DA6"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91,2</w:t>
            </w:r>
          </w:p>
        </w:tc>
        <w:tc>
          <w:tcPr>
            <w:tcW w:w="0" w:type="auto"/>
            <w:tcBorders>
              <w:top w:val="nil"/>
              <w:bottom w:val="single" w:sz="2" w:space="0" w:color="A6A6A6" w:themeColor="background1" w:themeShade="A6"/>
              <w:right w:val="single" w:sz="2" w:space="0" w:color="A6A6A6" w:themeColor="background1" w:themeShade="A6"/>
            </w:tcBorders>
            <w:shd w:val="clear" w:color="auto" w:fill="FFFFFF"/>
            <w:tcMar>
              <w:top w:w="0" w:type="dxa"/>
              <w:left w:w="108" w:type="dxa"/>
              <w:bottom w:w="0" w:type="dxa"/>
              <w:right w:w="108" w:type="dxa"/>
            </w:tcMar>
            <w:vAlign w:val="center"/>
            <w:hideMark/>
          </w:tcPr>
          <w:p w14:paraId="61C1A6EE" w14:textId="77777777" w:rsidR="0000000D" w:rsidRPr="00B62E85" w:rsidRDefault="0000000D" w:rsidP="009D2D10">
            <w:pPr>
              <w:snapToGrid w:val="0"/>
              <w:spacing w:after="0" w:line="276" w:lineRule="auto"/>
              <w:jc w:val="right"/>
              <w:rPr>
                <w:rFonts w:eastAsia="Calibri" w:cs="Arial"/>
                <w:sz w:val="16"/>
                <w:szCs w:val="16"/>
                <w:lang w:val="en-US"/>
              </w:rPr>
            </w:pPr>
            <w:r w:rsidRPr="00B62E85">
              <w:rPr>
                <w:sz w:val="16"/>
                <w:szCs w:val="16"/>
              </w:rPr>
              <w:t>78,2</w:t>
            </w:r>
          </w:p>
        </w:tc>
      </w:tr>
      <w:tr w:rsidR="0000000D" w:rsidRPr="00E05FE9" w14:paraId="5CD29245" w14:textId="77777777" w:rsidTr="00E73D08">
        <w:trPr>
          <w:cantSplit/>
          <w:trHeight w:val="283"/>
          <w:jc w:val="center"/>
        </w:trPr>
        <w:tc>
          <w:tcPr>
            <w:tcW w:w="0" w:type="auto"/>
            <w:gridSpan w:val="4"/>
            <w:tcBorders>
              <w:top w:val="single" w:sz="2" w:space="0" w:color="A6A6A6" w:themeColor="background1" w:themeShade="A6"/>
              <w:left w:val="nil"/>
              <w:bottom w:val="nil"/>
              <w:right w:val="nil"/>
            </w:tcBorders>
            <w:shd w:val="clear" w:color="auto" w:fill="FFFFFF"/>
            <w:tcMar>
              <w:top w:w="0" w:type="dxa"/>
              <w:left w:w="108" w:type="dxa"/>
              <w:bottom w:w="0" w:type="dxa"/>
              <w:right w:w="108" w:type="dxa"/>
            </w:tcMar>
            <w:vAlign w:val="center"/>
          </w:tcPr>
          <w:p w14:paraId="36537FF4" w14:textId="0C866C3B" w:rsidR="00152703" w:rsidRPr="00E05FE9" w:rsidRDefault="00E508A9" w:rsidP="00BE2019">
            <w:pPr>
              <w:tabs>
                <w:tab w:val="left" w:pos="113"/>
              </w:tabs>
              <w:snapToGrid w:val="0"/>
              <w:spacing w:before="60" w:after="0" w:line="276" w:lineRule="auto"/>
              <w:rPr>
                <w:sz w:val="16"/>
                <w:szCs w:val="16"/>
              </w:rPr>
            </w:pPr>
            <w:r w:rsidRPr="00E05FE9">
              <w:rPr>
                <w:sz w:val="16"/>
                <w:szCs w:val="16"/>
                <w:vertAlign w:val="superscript"/>
              </w:rPr>
              <w:t>1</w:t>
            </w:r>
            <w:r w:rsidR="005041F3" w:rsidRPr="00E05FE9">
              <w:rPr>
                <w:sz w:val="16"/>
                <w:szCs w:val="16"/>
                <w:vertAlign w:val="superscript"/>
              </w:rPr>
              <w:tab/>
            </w:r>
            <w:r w:rsidR="0000000D" w:rsidRPr="00E05FE9">
              <w:rPr>
                <w:sz w:val="16"/>
                <w:szCs w:val="16"/>
              </w:rPr>
              <w:t>Εκτιμήσεις</w:t>
            </w:r>
          </w:p>
          <w:p w14:paraId="42F219BF" w14:textId="6B8603DE" w:rsidR="0000000D" w:rsidRPr="00E05FE9" w:rsidRDefault="00E508A9" w:rsidP="00BE2019">
            <w:pPr>
              <w:tabs>
                <w:tab w:val="left" w:pos="113"/>
              </w:tabs>
              <w:snapToGrid w:val="0"/>
              <w:spacing w:before="60" w:after="0" w:line="276" w:lineRule="auto"/>
              <w:rPr>
                <w:rFonts w:eastAsia="Calibri" w:cs="Arial"/>
                <w:bCs/>
                <w:sz w:val="16"/>
                <w:szCs w:val="16"/>
              </w:rPr>
            </w:pPr>
            <w:r w:rsidRPr="00E05FE9">
              <w:rPr>
                <w:sz w:val="16"/>
                <w:szCs w:val="16"/>
                <w:vertAlign w:val="superscript"/>
              </w:rPr>
              <w:t>2</w:t>
            </w:r>
            <w:r w:rsidR="005041F3" w:rsidRPr="00E05FE9">
              <w:rPr>
                <w:sz w:val="16"/>
                <w:szCs w:val="16"/>
                <w:vertAlign w:val="superscript"/>
              </w:rPr>
              <w:tab/>
            </w:r>
            <w:r w:rsidRPr="00E05FE9">
              <w:rPr>
                <w:sz w:val="16"/>
                <w:szCs w:val="16"/>
              </w:rPr>
              <w:t>Π</w:t>
            </w:r>
            <w:r w:rsidR="0000000D" w:rsidRPr="00E05FE9">
              <w:rPr>
                <w:sz w:val="16"/>
                <w:szCs w:val="16"/>
              </w:rPr>
              <w:t>ροβλέψεις</w:t>
            </w:r>
          </w:p>
        </w:tc>
      </w:tr>
      <w:tr w:rsidR="0000000D" w:rsidRPr="00315714" w14:paraId="2C476083" w14:textId="77777777" w:rsidTr="00CC2483">
        <w:trPr>
          <w:cantSplit/>
          <w:trHeight w:val="283"/>
          <w:jc w:val="center"/>
        </w:trPr>
        <w:tc>
          <w:tcPr>
            <w:tcW w:w="0" w:type="auto"/>
            <w:gridSpan w:val="4"/>
            <w:tcBorders>
              <w:top w:val="nil"/>
              <w:left w:val="nil"/>
              <w:bottom w:val="nil"/>
              <w:right w:val="nil"/>
            </w:tcBorders>
            <w:shd w:val="clear" w:color="auto" w:fill="FFFFFF"/>
            <w:tcMar>
              <w:top w:w="0" w:type="dxa"/>
              <w:left w:w="108" w:type="dxa"/>
              <w:bottom w:w="0" w:type="dxa"/>
              <w:right w:w="108" w:type="dxa"/>
            </w:tcMar>
            <w:vAlign w:val="center"/>
          </w:tcPr>
          <w:p w14:paraId="50F422B7" w14:textId="47D16612" w:rsidR="0000000D" w:rsidRPr="002620CE" w:rsidRDefault="0000000D" w:rsidP="00E36A07">
            <w:pPr>
              <w:tabs>
                <w:tab w:val="left" w:pos="510"/>
                <w:tab w:val="left" w:pos="624"/>
              </w:tabs>
              <w:snapToGrid w:val="0"/>
              <w:spacing w:before="60" w:after="0" w:line="276" w:lineRule="auto"/>
              <w:rPr>
                <w:sz w:val="16"/>
                <w:szCs w:val="16"/>
                <w:lang w:val="en-US"/>
              </w:rPr>
            </w:pPr>
            <w:r w:rsidRPr="00C103FB">
              <w:rPr>
                <w:sz w:val="16"/>
                <w:szCs w:val="16"/>
              </w:rPr>
              <w:t>Πηγές</w:t>
            </w:r>
            <w:r w:rsidRPr="00C103FB">
              <w:rPr>
                <w:sz w:val="16"/>
                <w:szCs w:val="16"/>
                <w:lang w:val="en-US"/>
              </w:rPr>
              <w:t>:</w:t>
            </w:r>
            <w:r w:rsidR="00B35D84" w:rsidRPr="00C103FB">
              <w:rPr>
                <w:sz w:val="16"/>
                <w:szCs w:val="16"/>
                <w:lang w:val="en-US"/>
              </w:rPr>
              <w:tab/>
            </w:r>
            <w:r w:rsidR="006416A8" w:rsidRPr="00C103FB">
              <w:rPr>
                <w:sz w:val="16"/>
                <w:szCs w:val="16"/>
                <w:lang w:val="en-US"/>
              </w:rPr>
              <w:t>*</w:t>
            </w:r>
            <w:r w:rsidRPr="00C103FB">
              <w:rPr>
                <w:sz w:val="16"/>
                <w:szCs w:val="16"/>
                <w:lang w:val="en-US"/>
              </w:rPr>
              <w:t>European Commission, European Economic Forecast, Spring 2026</w:t>
            </w:r>
          </w:p>
          <w:p w14:paraId="154251C3" w14:textId="7A6E1B29" w:rsidR="00520FBD" w:rsidRPr="00C103FB" w:rsidRDefault="00520FBD" w:rsidP="009D2D10">
            <w:pPr>
              <w:tabs>
                <w:tab w:val="left" w:pos="510"/>
                <w:tab w:val="left" w:pos="624"/>
              </w:tabs>
              <w:snapToGrid w:val="0"/>
              <w:spacing w:before="60" w:after="0" w:line="276" w:lineRule="auto"/>
              <w:rPr>
                <w:rFonts w:eastAsia="Calibri" w:cs="Arial"/>
                <w:bCs/>
                <w:sz w:val="16"/>
                <w:szCs w:val="16"/>
                <w:lang w:val="en-US"/>
              </w:rPr>
            </w:pPr>
            <w:r>
              <w:rPr>
                <w:sz w:val="16"/>
                <w:szCs w:val="16"/>
                <w:lang w:val="en-US"/>
              </w:rPr>
              <w:tab/>
            </w:r>
            <w:r w:rsidRPr="00C103FB">
              <w:rPr>
                <w:sz w:val="16"/>
                <w:szCs w:val="16"/>
                <w:lang w:val="en-US"/>
              </w:rPr>
              <w:t xml:space="preserve">**IMF, World Economic Outlook Update, </w:t>
            </w:r>
            <w:r w:rsidRPr="00C103FB">
              <w:rPr>
                <w:sz w:val="16"/>
                <w:szCs w:val="16"/>
              </w:rPr>
              <w:t>Ιούλιος</w:t>
            </w:r>
            <w:r w:rsidRPr="00C103FB">
              <w:rPr>
                <w:sz w:val="16"/>
                <w:szCs w:val="16"/>
                <w:lang w:val="en-US"/>
              </w:rPr>
              <w:t xml:space="preserve"> 2026</w:t>
            </w:r>
          </w:p>
        </w:tc>
      </w:tr>
    </w:tbl>
    <w:p w14:paraId="4A3AA679" w14:textId="2A47502E" w:rsidR="0000000D" w:rsidRPr="00BB711E" w:rsidRDefault="0000000D" w:rsidP="00613FED">
      <w:pPr>
        <w:spacing w:before="240"/>
      </w:pPr>
      <w:r w:rsidRPr="00BB711E">
        <w:t xml:space="preserve">Οι πληθωριστικές πιέσεις στην Ευρώπη προβλέπεται να </w:t>
      </w:r>
      <w:r w:rsidR="001438DA">
        <w:t>ενταθούν</w:t>
      </w:r>
      <w:r w:rsidRPr="00BB711E">
        <w:t xml:space="preserve"> το 2026 και να αποκλιμακωθούν το 2027. Η Ευρωπαϊκή Επιτροπή προβλέπει αύξηση του </w:t>
      </w:r>
      <w:proofErr w:type="spellStart"/>
      <w:r w:rsidRPr="00BB711E">
        <w:t>ΕνΔΤΚ</w:t>
      </w:r>
      <w:proofErr w:type="spellEnd"/>
      <w:r w:rsidRPr="00BB711E">
        <w:t xml:space="preserve"> στην ΕΕ από 2,5% το 2025 σε 3,1% το 2026 και υποχώρησή του σε 2,4% το 2027. Στην Ευρωζώνη ο πληθωρισμός προβλέπεται να αυξηθεί από 2,1% </w:t>
      </w:r>
      <w:r w:rsidR="001438DA">
        <w:t xml:space="preserve">το 2025 </w:t>
      </w:r>
      <w:r w:rsidRPr="00BB711E">
        <w:t xml:space="preserve">σε 3,0% το 2026 και να υποχωρήσει σε 2,3% το 2027. Η </w:t>
      </w:r>
      <w:r w:rsidR="001438DA">
        <w:t xml:space="preserve">εν λόγω </w:t>
      </w:r>
      <w:r w:rsidRPr="00BB711E">
        <w:t xml:space="preserve">εξέλιξη αντανακλά πρωτίστως την άνοδο των ενεργειακών τιμών και τη σταδιακή </w:t>
      </w:r>
      <w:r w:rsidR="001438DA">
        <w:t xml:space="preserve">επέκτασή </w:t>
      </w:r>
      <w:r w:rsidRPr="00BB711E">
        <w:t>της στις υπόλοιπες συνιστώσες του πληθωρισμού.</w:t>
      </w:r>
    </w:p>
    <w:p w14:paraId="47114BBE" w14:textId="2345EC85" w:rsidR="0000000D" w:rsidRPr="00BB711E" w:rsidRDefault="0000000D" w:rsidP="00613FED">
      <w:r w:rsidRPr="00074CEB">
        <w:t>Οι νεότερες προβλέψεις των εμπειρογνωμόνων της ΕΚΤ του Σεπτεμβρίου 2026 είναι ελαφρώς υψηλότερες για την Ευρωζώνη το 2027.</w:t>
      </w:r>
      <w:r w:rsidRPr="00BB711E">
        <w:t xml:space="preserve"> Ο μέσος ετήσιος πληθωρισμός στην Ευρωζώνη προβλέπεται σε 3,0% το 2026 και σε 2,5% το 2027. Η πρόβλεψη για το 2026 παραμένει αμετάβλητη σε σ</w:t>
      </w:r>
      <w:r w:rsidR="001438DA">
        <w:t>ύγκριση</w:t>
      </w:r>
      <w:r w:rsidRPr="00BB711E">
        <w:t xml:space="preserve"> με τον Ιούνιο, ενώ </w:t>
      </w:r>
      <w:r w:rsidR="001438DA">
        <w:t xml:space="preserve">η αντίστοιχη πρόβλεψη </w:t>
      </w:r>
      <w:r w:rsidRPr="00BB711E">
        <w:t>για το 2027 έχει αναθεωρηθεί προς τα πάνω κατά 0,2 ποσοστιαίες μονάδες.</w:t>
      </w:r>
    </w:p>
    <w:p w14:paraId="7D93A56A" w14:textId="555920FA" w:rsidR="0000000D" w:rsidRPr="00BB711E" w:rsidRDefault="0000000D" w:rsidP="00613FED">
      <w:r w:rsidRPr="00BB711E">
        <w:t xml:space="preserve">Στις προηγμένες οικονομίες </w:t>
      </w:r>
      <w:r w:rsidRPr="00AA6FEA">
        <w:t>τον Ιούλιο 2026</w:t>
      </w:r>
      <w:r>
        <w:t xml:space="preserve"> το ΔΝΤ</w:t>
      </w:r>
      <w:r w:rsidRPr="00BB711E">
        <w:t xml:space="preserve"> προβλέπει αύξηση του πραγματικού ΑΕΠ κατά 1,7% το 2026 και</w:t>
      </w:r>
      <w:r w:rsidR="001438DA">
        <w:t xml:space="preserve"> κατά</w:t>
      </w:r>
      <w:r w:rsidRPr="00BB711E">
        <w:t xml:space="preserve"> 1,8% το 2027. </w:t>
      </w:r>
      <w:r w:rsidR="00900E35">
        <w:t>Ομοίως</w:t>
      </w:r>
      <w:r>
        <w:t xml:space="preserve"> </w:t>
      </w:r>
      <w:r w:rsidR="00900E35">
        <w:t>για τα έτη 2026 και 2027</w:t>
      </w:r>
      <w:r w:rsidR="00834E47">
        <w:t xml:space="preserve"> αντίστοιχα</w:t>
      </w:r>
      <w:r w:rsidR="00900E35">
        <w:t xml:space="preserve">, </w:t>
      </w:r>
      <w:r w:rsidR="00900E35" w:rsidRPr="00BB711E">
        <w:t xml:space="preserve">ο ρυθμός ανάπτυξης </w:t>
      </w:r>
      <w:r>
        <w:t>σ</w:t>
      </w:r>
      <w:r w:rsidRPr="00BB711E">
        <w:t xml:space="preserve">τις ΗΠΑ προβλέπεται σε 2,3% και </w:t>
      </w:r>
      <w:r w:rsidR="00900E35">
        <w:t xml:space="preserve">σε </w:t>
      </w:r>
      <w:r w:rsidRPr="00BB711E">
        <w:t xml:space="preserve">2,2%, στην Ιαπωνία σε 0,6% και </w:t>
      </w:r>
      <w:r w:rsidR="00900E35">
        <w:t xml:space="preserve">σε </w:t>
      </w:r>
      <w:r w:rsidRPr="00BB711E">
        <w:t xml:space="preserve">0,7%, στον Καναδά σε 1,1% και </w:t>
      </w:r>
      <w:r w:rsidR="00900E35">
        <w:t xml:space="preserve">σε </w:t>
      </w:r>
      <w:r w:rsidRPr="00BB711E">
        <w:t xml:space="preserve">1,7% και στο Ηνωμένο Βασίλειο σε 1,0% και </w:t>
      </w:r>
      <w:r w:rsidR="00900E35">
        <w:t xml:space="preserve">σε </w:t>
      </w:r>
      <w:r w:rsidRPr="00BB711E">
        <w:t>1,3%.</w:t>
      </w:r>
    </w:p>
    <w:p w14:paraId="243DDB34" w14:textId="6DC530AA" w:rsidR="0000000D" w:rsidRPr="00BB711E" w:rsidRDefault="0000000D" w:rsidP="00613FED">
      <w:r w:rsidRPr="00BB711E">
        <w:t xml:space="preserve">Στις αναδυόμενες και αναπτυσσόμενες οικονομίες ο ρυθμός μεγέθυνσης προβλέπεται να διαμορφωθεί σε 3,8% το 2026 και σε 4,5% το 2027. Για την Κίνα προβλέπεται αύξηση του ΑΕΠ κατά 4,6% το 2026 και </w:t>
      </w:r>
      <w:r w:rsidR="00D1793E">
        <w:t xml:space="preserve">κατά </w:t>
      </w:r>
      <w:r w:rsidRPr="00BB711E">
        <w:t xml:space="preserve">4,1% το 2027, ενώ για την Ινδία κατά 6,4% και </w:t>
      </w:r>
      <w:r w:rsidR="00D1793E">
        <w:t xml:space="preserve">κατά </w:t>
      </w:r>
      <w:r w:rsidRPr="00BB711E">
        <w:t>6,7% αντίστοιχα.</w:t>
      </w:r>
    </w:p>
    <w:p w14:paraId="740F31EE" w14:textId="40E8E5D7" w:rsidR="0000000D" w:rsidRPr="00BB711E" w:rsidRDefault="0000000D" w:rsidP="00613FED">
      <w:r w:rsidRPr="00BB711E">
        <w:t>Ο όγκος του παγκ</w:t>
      </w:r>
      <w:r w:rsidR="00D1793E">
        <w:t>ο</w:t>
      </w:r>
      <w:r w:rsidRPr="00BB711E">
        <w:t>σμ</w:t>
      </w:r>
      <w:r w:rsidR="00D1793E">
        <w:t>ί</w:t>
      </w:r>
      <w:r w:rsidRPr="00BB711E">
        <w:t xml:space="preserve">ου εμπορίου αγαθών και υπηρεσιών, σύμφωνα με το ΔΝΤ, προβλέπεται να επιβραδυνθεί από 5,0% το 2025 σε 3,5% το 2026 και να ανακάμψει σε 4,3% το 2027. Στις προηγμένες οικονομίες ο αντίστοιχος ρυθμός προβλέπεται σε 3,4% το 2026 και </w:t>
      </w:r>
      <w:r w:rsidR="00D1793E">
        <w:t xml:space="preserve">σε </w:t>
      </w:r>
      <w:r w:rsidRPr="00BB711E">
        <w:t xml:space="preserve">3,3% το 2027, ενώ στις αναδυόμενες και αναπτυσσόμενες οικονομίες σε 3,6% και </w:t>
      </w:r>
      <w:r w:rsidR="00D1793E">
        <w:t xml:space="preserve">σε </w:t>
      </w:r>
      <w:r w:rsidRPr="00BB711E">
        <w:t>5,8% αντίστοιχα.</w:t>
      </w:r>
    </w:p>
    <w:p w14:paraId="05FB61B7" w14:textId="41C63B27" w:rsidR="0000000D" w:rsidRPr="00BB711E" w:rsidRDefault="0000000D" w:rsidP="00613FED">
      <w:r w:rsidRPr="00BB711E">
        <w:t>Οι προβλέψεις της ΕΚΤ του Σεπτεμβρίου 2026 υποδηλώνουν</w:t>
      </w:r>
      <w:r w:rsidR="00F10F51">
        <w:t>,</w:t>
      </w:r>
      <w:r w:rsidRPr="00BB711E">
        <w:t xml:space="preserve"> </w:t>
      </w:r>
      <w:r w:rsidR="00F10F51">
        <w:t>επίσης,</w:t>
      </w:r>
      <w:r w:rsidRPr="00BB711E">
        <w:t xml:space="preserve"> επιβράδυνση της διεθνούς εμπορικής δραστηριότητας. Το παγκόσμιο εμπόριο εκτός Ευρωζώνης προβλέπεται να αυξηθεί κατά 4,7% το 2026 και </w:t>
      </w:r>
      <w:r w:rsidR="0037052F">
        <w:t xml:space="preserve">κατά </w:t>
      </w:r>
      <w:r w:rsidRPr="00BB711E">
        <w:t xml:space="preserve">4,5% το 2027, ενώ η εξωτερική ζήτηση για την Ευρωζώνη προβλέπεται να αυξηθεί κατά 3,6% και </w:t>
      </w:r>
      <w:r w:rsidR="0037052F">
        <w:t xml:space="preserve">κατά </w:t>
      </w:r>
      <w:r w:rsidRPr="00BB711E">
        <w:t>4,0% αντίστοιχα.</w:t>
      </w:r>
    </w:p>
    <w:p w14:paraId="17E04C7A" w14:textId="098F014A" w:rsidR="0000000D" w:rsidRDefault="0000000D" w:rsidP="00613FED">
      <w:r w:rsidRPr="00BB711E">
        <w:t xml:space="preserve">Σε παγκόσμιο επίπεδο ο πληθωρισμός προβλέπεται από το ΔΝΤ να αυξηθεί από 4,1% το 2025 σε 4,7% το 2026 και να υποχωρήσει σε 3,9% το 2027. Στις προηγμένες οικονομίες </w:t>
      </w:r>
      <w:r w:rsidR="0037052F">
        <w:t>ο πληθωρισμός αναμένεται να διαμορφωθεί</w:t>
      </w:r>
      <w:r w:rsidRPr="00BB711E">
        <w:t xml:space="preserve"> σε 3,0% το 2026 και </w:t>
      </w:r>
      <w:r w:rsidR="0037052F">
        <w:t xml:space="preserve">σε </w:t>
      </w:r>
      <w:r w:rsidRPr="00BB711E">
        <w:t xml:space="preserve">2,4% το 2027, ενώ στις αναδυόμενες και αναπτυσσόμενες οικονομίες σε 5,8% και </w:t>
      </w:r>
      <w:r w:rsidR="0037052F">
        <w:t xml:space="preserve">σε </w:t>
      </w:r>
      <w:r w:rsidRPr="00BB711E">
        <w:t>4,8% αντίστοιχα.</w:t>
      </w:r>
    </w:p>
    <w:p w14:paraId="12E29121" w14:textId="52FC5CD8" w:rsidR="0000000D" w:rsidRDefault="0000000D" w:rsidP="00613FED">
      <w:r w:rsidRPr="00E75365">
        <w:t xml:space="preserve">Σύμφωνα με τις τεχνικές παραδοχές των </w:t>
      </w:r>
      <w:r w:rsidR="0037052F">
        <w:t>ε</w:t>
      </w:r>
      <w:r w:rsidRPr="00E75365">
        <w:t xml:space="preserve">αρινών </w:t>
      </w:r>
      <w:r w:rsidR="0037052F">
        <w:t>ο</w:t>
      </w:r>
      <w:r w:rsidRPr="00E75365">
        <w:t xml:space="preserve">ικονομικών </w:t>
      </w:r>
      <w:r w:rsidR="0037052F">
        <w:t>π</w:t>
      </w:r>
      <w:r w:rsidRPr="00E75365">
        <w:t xml:space="preserve">ροβλέψεων της Ευρωπαϊκής Επιτροπής, η μέση τιμή του αργού πετρελαίου Brent </w:t>
      </w:r>
      <w:r w:rsidR="004A28E1">
        <w:t>αναμένεται</w:t>
      </w:r>
      <w:r w:rsidRPr="00E75365">
        <w:t xml:space="preserve"> να αυξηθεί από 68,9 δολάρια ανά βαρέλι το 2025 σε 91,2 δολάρια το 2026 και να υποχωρήσει σε 78,2 δολάρια το 2027. Σε </w:t>
      </w:r>
      <w:r w:rsidR="0037052F">
        <w:t xml:space="preserve">σύγκριση </w:t>
      </w:r>
      <w:r w:rsidRPr="00E75365">
        <w:t xml:space="preserve">με τις </w:t>
      </w:r>
      <w:r w:rsidR="0037052F">
        <w:t>φ</w:t>
      </w:r>
      <w:r w:rsidRPr="00E75365">
        <w:t xml:space="preserve">θινοπωρινές </w:t>
      </w:r>
      <w:r w:rsidR="0037052F">
        <w:t>π</w:t>
      </w:r>
      <w:r w:rsidRPr="00E75365">
        <w:t xml:space="preserve">ροβλέψεις του 2025 οι παραδοχές για την τιμή του πετρελαίου είναι αυξημένες κατά 46% </w:t>
      </w:r>
      <w:r w:rsidR="001B615F" w:rsidRPr="00E75365">
        <w:t xml:space="preserve">περίπου </w:t>
      </w:r>
      <w:r w:rsidRPr="00E75365">
        <w:t xml:space="preserve">για το 2026 και </w:t>
      </w:r>
      <w:r w:rsidR="00F42B22">
        <w:t xml:space="preserve">κατά </w:t>
      </w:r>
      <w:r w:rsidRPr="00E75365">
        <w:t>24% για το 2027.</w:t>
      </w:r>
    </w:p>
    <w:p w14:paraId="18E66A4B" w14:textId="46B1CA20" w:rsidR="0000000D" w:rsidRPr="00814D50" w:rsidRDefault="0000000D" w:rsidP="00613FED">
      <w:r w:rsidRPr="00645B51">
        <w:t>Ο ρυθμός αύξησης</w:t>
      </w:r>
      <w:r w:rsidRPr="00814D50">
        <w:t xml:space="preserve"> του πραγματικού ΑΕΠ της Ελλάδας προβλέπεται να επιταχυνθεί σε 2,3% το 2027 από 2,0% το 2026. Η πρόβλεψη </w:t>
      </w:r>
      <w:r w:rsidR="00B0738E">
        <w:t>εδράζεται</w:t>
      </w:r>
      <w:r w:rsidRPr="00814D50">
        <w:t xml:space="preserve"> κυρίως στη διατήρηση υψηλών ρυθμών αύξησης των επενδύσεων, στην ενίσχυση του διαθέσιμου εισοδήματος και της ιδιωτικής κατανάλωσης, στη συνεχιζόμενη βελτίωση των συνθηκών στην αγορά εργασίας και στην αξιοποίηση εθνικών και ευρωπαϊκών επενδυτικών πόρων. Παράλληλα, μετά την ολοκλήρωση της περιόδου υλοποίησης του </w:t>
      </w:r>
      <w:r w:rsidR="006631DA">
        <w:t>ΤΑΑ</w:t>
      </w:r>
      <w:r w:rsidR="00B0738E" w:rsidRPr="00B0738E">
        <w:t xml:space="preserve"> </w:t>
      </w:r>
      <w:r w:rsidRPr="00814D50">
        <w:t>το 2026</w:t>
      </w:r>
      <w:r w:rsidR="0032186A">
        <w:t>,</w:t>
      </w:r>
      <w:r w:rsidRPr="00814D50">
        <w:t xml:space="preserve"> η χρηματοδότηση επενδύσεων υποστηρίζεται από το Εθνικό Πρόγραμμα Ανάπτυξης 2026</w:t>
      </w:r>
      <w:r w:rsidR="00B0738E" w:rsidRPr="00B0738E">
        <w:t xml:space="preserve"> - </w:t>
      </w:r>
      <w:r w:rsidRPr="00814D50">
        <w:t xml:space="preserve">2030, </w:t>
      </w:r>
      <w:r w:rsidR="005907E4">
        <w:t xml:space="preserve">από </w:t>
      </w:r>
      <w:r w:rsidRPr="00814D50">
        <w:t xml:space="preserve">τους πόρους της Πολιτικής Συνοχής και </w:t>
      </w:r>
      <w:r w:rsidR="00FE1828">
        <w:t xml:space="preserve">από </w:t>
      </w:r>
      <w:r w:rsidRPr="00814D50">
        <w:t xml:space="preserve">άλλα ευρωπαϊκά χρηματοδοτικά εργαλεία, μεταξύ των οποίων το Ταμείο Εκσυγχρονισμού και το Κοινωνικό Κλιματικό Ταμείο. Η Ελλάδα είναι ήδη δικαιούχος του Ταμείου Εκσυγχρονισμού, ενώ το ελληνικό Κοινωνικό Κλιματικό Σχέδιο, συνολικού ύψους 4,8 δισ. ευρώ </w:t>
      </w:r>
      <w:r w:rsidR="00B0738E" w:rsidRPr="00814D50">
        <w:t xml:space="preserve">περίπου </w:t>
      </w:r>
      <w:r w:rsidRPr="00814D50">
        <w:t>για την περίοδο 2026</w:t>
      </w:r>
      <w:r w:rsidR="00B0738E" w:rsidRPr="00B0738E">
        <w:t xml:space="preserve"> - </w:t>
      </w:r>
      <w:r w:rsidRPr="00814D50">
        <w:t>2032, εγκρίθηκε από την Ευρωπαϊκή Επιτροπή τον Αύγουστο 2026.</w:t>
      </w:r>
    </w:p>
    <w:p w14:paraId="5A8887C6" w14:textId="50632FA4" w:rsidR="0000000D" w:rsidRPr="00814D50" w:rsidRDefault="0000000D" w:rsidP="00613FED">
      <w:r w:rsidRPr="00814D50">
        <w:t xml:space="preserve">Ο ακαθάριστος σχηματισμός παγίου κεφαλαίου προβλέπεται να αυξηθεί κατά 7,9% το 2027 έναντι 7,7% το 2026 και να συνεισφέρει κατά περίπου 1,5 ποσοστιαία μονάδα στον ετήσιο ρυθμό μεταβολής του πραγματικού ΑΕΠ. Οι επενδύσεις αναμένεται, ως εκ τούτου, να παραμείνουν η σημαντικότερη θετική συνιστώσα της </w:t>
      </w:r>
      <w:r w:rsidR="00F40EBD">
        <w:t xml:space="preserve">εγχώριας </w:t>
      </w:r>
      <w:r w:rsidRPr="00814D50">
        <w:t>ζήτησης, με την αύξηση της επενδυτικής δραστηριότητας να προέρχεται κυρίως από τις κατασκευές και τον εξοπλισμό.</w:t>
      </w:r>
    </w:p>
    <w:p w14:paraId="0DB70A32" w14:textId="24CFDD38" w:rsidR="0000000D" w:rsidRPr="00AA0785" w:rsidRDefault="00AA0785" w:rsidP="00344F26">
      <w:pPr>
        <w:pStyle w:val="afc"/>
        <w:keepNext/>
        <w:spacing w:before="240" w:after="60" w:line="276" w:lineRule="auto"/>
        <w:jc w:val="center"/>
        <w:rPr>
          <w:rFonts w:cs="Arial"/>
          <w:color w:val="000000"/>
          <w:sz w:val="18"/>
          <w:szCs w:val="18"/>
        </w:rPr>
      </w:pPr>
      <w:bookmarkStart w:id="24" w:name="_Ref241263009"/>
      <w:bookmarkStart w:id="25" w:name="_Toc241773243"/>
      <w:r w:rsidRPr="00AA0785">
        <w:rPr>
          <w:sz w:val="18"/>
          <w:szCs w:val="18"/>
        </w:rPr>
        <w:t>Διάγραμμα 1.</w:t>
      </w:r>
      <w:r w:rsidRPr="00AA0785">
        <w:rPr>
          <w:sz w:val="18"/>
          <w:szCs w:val="18"/>
        </w:rPr>
        <w:fldChar w:fldCharType="begin"/>
      </w:r>
      <w:r w:rsidRPr="00AA0785">
        <w:rPr>
          <w:sz w:val="18"/>
          <w:szCs w:val="18"/>
        </w:rPr>
        <w:instrText xml:space="preserve"> SEQ Διάγραμμα_1. \* ARABIC </w:instrText>
      </w:r>
      <w:r w:rsidRPr="00AA0785">
        <w:rPr>
          <w:sz w:val="18"/>
          <w:szCs w:val="18"/>
        </w:rPr>
        <w:fldChar w:fldCharType="separate"/>
      </w:r>
      <w:r w:rsidR="007F6D9C">
        <w:rPr>
          <w:noProof/>
          <w:sz w:val="18"/>
          <w:szCs w:val="18"/>
        </w:rPr>
        <w:t>8</w:t>
      </w:r>
      <w:r w:rsidRPr="00AA0785">
        <w:rPr>
          <w:sz w:val="18"/>
          <w:szCs w:val="18"/>
        </w:rPr>
        <w:fldChar w:fldCharType="end"/>
      </w:r>
      <w:bookmarkEnd w:id="24"/>
      <w:r w:rsidRPr="00AA0785">
        <w:rPr>
          <w:sz w:val="18"/>
          <w:szCs w:val="18"/>
        </w:rPr>
        <w:t xml:space="preserve">.: </w:t>
      </w:r>
      <w:r w:rsidR="0000000D" w:rsidRPr="00AA0785">
        <w:rPr>
          <w:color w:val="000000"/>
          <w:sz w:val="18"/>
          <w:szCs w:val="18"/>
        </w:rPr>
        <w:t xml:space="preserve">Επενδύσεις ως </w:t>
      </w:r>
      <w:r w:rsidR="00EE41EE">
        <w:rPr>
          <w:color w:val="000000"/>
          <w:sz w:val="18"/>
          <w:szCs w:val="18"/>
        </w:rPr>
        <w:t>%</w:t>
      </w:r>
      <w:r w:rsidR="0000000D" w:rsidRPr="00AA0785">
        <w:rPr>
          <w:color w:val="000000"/>
          <w:sz w:val="18"/>
          <w:szCs w:val="18"/>
        </w:rPr>
        <w:t xml:space="preserve"> του ΑΕΠ στην Ελλάδα και την Ευρωζώνη και επενδυτική απόκλιση, 2000</w:t>
      </w:r>
      <w:r>
        <w:rPr>
          <w:color w:val="000000"/>
          <w:sz w:val="18"/>
          <w:szCs w:val="18"/>
        </w:rPr>
        <w:t xml:space="preserve"> - </w:t>
      </w:r>
      <w:r w:rsidR="0000000D" w:rsidRPr="00AA0785">
        <w:rPr>
          <w:color w:val="000000"/>
          <w:sz w:val="18"/>
          <w:szCs w:val="18"/>
        </w:rPr>
        <w:t>2027</w:t>
      </w:r>
      <w:r w:rsidR="0000000D" w:rsidRPr="00AA0785">
        <w:rPr>
          <w:rFonts w:cs="Arial"/>
          <w:color w:val="000000"/>
          <w:sz w:val="18"/>
          <w:szCs w:val="18"/>
        </w:rPr>
        <w:t xml:space="preserve"> (σταθερές τιμές)</w:t>
      </w:r>
      <w:bookmarkEnd w:id="25"/>
    </w:p>
    <w:p w14:paraId="17593969" w14:textId="78158E1D" w:rsidR="00B74474" w:rsidRPr="00453BF9" w:rsidRDefault="00453BF9" w:rsidP="006E304D">
      <w:pPr>
        <w:spacing w:after="0" w:line="276" w:lineRule="auto"/>
        <w:jc w:val="center"/>
        <w:rPr>
          <w:sz w:val="18"/>
          <w:szCs w:val="18"/>
        </w:rPr>
      </w:pPr>
      <w:r>
        <w:rPr>
          <w:noProof/>
        </w:rPr>
        <w:drawing>
          <wp:inline distT="0" distB="0" distL="0" distR="0" wp14:anchorId="6DF9F7CD" wp14:editId="7B630035">
            <wp:extent cx="5760000" cy="2520000"/>
            <wp:effectExtent l="0" t="0" r="12700" b="13970"/>
            <wp:docPr id="22" name="Γράφημα 22">
              <a:extLst xmlns:a="http://schemas.openxmlformats.org/drawingml/2006/main">
                <a:ext uri="{FF2B5EF4-FFF2-40B4-BE49-F238E27FC236}">
                  <a16:creationId xmlns:a16="http://schemas.microsoft.com/office/drawing/2014/main" id="{00000000-0008-0000-0800-00007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20E4FB" w14:textId="77777777" w:rsidR="0000000D" w:rsidRDefault="0000000D" w:rsidP="0079647E">
      <w:pPr>
        <w:spacing w:before="60" w:after="240" w:line="276" w:lineRule="auto"/>
        <w:rPr>
          <w:rFonts w:cs="Arial"/>
          <w:color w:val="000000"/>
          <w:sz w:val="16"/>
          <w:szCs w:val="16"/>
        </w:rPr>
      </w:pPr>
      <w:r>
        <w:rPr>
          <w:rFonts w:cs="Arial"/>
          <w:color w:val="000000"/>
          <w:sz w:val="16"/>
          <w:szCs w:val="16"/>
        </w:rPr>
        <w:t>Πηγή: Τριμηνιαίοι Εθνικοί Λογαριασμοί (Eurostat), Εαρινές Οικονομικές Προβλέψεις της Ευρωπαϊκής Επιτροπής (Μάιος 2026), προβλέψεις Υπουργείου Εθνικής Οικονομίας και Οικονομικών</w:t>
      </w:r>
    </w:p>
    <w:p w14:paraId="50398E3A" w14:textId="1C8730AE" w:rsidR="00613FED" w:rsidRDefault="00613FED" w:rsidP="00613FED">
      <w:r w:rsidRPr="00814D50">
        <w:t>Η συνέχιση της επενδυτικής μεγέθυνσης συνεπάγεται περαιτέρω περιορισμό της απόκλισης του επενδυτικού ποσοστού της Ελλάδας από εκείνο της Ευρωζώνης</w:t>
      </w:r>
      <w:r w:rsidR="00D641AF">
        <w:t xml:space="preserve"> και </w:t>
      </w:r>
      <w:r w:rsidR="003D72A2">
        <w:t>συνεπώς</w:t>
      </w:r>
      <w:r w:rsidR="00D641AF">
        <w:t>, περαιτέρω συρρίκνωση του αρνητικού επενδυτικού κενού</w:t>
      </w:r>
      <w:r w:rsidRPr="00814D50">
        <w:t xml:space="preserve">. Στην απεικόνιση σε σταθερές τιμές που χρησιμοποιείται στο </w:t>
      </w:r>
      <w:r w:rsidR="0079647E" w:rsidRPr="00D64F37">
        <w:fldChar w:fldCharType="begin"/>
      </w:r>
      <w:r w:rsidR="0079647E" w:rsidRPr="00D64F37">
        <w:instrText xml:space="preserve"> REF _Ref241263009 \h  \* MERGEFORMAT </w:instrText>
      </w:r>
      <w:r w:rsidR="0079647E" w:rsidRPr="00D64F37">
        <w:fldChar w:fldCharType="separate"/>
      </w:r>
      <w:r w:rsidR="007F6D9C" w:rsidRPr="00D64F37">
        <w:t>Διάγραμμα 1.8</w:t>
      </w:r>
      <w:r w:rsidR="0079647E" w:rsidRPr="00D64F37">
        <w:fldChar w:fldCharType="end"/>
      </w:r>
      <w:r w:rsidR="0079647E" w:rsidRPr="00D64F37">
        <w:t>.</w:t>
      </w:r>
      <w:r w:rsidRPr="00D64F37">
        <w:t>, οι επεν</w:t>
      </w:r>
      <w:r w:rsidRPr="00814D50">
        <w:t>δύσεις στην Ελλάδα διαμορφώνονται σε 19,2% του ΑΕΠ το 2026 και σε 20,2% το 2027. Σε τρέχουσες τιμές το αντίστοιχο επενδυτικό ποσοστό προβλέπεται να αυξηθεί από 17,8% του ΑΕΠ το 2026 σε 18,6% το 2027. Η απόκλιση από την Ευρωζώνη, η οποία έχει περιοριστεί σημαντικά από το 2019, προβλέπεται να μειωθεί περαιτέρω το 2027.</w:t>
      </w:r>
    </w:p>
    <w:p w14:paraId="234FFA3E" w14:textId="45F73646" w:rsidR="0000000D" w:rsidRPr="00814D50" w:rsidRDefault="0000000D" w:rsidP="002930EE">
      <w:r w:rsidRPr="00814D50">
        <w:t>Με βάση το βασικό μακροοικονομικό σενάριο, ο ρυθμός αύξησης του πραγματικού ΑΕΠ της Ελλάδας προβλέπεται σε 2,3% το 2027</w:t>
      </w:r>
      <w:r w:rsidR="007D771C">
        <w:t>,</w:t>
      </w:r>
      <w:r w:rsidRPr="00814D50">
        <w:t xml:space="preserve"> παραμένοντας</w:t>
      </w:r>
      <w:r w:rsidR="000D0825">
        <w:t xml:space="preserve"> σημαντικά</w:t>
      </w:r>
      <w:r w:rsidRPr="00814D50">
        <w:t xml:space="preserve"> υψηλότερος από τις διαθέσιμες προβλέψεις για </w:t>
      </w:r>
      <w:r w:rsidR="000D0825">
        <w:t xml:space="preserve">τον μέσο όρο </w:t>
      </w:r>
      <w:r w:rsidRPr="00814D50">
        <w:t>τη</w:t>
      </w:r>
      <w:r w:rsidR="000D0825">
        <w:t>ς</w:t>
      </w:r>
      <w:r w:rsidRPr="00814D50">
        <w:t xml:space="preserve"> Ευρωζώνη</w:t>
      </w:r>
      <w:r w:rsidR="000D0825">
        <w:t>ς</w:t>
      </w:r>
      <w:r w:rsidRPr="00814D50">
        <w:t xml:space="preserve"> και τη</w:t>
      </w:r>
      <w:r w:rsidR="000D0825">
        <w:t>ς</w:t>
      </w:r>
      <w:r w:rsidRPr="00814D50">
        <w:t xml:space="preserve"> ΕΕ. Οι προβλέψεις της ΕΚΤ του Σεπτεμβρίου 2026 τοποθετούν τον ρυθμό αύξησης του πραγματικού ΑΕΠ της Ευρωζώνης σε 1,4% το 2027, ενώ οι </w:t>
      </w:r>
      <w:r w:rsidR="007D771C">
        <w:t>ε</w:t>
      </w:r>
      <w:r w:rsidRPr="00814D50">
        <w:t xml:space="preserve">αρινές </w:t>
      </w:r>
      <w:r w:rsidR="007D771C">
        <w:t>π</w:t>
      </w:r>
      <w:r w:rsidRPr="00814D50">
        <w:t>ροβλέψεις της Ευρωπαϊκής Επιτροπής προβλέπουν ρυθμό 1,4% για την ΕΕ.</w:t>
      </w:r>
    </w:p>
    <w:p w14:paraId="4E3FE3C8" w14:textId="4176736A" w:rsidR="0000000D" w:rsidRDefault="0000000D" w:rsidP="002930EE">
      <w:r w:rsidRPr="00814D50">
        <w:t xml:space="preserve">Σε κατά κεφαλήν όρους, με βάση τις δημογραφικές παραδοχές του βασικού σεναρίου, το πραγματικό ΑΕΠ ανά κάτοικο στην Ελλάδα προβλέπεται να αυξηθεί κατά </w:t>
      </w:r>
      <w:r w:rsidRPr="00173C6D">
        <w:t>2,6%</w:t>
      </w:r>
      <w:r w:rsidRPr="00814D50">
        <w:t xml:space="preserve"> το 2027. Στις </w:t>
      </w:r>
      <w:r w:rsidR="007D771C">
        <w:t>ε</w:t>
      </w:r>
      <w:r w:rsidRPr="00814D50">
        <w:t xml:space="preserve">αρινές </w:t>
      </w:r>
      <w:r w:rsidR="007D771C">
        <w:t>ο</w:t>
      </w:r>
      <w:r w:rsidRPr="00814D50">
        <w:t xml:space="preserve">ικονομικές </w:t>
      </w:r>
      <w:r w:rsidR="007D771C">
        <w:t>π</w:t>
      </w:r>
      <w:r w:rsidRPr="00814D50">
        <w:t xml:space="preserve">ροβλέψεις της Ευρωπαϊκής Επιτροπής οι αντίστοιχοι ρυθμοί για την Ευρωζώνη και την ΕΕ </w:t>
      </w:r>
      <w:r w:rsidR="007D771C">
        <w:t>αναμένονται</w:t>
      </w:r>
      <w:r w:rsidRPr="00814D50">
        <w:t xml:space="preserve"> σε 1,0% και </w:t>
      </w:r>
      <w:r w:rsidR="007D771C">
        <w:t xml:space="preserve">σε </w:t>
      </w:r>
      <w:r w:rsidRPr="00814D50">
        <w:t>1,3% αντίστοιχα. Η διατήρηση υψηλότερου ρυθμού αύξησης του πραγματικού κατά κεφαλήν ΑΕΠ συνεπάγεται, εφόσον επαληθευ</w:t>
      </w:r>
      <w:r w:rsidR="00300E97">
        <w:t>τ</w:t>
      </w:r>
      <w:r w:rsidRPr="00814D50">
        <w:t>ούν οι σχετικές προβλέψεις, περαιτέρω περιορισμό της απόκλισης του κατά κεφαλήν εισοδήματος της Ελλάδας από τον μέσο όρο της Ευρωζώνης και της ΕΕ.</w:t>
      </w:r>
    </w:p>
    <w:p w14:paraId="783689B6" w14:textId="68E2907F" w:rsidR="0065359F" w:rsidRDefault="0065359F" w:rsidP="002930EE">
      <w:r>
        <w:rPr>
          <w:rFonts w:cs="Arial"/>
          <w:szCs w:val="20"/>
        </w:rPr>
        <w:t xml:space="preserve">Σημαντικό παράγοντα στην ανοδική πορεία του ρυθμού ανάπτυξης για το 2027 </w:t>
      </w:r>
      <w:r w:rsidR="001B7543">
        <w:rPr>
          <w:rFonts w:cs="Arial"/>
          <w:szCs w:val="20"/>
        </w:rPr>
        <w:t>αποτελούν</w:t>
      </w:r>
      <w:r>
        <w:rPr>
          <w:rFonts w:cs="Arial"/>
          <w:szCs w:val="20"/>
        </w:rPr>
        <w:t xml:space="preserve"> οι νέες κυβερνητικές παρεμβάσεις, όπως ανακοινώθηκαν στην 90η Διεθνή Έκθεση Θεσσαλονίκης (ΔΕΘ 2026), </w:t>
      </w:r>
      <w:r w:rsidR="00902B1B">
        <w:rPr>
          <w:rFonts w:cs="Arial"/>
          <w:szCs w:val="20"/>
        </w:rPr>
        <w:t>οι οποίες</w:t>
      </w:r>
      <w:r>
        <w:rPr>
          <w:rFonts w:cs="Arial"/>
          <w:szCs w:val="20"/>
        </w:rPr>
        <w:t xml:space="preserve"> περιλαμβάνουν ένα ευρύ και συνεκτικό πλαίσιο μέτρων ύψους 2,2 δισ. ευρώ </w:t>
      </w:r>
      <w:r w:rsidR="00E70693">
        <w:rPr>
          <w:rFonts w:cs="Arial"/>
          <w:szCs w:val="20"/>
        </w:rPr>
        <w:t xml:space="preserve">περίπου </w:t>
      </w:r>
      <w:r>
        <w:rPr>
          <w:rFonts w:cs="Arial"/>
          <w:szCs w:val="20"/>
        </w:rPr>
        <w:t>για το 2027,</w:t>
      </w:r>
      <w:r w:rsidR="00902B1B">
        <w:rPr>
          <w:rFonts w:cs="Arial"/>
          <w:szCs w:val="20"/>
        </w:rPr>
        <w:t xml:space="preserve"> καλύπτοντας</w:t>
      </w:r>
      <w:r>
        <w:rPr>
          <w:rFonts w:cs="Arial"/>
          <w:szCs w:val="20"/>
        </w:rPr>
        <w:t xml:space="preserve"> το σύνολο των κοινωνικών ομάδων</w:t>
      </w:r>
      <w:r w:rsidR="007E5789">
        <w:rPr>
          <w:rFonts w:cs="Arial"/>
          <w:szCs w:val="20"/>
        </w:rPr>
        <w:t>,</w:t>
      </w:r>
      <w:r>
        <w:rPr>
          <w:rFonts w:cs="Arial"/>
          <w:szCs w:val="20"/>
        </w:rPr>
        <w:t xml:space="preserve"> </w:t>
      </w:r>
      <w:r w:rsidR="007E5789">
        <w:rPr>
          <w:rFonts w:cs="Arial"/>
          <w:szCs w:val="20"/>
        </w:rPr>
        <w:t xml:space="preserve">καθώς </w:t>
      </w:r>
      <w:r w:rsidR="005E5C45">
        <w:rPr>
          <w:rFonts w:cs="Arial"/>
          <w:szCs w:val="20"/>
        </w:rPr>
        <w:t xml:space="preserve">επίσης </w:t>
      </w:r>
      <w:r w:rsidR="007E5789">
        <w:rPr>
          <w:rFonts w:cs="Arial"/>
          <w:szCs w:val="20"/>
        </w:rPr>
        <w:t xml:space="preserve">και </w:t>
      </w:r>
      <w:r>
        <w:rPr>
          <w:rFonts w:cs="Arial"/>
          <w:szCs w:val="20"/>
        </w:rPr>
        <w:t xml:space="preserve">σημαντικά μέτρα για την ενίσχυση των επενδύσεων και της επιχειρηματικότητας. Η αναλυτική περιγραφή των δημοσιονομικών παρεμβάσεων </w:t>
      </w:r>
      <w:r w:rsidRPr="005C546B">
        <w:rPr>
          <w:rFonts w:cs="Arial"/>
          <w:szCs w:val="20"/>
        </w:rPr>
        <w:t xml:space="preserve">παρατίθεται </w:t>
      </w:r>
      <w:r w:rsidRPr="00D64F37">
        <w:rPr>
          <w:rFonts w:cs="Arial"/>
          <w:szCs w:val="20"/>
        </w:rPr>
        <w:t>στ</w:t>
      </w:r>
      <w:r w:rsidR="00526F32" w:rsidRPr="00D64F37">
        <w:rPr>
          <w:rFonts w:cs="Arial"/>
          <w:szCs w:val="20"/>
        </w:rPr>
        <w:t xml:space="preserve">ην ενότητα </w:t>
      </w:r>
      <w:r w:rsidR="00526F32" w:rsidRPr="00D64F37">
        <w:rPr>
          <w:rFonts w:cs="Arial"/>
          <w:szCs w:val="20"/>
        </w:rPr>
        <w:fldChar w:fldCharType="begin"/>
      </w:r>
      <w:r w:rsidR="00526F32" w:rsidRPr="00D64F37">
        <w:rPr>
          <w:rFonts w:cs="Arial"/>
          <w:szCs w:val="20"/>
        </w:rPr>
        <w:instrText xml:space="preserve"> REF _Ref241747501 \r \h  \* MERGEFORMAT </w:instrText>
      </w:r>
      <w:r w:rsidR="00526F32" w:rsidRPr="00D64F37">
        <w:rPr>
          <w:rFonts w:cs="Arial"/>
          <w:szCs w:val="20"/>
        </w:rPr>
      </w:r>
      <w:r w:rsidR="00526F32" w:rsidRPr="00D64F37">
        <w:rPr>
          <w:rFonts w:cs="Arial"/>
          <w:szCs w:val="20"/>
        </w:rPr>
        <w:fldChar w:fldCharType="separate"/>
      </w:r>
      <w:r w:rsidR="007F6D9C" w:rsidRPr="00D64F37">
        <w:rPr>
          <w:rFonts w:cs="Arial"/>
          <w:szCs w:val="20"/>
        </w:rPr>
        <w:t>2.3</w:t>
      </w:r>
      <w:r w:rsidR="00526F32" w:rsidRPr="00D64F37">
        <w:rPr>
          <w:rFonts w:cs="Arial"/>
          <w:szCs w:val="20"/>
        </w:rPr>
        <w:fldChar w:fldCharType="end"/>
      </w:r>
      <w:r w:rsidR="00526F32" w:rsidRPr="00D64F37">
        <w:rPr>
          <w:rFonts w:cs="Arial"/>
          <w:szCs w:val="20"/>
        </w:rPr>
        <w:t xml:space="preserve">. </w:t>
      </w:r>
      <w:r w:rsidR="003B0DBB" w:rsidRPr="00D64F37">
        <w:rPr>
          <w:rFonts w:cs="Arial"/>
          <w:szCs w:val="20"/>
        </w:rPr>
        <w:t xml:space="preserve">- </w:t>
      </w:r>
      <w:r w:rsidR="00526F32" w:rsidRPr="00D64F37">
        <w:rPr>
          <w:rFonts w:cs="Arial"/>
          <w:szCs w:val="20"/>
        </w:rPr>
        <w:fldChar w:fldCharType="begin"/>
      </w:r>
      <w:r w:rsidR="00526F32" w:rsidRPr="00D64F37">
        <w:rPr>
          <w:rFonts w:cs="Arial"/>
          <w:szCs w:val="20"/>
        </w:rPr>
        <w:instrText xml:space="preserve"> REF _Ref241747501 \h  \* MERGEFORMAT </w:instrText>
      </w:r>
      <w:r w:rsidR="00526F32" w:rsidRPr="00D64F37">
        <w:rPr>
          <w:rFonts w:cs="Arial"/>
          <w:szCs w:val="20"/>
        </w:rPr>
      </w:r>
      <w:r w:rsidR="00526F32" w:rsidRPr="00D64F37">
        <w:rPr>
          <w:rFonts w:cs="Arial"/>
          <w:szCs w:val="20"/>
        </w:rPr>
        <w:fldChar w:fldCharType="separate"/>
      </w:r>
      <w:r w:rsidR="007F6D9C" w:rsidRPr="00D64F37">
        <w:t>Δημοσιονομικές παρεμβάσεις</w:t>
      </w:r>
      <w:r w:rsidR="00526F32" w:rsidRPr="00D64F37">
        <w:rPr>
          <w:rFonts w:cs="Arial"/>
          <w:szCs w:val="20"/>
        </w:rPr>
        <w:fldChar w:fldCharType="end"/>
      </w:r>
      <w:r w:rsidR="00526F32" w:rsidRPr="00D64F37">
        <w:rPr>
          <w:rFonts w:cs="Arial"/>
          <w:szCs w:val="20"/>
        </w:rPr>
        <w:t>.</w:t>
      </w:r>
    </w:p>
    <w:p w14:paraId="04FB381E" w14:textId="535D4993" w:rsidR="0000000D" w:rsidRDefault="00965F2F" w:rsidP="001B18E0">
      <w:pPr>
        <w:pStyle w:val="afc"/>
        <w:keepNext/>
        <w:spacing w:before="240" w:after="60" w:line="276" w:lineRule="auto"/>
        <w:jc w:val="center"/>
        <w:rPr>
          <w:b w:val="0"/>
          <w:color w:val="000000"/>
          <w:sz w:val="18"/>
          <w:szCs w:val="18"/>
        </w:rPr>
      </w:pPr>
      <w:bookmarkStart w:id="26" w:name="_Toc241773244"/>
      <w:r w:rsidRPr="00965F2F">
        <w:rPr>
          <w:color w:val="000000"/>
          <w:sz w:val="18"/>
          <w:szCs w:val="18"/>
        </w:rPr>
        <w:t>Διάγραμμα 1.</w:t>
      </w:r>
      <w:r w:rsidRPr="00965F2F">
        <w:rPr>
          <w:color w:val="000000"/>
          <w:sz w:val="18"/>
          <w:szCs w:val="18"/>
        </w:rPr>
        <w:fldChar w:fldCharType="begin"/>
      </w:r>
      <w:r w:rsidRPr="00965F2F">
        <w:rPr>
          <w:color w:val="000000"/>
          <w:sz w:val="18"/>
          <w:szCs w:val="18"/>
        </w:rPr>
        <w:instrText xml:space="preserve"> SEQ Διάγραμμα_1. \* ARABIC </w:instrText>
      </w:r>
      <w:r w:rsidRPr="00965F2F">
        <w:rPr>
          <w:color w:val="000000"/>
          <w:sz w:val="18"/>
          <w:szCs w:val="18"/>
        </w:rPr>
        <w:fldChar w:fldCharType="separate"/>
      </w:r>
      <w:r w:rsidR="007F6D9C">
        <w:rPr>
          <w:noProof/>
          <w:color w:val="000000"/>
          <w:sz w:val="18"/>
          <w:szCs w:val="18"/>
        </w:rPr>
        <w:t>9</w:t>
      </w:r>
      <w:r w:rsidRPr="00965F2F">
        <w:rPr>
          <w:color w:val="000000"/>
          <w:sz w:val="18"/>
          <w:szCs w:val="18"/>
        </w:rPr>
        <w:fldChar w:fldCharType="end"/>
      </w:r>
      <w:r w:rsidRPr="00965F2F">
        <w:rPr>
          <w:color w:val="000000"/>
          <w:sz w:val="18"/>
          <w:szCs w:val="18"/>
        </w:rPr>
        <w:t xml:space="preserve">.: </w:t>
      </w:r>
      <w:r w:rsidR="0000000D" w:rsidRPr="00814D50">
        <w:rPr>
          <w:color w:val="000000"/>
          <w:sz w:val="18"/>
          <w:szCs w:val="18"/>
        </w:rPr>
        <w:t xml:space="preserve">Ετήσιος ρυθμός μεταβολής του πραγματικού κατά κεφαλήν ΑΕΠ </w:t>
      </w:r>
      <w:r w:rsidR="00EE41EE">
        <w:rPr>
          <w:color w:val="000000"/>
          <w:sz w:val="18"/>
          <w:szCs w:val="18"/>
        </w:rPr>
        <w:t>-</w:t>
      </w:r>
      <w:r w:rsidR="0000000D" w:rsidRPr="00814D50">
        <w:rPr>
          <w:color w:val="000000"/>
          <w:sz w:val="18"/>
          <w:szCs w:val="18"/>
        </w:rPr>
        <w:t xml:space="preserve"> Ελλάδα, ΕΕ και Ευρωζώνη, 2014</w:t>
      </w:r>
      <w:r w:rsidR="00796EC9">
        <w:rPr>
          <w:color w:val="000000"/>
          <w:sz w:val="18"/>
          <w:szCs w:val="18"/>
        </w:rPr>
        <w:t xml:space="preserve"> - </w:t>
      </w:r>
      <w:r w:rsidR="0000000D" w:rsidRPr="00814D50">
        <w:rPr>
          <w:color w:val="000000"/>
          <w:sz w:val="18"/>
          <w:szCs w:val="18"/>
        </w:rPr>
        <w:t>2027 (%)</w:t>
      </w:r>
      <w:r w:rsidR="00B237F0">
        <w:rPr>
          <w:color w:val="000000"/>
          <w:sz w:val="18"/>
          <w:szCs w:val="18"/>
        </w:rPr>
        <w:t xml:space="preserve"> </w:t>
      </w:r>
      <w:r w:rsidR="0000000D" w:rsidRPr="001337DC">
        <w:rPr>
          <w:color w:val="000000"/>
          <w:sz w:val="18"/>
          <w:szCs w:val="18"/>
        </w:rPr>
        <w:t>(σταθερές τιμές, ετήσιες μεταβολές %)</w:t>
      </w:r>
      <w:bookmarkEnd w:id="26"/>
    </w:p>
    <w:p w14:paraId="1E1EFBC5" w14:textId="211FE71F" w:rsidR="0064103C" w:rsidRDefault="0064103C" w:rsidP="00E16AF5">
      <w:pPr>
        <w:spacing w:after="0" w:line="276" w:lineRule="auto"/>
        <w:jc w:val="center"/>
        <w:rPr>
          <w:b/>
          <w:sz w:val="18"/>
          <w:szCs w:val="18"/>
        </w:rPr>
      </w:pPr>
      <w:r>
        <w:rPr>
          <w:noProof/>
        </w:rPr>
        <w:drawing>
          <wp:inline distT="0" distB="0" distL="0" distR="0" wp14:anchorId="5FF2568B" wp14:editId="519D4C08">
            <wp:extent cx="5759450" cy="2329732"/>
            <wp:effectExtent l="0" t="0" r="12700" b="13970"/>
            <wp:docPr id="26" name="Γράφημα 26">
              <a:extLst xmlns:a="http://schemas.openxmlformats.org/drawingml/2006/main">
                <a:ext uri="{FF2B5EF4-FFF2-40B4-BE49-F238E27FC236}">
                  <a16:creationId xmlns:a16="http://schemas.microsoft.com/office/drawing/2014/main" id="{00000000-0008-0000-0900-00008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FD069E5" w14:textId="46B1ED46" w:rsidR="00F973C2" w:rsidRPr="00F3421E" w:rsidRDefault="00F973C2" w:rsidP="00F06E69">
      <w:pPr>
        <w:tabs>
          <w:tab w:val="left" w:pos="113"/>
        </w:tabs>
        <w:spacing w:before="60" w:after="60" w:line="276" w:lineRule="auto"/>
        <w:rPr>
          <w:rFonts w:cs="Arial"/>
          <w:i/>
          <w:sz w:val="16"/>
          <w:szCs w:val="16"/>
        </w:rPr>
      </w:pPr>
      <w:r w:rsidRPr="00F3421E">
        <w:rPr>
          <w:rFonts w:cs="Arial"/>
          <w:i/>
          <w:color w:val="000000"/>
          <w:sz w:val="16"/>
          <w:szCs w:val="16"/>
        </w:rPr>
        <w:t>*έτη προβλέψεων</w:t>
      </w:r>
    </w:p>
    <w:p w14:paraId="371C7E39" w14:textId="77777777" w:rsidR="00F973C2" w:rsidRDefault="00F973C2" w:rsidP="001B18E0">
      <w:pPr>
        <w:spacing w:before="60" w:after="240" w:line="276" w:lineRule="auto"/>
        <w:rPr>
          <w:rFonts w:cs="Arial"/>
          <w:sz w:val="16"/>
          <w:szCs w:val="16"/>
        </w:rPr>
      </w:pPr>
      <w:r>
        <w:rPr>
          <w:rFonts w:cs="Arial"/>
          <w:color w:val="000000"/>
          <w:sz w:val="16"/>
          <w:szCs w:val="16"/>
        </w:rPr>
        <w:t>Πηγή: Μακροοικονομική βάση δεδομένων AMECO της Ευρωπαϊκής Επιτροπής, προβλέψεις Υπουργείου Εθνικής Οικονομίας και Οικονομικών</w:t>
      </w:r>
    </w:p>
    <w:p w14:paraId="115ACEDF" w14:textId="17516900" w:rsidR="00F973C2" w:rsidRPr="00814D50" w:rsidRDefault="00F973C2" w:rsidP="002930EE">
      <w:r w:rsidRPr="00814D50">
        <w:t>Η πραγματική ιδιωτική κατανάλωση προβλέπεται να αυξηθεί κατά 1,5% το 2027 από 1,4% το 2026, ενώ η δημόσια κατανάλωση προβλέπεται να αυξηθεί κατά 1,4%</w:t>
      </w:r>
      <w:r w:rsidR="00BB39C7">
        <w:t xml:space="preserve"> το 2027</w:t>
      </w:r>
      <w:r w:rsidRPr="00814D50">
        <w:t xml:space="preserve"> από 1,1% το 2026. Η εξέλιξη της ιδιωτικής κατανάλωσης υποστηρίζεται από την αύξηση της απασχόλησης και των αμοιβών, </w:t>
      </w:r>
      <w:r w:rsidR="005A31D3">
        <w:t xml:space="preserve">από </w:t>
      </w:r>
      <w:r w:rsidRPr="00814D50">
        <w:t xml:space="preserve">τις παρεμβάσεις που ενισχύουν το διαθέσιμο εισόδημα των νοικοκυριών </w:t>
      </w:r>
      <w:r w:rsidR="005A31D3">
        <w:t xml:space="preserve">καθώς </w:t>
      </w:r>
      <w:r w:rsidRPr="00814D50">
        <w:t xml:space="preserve">και </w:t>
      </w:r>
      <w:r w:rsidR="005A31D3">
        <w:t xml:space="preserve">από </w:t>
      </w:r>
      <w:r w:rsidRPr="00814D50">
        <w:t>την προβλεπόμενη αποκλιμάκωση του πληθωρισμού.</w:t>
      </w:r>
    </w:p>
    <w:p w14:paraId="63BF051F" w14:textId="7BBF0BCB" w:rsidR="00F973C2" w:rsidRPr="00814D50" w:rsidRDefault="00F973C2" w:rsidP="002930EE">
      <w:r w:rsidRPr="00814D50">
        <w:t xml:space="preserve">Η απασχόληση σε εθνικολογιστική βάση προβλέπεται να αυξηθεί κατά 0,4% το 2027, με τον αριθμό των μισθωτών να αυξάνεται κατά 0,7%. Με βάση τις </w:t>
      </w:r>
      <w:r w:rsidR="00673A4C">
        <w:t xml:space="preserve">εν λόγω </w:t>
      </w:r>
      <w:r w:rsidRPr="00814D50">
        <w:t xml:space="preserve">προβολές, ο αριθμός των μισθωτών προσεγγίζει τα 4,0 εκατ. άτομα και </w:t>
      </w:r>
      <w:r w:rsidR="00673A4C">
        <w:t xml:space="preserve">του συνόλου των απασχολουμένων </w:t>
      </w:r>
      <w:r w:rsidRPr="00814D50">
        <w:t xml:space="preserve">τα 5,3 εκατ. άτομα. Παράλληλα, σύμφωνα </w:t>
      </w:r>
      <w:r w:rsidR="00086521">
        <w:t xml:space="preserve">με τον ορισμό της </w:t>
      </w:r>
      <w:r w:rsidRPr="00814D50">
        <w:t>Έρευνα</w:t>
      </w:r>
      <w:r w:rsidR="00086521">
        <w:t>ς</w:t>
      </w:r>
      <w:r w:rsidRPr="00814D50">
        <w:t xml:space="preserve"> Εργατικού Δυναμικού</w:t>
      </w:r>
      <w:r w:rsidR="00752AA5">
        <w:t>,</w:t>
      </w:r>
      <w:r w:rsidRPr="00814D50">
        <w:t xml:space="preserve"> το ποσοστό ανεργίας προβλέπεται να υποχωρήσει περαιτέρω</w:t>
      </w:r>
      <w:r w:rsidR="00752AA5">
        <w:t>,</w:t>
      </w:r>
      <w:r w:rsidRPr="00814D50">
        <w:t xml:space="preserve"> από 8,4% το 2026 σε 7,9% το 2027.</w:t>
      </w:r>
    </w:p>
    <w:p w14:paraId="3234545F" w14:textId="750799C9" w:rsidR="00F973C2" w:rsidRPr="00814D50" w:rsidRDefault="00F973C2" w:rsidP="002930EE">
      <w:r w:rsidRPr="00814D50">
        <w:t>Οι αμοιβές εξαρτημένης εργασίας ανά εργαζόμενο προβλέπεται να αυξηθούν σε ονομαστικούς όρους κατά 3,9% το 2027 έναντι 3,7% το 2026</w:t>
      </w:r>
      <w:r w:rsidR="00AC1152">
        <w:t xml:space="preserve"> και οι συνολικές αμοιβές εξαρτημένης εργασίας σε 4,6% το 2027 από 4,4% το 2026</w:t>
      </w:r>
      <w:r w:rsidRPr="00814D50">
        <w:t xml:space="preserve">. Η </w:t>
      </w:r>
      <w:r w:rsidR="00673A4C">
        <w:t xml:space="preserve">συγκεκριμένη </w:t>
      </w:r>
      <w:r w:rsidRPr="00814D50">
        <w:t>εξέλιξη αντανακλά τη συνεχιζόμενη άνοδο των μισθών, συμπεριλαμβανομέν</w:t>
      </w:r>
      <w:r w:rsidR="00DF0DE1">
        <w:t>ων</w:t>
      </w:r>
      <w:r w:rsidRPr="00814D50">
        <w:t xml:space="preserve"> της προβλεπ</w:t>
      </w:r>
      <w:r w:rsidR="00216E34">
        <w:t>ό</w:t>
      </w:r>
      <w:r w:rsidRPr="00814D50">
        <w:t>μ</w:t>
      </w:r>
      <w:r w:rsidR="00216E34">
        <w:t>ε</w:t>
      </w:r>
      <w:r w:rsidRPr="00814D50">
        <w:t>νης νέας αναπροσαρμογής του κατώτατου μισθού</w:t>
      </w:r>
      <w:r w:rsidR="00DF0DE1">
        <w:t>,</w:t>
      </w:r>
      <w:r w:rsidR="009E75BA">
        <w:t xml:space="preserve"> της συνακόλουθης αύξησης των μισθών των δημοσίων υπαλλήλων </w:t>
      </w:r>
      <w:r w:rsidR="00DF0DE1">
        <w:t xml:space="preserve">καθώς </w:t>
      </w:r>
      <w:r w:rsidR="009E75BA">
        <w:t xml:space="preserve">και της </w:t>
      </w:r>
      <w:r w:rsidR="0055234A">
        <w:t>θέσπισης</w:t>
      </w:r>
      <w:r w:rsidR="009E75BA">
        <w:t xml:space="preserve"> από το 2027 του επιδόματος εορτών Χριστουγέννων</w:t>
      </w:r>
      <w:r w:rsidR="00B10C85">
        <w:t xml:space="preserve"> </w:t>
      </w:r>
      <w:r w:rsidR="00C34B9F">
        <w:t xml:space="preserve">για </w:t>
      </w:r>
      <w:r w:rsidR="009E75BA">
        <w:t>τους δημοσίους υπαλλήλους και λειτουργούς</w:t>
      </w:r>
      <w:r w:rsidRPr="00814D50">
        <w:t xml:space="preserve">. Σε </w:t>
      </w:r>
      <w:r w:rsidR="00673A4C">
        <w:t>σύγκριση</w:t>
      </w:r>
      <w:r w:rsidRPr="00814D50">
        <w:t xml:space="preserve"> με το 2019 οι κατά κεφαλήν αμοιβές εξαρτημένης εργασίας προβλέπεται να είναι αυξημένες κατά </w:t>
      </w:r>
      <w:r w:rsidRPr="00173C6D">
        <w:t>25,8%</w:t>
      </w:r>
      <w:r w:rsidRPr="00814D50">
        <w:t xml:space="preserve"> σε ονομαστικούς όρους.</w:t>
      </w:r>
    </w:p>
    <w:p w14:paraId="1C959FC0" w14:textId="6E79A4BC" w:rsidR="00F973C2" w:rsidRPr="00814D50" w:rsidRDefault="00F973C2" w:rsidP="002930EE">
      <w:r w:rsidRPr="00814D50">
        <w:t xml:space="preserve">Σε πραγματικούς όρους οι </w:t>
      </w:r>
      <w:r w:rsidR="00DF0DE1">
        <w:t xml:space="preserve">ονομαστικές </w:t>
      </w:r>
      <w:r w:rsidRPr="00814D50">
        <w:t>αμοιβές ανά εργαζόμενο προβλέπεται να αυξηθούν κατά 1,4% το 2027, καθ</w:t>
      </w:r>
      <w:r w:rsidR="00673A4C">
        <w:t xml:space="preserve">’ όσον </w:t>
      </w:r>
      <w:r w:rsidRPr="00814D50">
        <w:t xml:space="preserve">η αύξηση των ονομαστικών αμοιβών συνδυάζεται με την αποκλιμάκωση του πληθωρισμού. </w:t>
      </w:r>
      <w:r w:rsidR="00DF0DE1">
        <w:t>Επιπλέον</w:t>
      </w:r>
      <w:r w:rsidR="00A41612">
        <w:t>,</w:t>
      </w:r>
      <w:r w:rsidR="00DF0DE1">
        <w:t xml:space="preserve"> οι καθαρές πραγματικές αμοιβές θα ενισχυθούν περαιτέρω από τη μείωση κατά 0,5% των ασφαλιστικών εισφορών.</w:t>
      </w:r>
      <w:r w:rsidR="00DF0DE1" w:rsidRPr="00814D50">
        <w:t xml:space="preserve"> </w:t>
      </w:r>
      <w:r w:rsidRPr="00814D50">
        <w:t xml:space="preserve">Παράλληλα, η παραγωγικότητα της εργασίας προβλέπεται να </w:t>
      </w:r>
      <w:r w:rsidR="00673A4C">
        <w:t>ενισχυθεί</w:t>
      </w:r>
      <w:r w:rsidRPr="00814D50">
        <w:t xml:space="preserve"> κατά 2,0% </w:t>
      </w:r>
      <w:r w:rsidR="00EA2C8D">
        <w:t xml:space="preserve">το 2027 </w:t>
      </w:r>
      <w:r w:rsidRPr="00814D50">
        <w:t xml:space="preserve">έναντι 1,5% το 2026. </w:t>
      </w:r>
      <w:r w:rsidR="00673A4C">
        <w:t>Κατά συνέπεια</w:t>
      </w:r>
      <w:r w:rsidRPr="00814D50">
        <w:t xml:space="preserve">, ο ρυθμός αύξησης του κόστους εργασίας ανά μονάδα προϊόντος </w:t>
      </w:r>
      <w:r w:rsidR="004A5FA4">
        <w:t>προβλέπεται να διαμορφωθεί</w:t>
      </w:r>
      <w:r w:rsidRPr="00814D50">
        <w:t xml:space="preserve"> σε 1,9% το 2027.</w:t>
      </w:r>
    </w:p>
    <w:p w14:paraId="331E370F" w14:textId="2E4F2F6B" w:rsidR="00F973C2" w:rsidRPr="00814D50" w:rsidRDefault="00F973C2" w:rsidP="007E5D2B">
      <w:pPr>
        <w:spacing w:after="240"/>
      </w:pPr>
      <w:r w:rsidRPr="00814D50">
        <w:t xml:space="preserve">Ο μέσος ετήσιος ρυθμός μεταβολής του </w:t>
      </w:r>
      <w:proofErr w:type="spellStart"/>
      <w:r w:rsidRPr="00814D50">
        <w:t>Εν</w:t>
      </w:r>
      <w:r w:rsidR="004A5FA4">
        <w:t>Δ</w:t>
      </w:r>
      <w:r w:rsidRPr="00814D50">
        <w:t>ΤΚ</w:t>
      </w:r>
      <w:proofErr w:type="spellEnd"/>
      <w:r w:rsidRPr="00814D50">
        <w:t xml:space="preserve"> προβλέπεται να υποχωρήσει σε 2,4%</w:t>
      </w:r>
      <w:r w:rsidR="004A5FA4">
        <w:t xml:space="preserve"> το 2027</w:t>
      </w:r>
      <w:r w:rsidRPr="00814D50">
        <w:t xml:space="preserve"> από 3,6% το 2026, υπό την παραδοχή </w:t>
      </w:r>
      <w:r w:rsidR="00CD135B">
        <w:t xml:space="preserve">της </w:t>
      </w:r>
      <w:r w:rsidRPr="00814D50">
        <w:t>σταδιακής αποκλιμάκωσης των διεθνών τιμών της ενέργειας</w:t>
      </w:r>
      <w:r w:rsidR="0095471E">
        <w:t xml:space="preserve">, σύμφωνα με τις προβλέψεις της Ευρωπαϊκής Επιτροπής, όπως </w:t>
      </w:r>
      <w:r w:rsidR="0095471E" w:rsidRPr="00D64F37">
        <w:t>αποτυπώνονται ανωτέρω</w:t>
      </w:r>
      <w:r w:rsidR="0095471E" w:rsidRPr="00D64F37">
        <w:rPr>
          <w:szCs w:val="20"/>
        </w:rPr>
        <w:t xml:space="preserve"> (</w:t>
      </w:r>
      <w:r w:rsidR="0095471E" w:rsidRPr="00D64F37">
        <w:rPr>
          <w:szCs w:val="20"/>
        </w:rPr>
        <w:fldChar w:fldCharType="begin"/>
      </w:r>
      <w:r w:rsidR="0095471E" w:rsidRPr="00D64F37">
        <w:rPr>
          <w:szCs w:val="20"/>
        </w:rPr>
        <w:instrText xml:space="preserve"> REF _Ref241417024 \h  \* MERGEFORMAT </w:instrText>
      </w:r>
      <w:r w:rsidR="0095471E" w:rsidRPr="00D64F37">
        <w:rPr>
          <w:szCs w:val="20"/>
        </w:rPr>
      </w:r>
      <w:r w:rsidR="0095471E" w:rsidRPr="00D64F37">
        <w:rPr>
          <w:szCs w:val="20"/>
        </w:rPr>
        <w:fldChar w:fldCharType="separate"/>
      </w:r>
      <w:r w:rsidR="007F6D9C" w:rsidRPr="00D64F37">
        <w:rPr>
          <w:szCs w:val="20"/>
        </w:rPr>
        <w:t>Πίνακας 1.1</w:t>
      </w:r>
      <w:r w:rsidR="0095471E" w:rsidRPr="00D64F37">
        <w:rPr>
          <w:szCs w:val="20"/>
        </w:rPr>
        <w:fldChar w:fldCharType="end"/>
      </w:r>
      <w:r w:rsidR="0095471E" w:rsidRPr="00D64F37">
        <w:rPr>
          <w:szCs w:val="20"/>
        </w:rPr>
        <w:t>.)</w:t>
      </w:r>
      <w:r w:rsidRPr="00D64F37">
        <w:t>.</w:t>
      </w:r>
      <w:r w:rsidRPr="0095471E">
        <w:t xml:space="preserve"> </w:t>
      </w:r>
      <w:r w:rsidRPr="00173C6D">
        <w:t>Ο εθνικός Δ</w:t>
      </w:r>
      <w:r w:rsidR="004A5FA4">
        <w:t>ΤΚ</w:t>
      </w:r>
      <w:r w:rsidRPr="00173C6D">
        <w:t xml:space="preserve"> προβλέπεται</w:t>
      </w:r>
      <w:r w:rsidR="004A5FA4">
        <w:t>,</w:t>
      </w:r>
      <w:r w:rsidRPr="00173C6D">
        <w:t xml:space="preserve"> αντίστοιχα</w:t>
      </w:r>
      <w:r w:rsidR="004A5FA4">
        <w:t>,</w:t>
      </w:r>
      <w:r w:rsidRPr="00173C6D">
        <w:t xml:space="preserve"> να </w:t>
      </w:r>
      <w:r w:rsidR="0095471E">
        <w:t>μεταβληθεί</w:t>
      </w:r>
      <w:r w:rsidRPr="00173C6D">
        <w:t xml:space="preserve"> κατά 2,6%</w:t>
      </w:r>
      <w:r w:rsidR="00660A3A">
        <w:t xml:space="preserve"> το 2027</w:t>
      </w:r>
      <w:r w:rsidRPr="00173C6D">
        <w:t xml:space="preserve"> έναντι 3,8% το 2026.</w:t>
      </w:r>
    </w:p>
    <w:tbl>
      <w:tblPr>
        <w:tblW w:w="0" w:type="auto"/>
        <w:jc w:val="center"/>
        <w:tblBorders>
          <w:top w:val="single" w:sz="8" w:space="0" w:color="7F7F7F"/>
          <w:left w:val="single" w:sz="8" w:space="0" w:color="7F7F7F"/>
          <w:bottom w:val="single" w:sz="8" w:space="0" w:color="7F7F7F"/>
          <w:right w:val="single" w:sz="8" w:space="0" w:color="7F7F7F"/>
        </w:tblBorders>
        <w:tblLook w:val="00A0" w:firstRow="1" w:lastRow="0" w:firstColumn="1" w:lastColumn="0" w:noHBand="0" w:noVBand="0"/>
      </w:tblPr>
      <w:tblGrid>
        <w:gridCol w:w="4892"/>
        <w:gridCol w:w="933"/>
        <w:gridCol w:w="995"/>
        <w:gridCol w:w="950"/>
      </w:tblGrid>
      <w:tr w:rsidR="00F973C2" w:rsidRPr="0025392F" w14:paraId="006C9828" w14:textId="77777777" w:rsidTr="00572429">
        <w:trPr>
          <w:cantSplit/>
          <w:trHeight w:val="567"/>
          <w:jc w:val="center"/>
        </w:trPr>
        <w:tc>
          <w:tcPr>
            <w:tcW w:w="7770" w:type="dxa"/>
            <w:gridSpan w:val="4"/>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tcPr>
          <w:p w14:paraId="21A3C311" w14:textId="52E70FA3" w:rsidR="00F973C2" w:rsidRPr="000C2169" w:rsidRDefault="00F22F59" w:rsidP="00674AA9">
            <w:pPr>
              <w:spacing w:after="0" w:line="276" w:lineRule="auto"/>
              <w:jc w:val="center"/>
              <w:rPr>
                <w:b/>
                <w:color w:val="000000"/>
                <w:sz w:val="18"/>
                <w:szCs w:val="18"/>
              </w:rPr>
            </w:pPr>
            <w:bookmarkStart w:id="27" w:name="_Ref241417141"/>
            <w:bookmarkStart w:id="28" w:name="_Toc241773166"/>
            <w:r w:rsidRPr="00F22F59">
              <w:rPr>
                <w:b/>
                <w:color w:val="000000"/>
                <w:sz w:val="18"/>
                <w:szCs w:val="18"/>
              </w:rPr>
              <w:t>Πίνακας 1.</w:t>
            </w:r>
            <w:r w:rsidRPr="00F22F59">
              <w:rPr>
                <w:b/>
                <w:color w:val="000000"/>
                <w:sz w:val="18"/>
                <w:szCs w:val="18"/>
              </w:rPr>
              <w:fldChar w:fldCharType="begin"/>
            </w:r>
            <w:r w:rsidRPr="00F22F59">
              <w:rPr>
                <w:b/>
                <w:color w:val="000000"/>
                <w:sz w:val="18"/>
                <w:szCs w:val="18"/>
              </w:rPr>
              <w:instrText xml:space="preserve"> SEQ Πίνακας_1. \* ARABIC </w:instrText>
            </w:r>
            <w:r w:rsidRPr="00F22F59">
              <w:rPr>
                <w:b/>
                <w:color w:val="000000"/>
                <w:sz w:val="18"/>
                <w:szCs w:val="18"/>
              </w:rPr>
              <w:fldChar w:fldCharType="separate"/>
            </w:r>
            <w:r w:rsidR="007F6D9C">
              <w:rPr>
                <w:b/>
                <w:noProof/>
                <w:color w:val="000000"/>
                <w:sz w:val="18"/>
                <w:szCs w:val="18"/>
              </w:rPr>
              <w:t>2</w:t>
            </w:r>
            <w:r w:rsidRPr="00F22F59">
              <w:rPr>
                <w:b/>
                <w:color w:val="000000"/>
                <w:sz w:val="18"/>
                <w:szCs w:val="18"/>
              </w:rPr>
              <w:fldChar w:fldCharType="end"/>
            </w:r>
            <w:bookmarkEnd w:id="27"/>
            <w:r>
              <w:rPr>
                <w:b/>
                <w:color w:val="000000"/>
                <w:sz w:val="18"/>
                <w:szCs w:val="18"/>
              </w:rPr>
              <w:t xml:space="preserve">.: </w:t>
            </w:r>
            <w:r w:rsidR="00F973C2" w:rsidRPr="000C2169">
              <w:rPr>
                <w:b/>
                <w:color w:val="000000"/>
                <w:sz w:val="18"/>
                <w:szCs w:val="18"/>
              </w:rPr>
              <w:t>Βασικά μακροοικονομικά μεγέθη της ελληνικής οικονομίας</w:t>
            </w:r>
            <w:bookmarkEnd w:id="28"/>
          </w:p>
          <w:p w14:paraId="227F159B" w14:textId="3C518093" w:rsidR="00F973C2" w:rsidRPr="0025392F" w:rsidRDefault="00F973C2" w:rsidP="00674AA9">
            <w:pPr>
              <w:spacing w:after="0" w:line="276" w:lineRule="auto"/>
              <w:jc w:val="center"/>
              <w:rPr>
                <w:rFonts w:ascii="Calibri" w:hAnsi="Calibri"/>
                <w:b/>
                <w:sz w:val="18"/>
                <w:szCs w:val="18"/>
              </w:rPr>
            </w:pPr>
            <w:r w:rsidRPr="000C2169">
              <w:rPr>
                <w:b/>
                <w:color w:val="000000"/>
                <w:sz w:val="18"/>
                <w:szCs w:val="18"/>
              </w:rPr>
              <w:t>(ετήσιες μεταβολές %</w:t>
            </w:r>
            <w:r w:rsidR="001C7EA9">
              <w:rPr>
                <w:b/>
                <w:color w:val="000000"/>
                <w:sz w:val="18"/>
                <w:szCs w:val="18"/>
              </w:rPr>
              <w:t>)</w:t>
            </w:r>
          </w:p>
        </w:tc>
      </w:tr>
      <w:tr w:rsidR="00F973C2" w:rsidRPr="0025392F" w14:paraId="5259B5AA" w14:textId="77777777" w:rsidTr="007E5D2B">
        <w:trPr>
          <w:cantSplit/>
          <w:trHeight w:val="340"/>
          <w:jc w:val="center"/>
        </w:trPr>
        <w:tc>
          <w:tcPr>
            <w:tcW w:w="4892" w:type="dxa"/>
            <w:tcBorders>
              <w:top w:val="nil"/>
              <w:left w:val="single" w:sz="2" w:space="0" w:color="A6A6A6" w:themeColor="background1" w:themeShade="A6"/>
              <w:bottom w:val="nil"/>
            </w:tcBorders>
            <w:shd w:val="clear" w:color="auto" w:fill="F2F2F2" w:themeFill="background1" w:themeFillShade="F2"/>
            <w:vAlign w:val="center"/>
          </w:tcPr>
          <w:p w14:paraId="6115D686" w14:textId="77777777" w:rsidR="00F973C2" w:rsidRPr="0025392F" w:rsidRDefault="00F973C2" w:rsidP="00674AA9">
            <w:pPr>
              <w:spacing w:after="0" w:line="276" w:lineRule="auto"/>
              <w:jc w:val="center"/>
              <w:rPr>
                <w:rFonts w:ascii="Arial Narrow" w:hAnsi="Arial Narrow"/>
                <w:b/>
                <w:sz w:val="16"/>
                <w:szCs w:val="16"/>
              </w:rPr>
            </w:pPr>
          </w:p>
        </w:tc>
        <w:tc>
          <w:tcPr>
            <w:tcW w:w="933" w:type="dxa"/>
            <w:tcBorders>
              <w:top w:val="nil"/>
              <w:bottom w:val="nil"/>
            </w:tcBorders>
            <w:shd w:val="clear" w:color="auto" w:fill="F2F2F2" w:themeFill="background1" w:themeFillShade="F2"/>
            <w:vAlign w:val="center"/>
          </w:tcPr>
          <w:p w14:paraId="1DD3C207" w14:textId="77777777" w:rsidR="00F973C2" w:rsidRPr="003969D7" w:rsidRDefault="00F973C2" w:rsidP="00674AA9">
            <w:pPr>
              <w:spacing w:after="0" w:line="276" w:lineRule="auto"/>
              <w:jc w:val="center"/>
              <w:rPr>
                <w:rFonts w:cs="Arial"/>
                <w:b/>
                <w:sz w:val="16"/>
                <w:szCs w:val="16"/>
              </w:rPr>
            </w:pPr>
            <w:r w:rsidRPr="003969D7">
              <w:rPr>
                <w:rFonts w:cs="Arial"/>
                <w:b/>
                <w:sz w:val="16"/>
                <w:szCs w:val="16"/>
              </w:rPr>
              <w:t>2025</w:t>
            </w:r>
          </w:p>
        </w:tc>
        <w:tc>
          <w:tcPr>
            <w:tcW w:w="995" w:type="dxa"/>
            <w:tcBorders>
              <w:top w:val="nil"/>
              <w:bottom w:val="nil"/>
            </w:tcBorders>
            <w:shd w:val="clear" w:color="auto" w:fill="F2F2F2" w:themeFill="background1" w:themeFillShade="F2"/>
            <w:vAlign w:val="center"/>
          </w:tcPr>
          <w:p w14:paraId="5FC74256" w14:textId="022B7BCF" w:rsidR="00F973C2" w:rsidRPr="003969D7" w:rsidRDefault="00F973C2" w:rsidP="00674AA9">
            <w:pPr>
              <w:spacing w:after="0" w:line="276" w:lineRule="auto"/>
              <w:jc w:val="center"/>
              <w:rPr>
                <w:rFonts w:cs="Arial"/>
                <w:b/>
                <w:sz w:val="16"/>
                <w:szCs w:val="16"/>
              </w:rPr>
            </w:pPr>
            <w:r w:rsidRPr="003969D7">
              <w:rPr>
                <w:rFonts w:cs="Arial"/>
                <w:b/>
                <w:sz w:val="16"/>
                <w:szCs w:val="16"/>
              </w:rPr>
              <w:t>2026</w:t>
            </w:r>
            <w:r w:rsidR="008C5921" w:rsidRPr="003969D7">
              <w:rPr>
                <w:rFonts w:cs="Arial"/>
                <w:b/>
                <w:sz w:val="16"/>
                <w:szCs w:val="16"/>
                <w:vertAlign w:val="superscript"/>
              </w:rPr>
              <w:t>2</w:t>
            </w:r>
          </w:p>
        </w:tc>
        <w:tc>
          <w:tcPr>
            <w:tcW w:w="950" w:type="dxa"/>
            <w:tcBorders>
              <w:top w:val="nil"/>
              <w:bottom w:val="nil"/>
              <w:right w:val="single" w:sz="2" w:space="0" w:color="A6A6A6" w:themeColor="background1" w:themeShade="A6"/>
            </w:tcBorders>
            <w:shd w:val="clear" w:color="auto" w:fill="F2F2F2" w:themeFill="background1" w:themeFillShade="F2"/>
            <w:vAlign w:val="center"/>
          </w:tcPr>
          <w:p w14:paraId="7A48B521" w14:textId="6D9CD063" w:rsidR="00F973C2" w:rsidRPr="003969D7" w:rsidRDefault="00F973C2" w:rsidP="00674AA9">
            <w:pPr>
              <w:spacing w:after="0" w:line="276" w:lineRule="auto"/>
              <w:jc w:val="center"/>
              <w:rPr>
                <w:rFonts w:cs="Arial"/>
                <w:b/>
                <w:sz w:val="16"/>
                <w:szCs w:val="16"/>
              </w:rPr>
            </w:pPr>
            <w:r w:rsidRPr="003969D7">
              <w:rPr>
                <w:rFonts w:cs="Arial"/>
                <w:b/>
                <w:sz w:val="16"/>
                <w:szCs w:val="16"/>
              </w:rPr>
              <w:t>2027</w:t>
            </w:r>
            <w:r w:rsidR="008C5921" w:rsidRPr="003969D7">
              <w:rPr>
                <w:rFonts w:cs="Arial"/>
                <w:b/>
                <w:sz w:val="16"/>
                <w:szCs w:val="16"/>
                <w:vertAlign w:val="superscript"/>
              </w:rPr>
              <w:t>3</w:t>
            </w:r>
          </w:p>
        </w:tc>
      </w:tr>
      <w:tr w:rsidR="00F973C2" w:rsidRPr="00EB4E92" w14:paraId="0B7B7549"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569B0C34" w14:textId="77777777" w:rsidR="00F973C2" w:rsidRPr="00EB4E92" w:rsidRDefault="00F973C2" w:rsidP="001B3D1A">
            <w:pPr>
              <w:spacing w:after="0" w:line="276" w:lineRule="auto"/>
              <w:rPr>
                <w:rFonts w:cs="Arial"/>
                <w:sz w:val="16"/>
                <w:szCs w:val="16"/>
              </w:rPr>
            </w:pPr>
            <w:r w:rsidRPr="00EB4E92">
              <w:rPr>
                <w:rFonts w:cs="Arial"/>
                <w:sz w:val="16"/>
                <w:szCs w:val="16"/>
              </w:rPr>
              <w:t>ΑΕΠ</w:t>
            </w:r>
          </w:p>
        </w:tc>
        <w:tc>
          <w:tcPr>
            <w:tcW w:w="933" w:type="dxa"/>
            <w:tcBorders>
              <w:top w:val="nil"/>
              <w:bottom w:val="nil"/>
            </w:tcBorders>
            <w:vAlign w:val="center"/>
          </w:tcPr>
          <w:p w14:paraId="153011BE" w14:textId="77777777" w:rsidR="00F973C2" w:rsidRPr="00EB4E92" w:rsidRDefault="00F973C2" w:rsidP="00674AA9">
            <w:pPr>
              <w:spacing w:after="0" w:line="276" w:lineRule="auto"/>
              <w:jc w:val="right"/>
              <w:rPr>
                <w:rFonts w:cs="Arial"/>
                <w:sz w:val="16"/>
                <w:szCs w:val="16"/>
              </w:rPr>
            </w:pPr>
            <w:r w:rsidRPr="00EB4E92">
              <w:rPr>
                <w:rFonts w:cs="Arial"/>
                <w:sz w:val="16"/>
                <w:szCs w:val="16"/>
              </w:rPr>
              <w:t>2,1</w:t>
            </w:r>
          </w:p>
        </w:tc>
        <w:tc>
          <w:tcPr>
            <w:tcW w:w="995" w:type="dxa"/>
            <w:tcBorders>
              <w:top w:val="nil"/>
              <w:bottom w:val="nil"/>
            </w:tcBorders>
            <w:vAlign w:val="center"/>
          </w:tcPr>
          <w:p w14:paraId="70255A3F" w14:textId="77777777" w:rsidR="00F973C2" w:rsidRPr="00EB4E92" w:rsidRDefault="00F973C2" w:rsidP="00674AA9">
            <w:pPr>
              <w:spacing w:after="0" w:line="276" w:lineRule="auto"/>
              <w:jc w:val="right"/>
              <w:rPr>
                <w:rFonts w:cs="Arial"/>
                <w:sz w:val="16"/>
                <w:szCs w:val="16"/>
              </w:rPr>
            </w:pPr>
            <w:r w:rsidRPr="00EB4E92">
              <w:rPr>
                <w:rFonts w:cs="Arial"/>
                <w:sz w:val="16"/>
                <w:szCs w:val="16"/>
              </w:rPr>
              <w:t>2,0</w:t>
            </w:r>
          </w:p>
        </w:tc>
        <w:tc>
          <w:tcPr>
            <w:tcW w:w="950" w:type="dxa"/>
            <w:tcBorders>
              <w:top w:val="nil"/>
              <w:bottom w:val="nil"/>
              <w:right w:val="single" w:sz="2" w:space="0" w:color="A6A6A6" w:themeColor="background1" w:themeShade="A6"/>
            </w:tcBorders>
            <w:vAlign w:val="center"/>
          </w:tcPr>
          <w:p w14:paraId="640413E0" w14:textId="77777777" w:rsidR="00F973C2" w:rsidRPr="00EB4E92" w:rsidRDefault="00F973C2" w:rsidP="00674AA9">
            <w:pPr>
              <w:spacing w:after="0" w:line="276" w:lineRule="auto"/>
              <w:jc w:val="right"/>
              <w:rPr>
                <w:rFonts w:cs="Arial"/>
                <w:sz w:val="16"/>
                <w:szCs w:val="16"/>
              </w:rPr>
            </w:pPr>
            <w:r w:rsidRPr="00EB4E92">
              <w:rPr>
                <w:rFonts w:cs="Arial"/>
                <w:sz w:val="16"/>
                <w:szCs w:val="16"/>
              </w:rPr>
              <w:t>2,3</w:t>
            </w:r>
          </w:p>
        </w:tc>
      </w:tr>
      <w:tr w:rsidR="00F973C2" w:rsidRPr="00EB4E92" w14:paraId="423BC623"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1A4F1D21" w14:textId="77777777" w:rsidR="00F973C2" w:rsidRPr="00EB4E92" w:rsidRDefault="00F973C2" w:rsidP="001B3D1A">
            <w:pPr>
              <w:spacing w:after="0" w:line="276" w:lineRule="auto"/>
              <w:rPr>
                <w:rFonts w:cs="Arial"/>
                <w:sz w:val="16"/>
                <w:szCs w:val="16"/>
              </w:rPr>
            </w:pPr>
            <w:r w:rsidRPr="00EB4E92">
              <w:rPr>
                <w:rFonts w:cs="Arial"/>
                <w:sz w:val="16"/>
                <w:szCs w:val="16"/>
              </w:rPr>
              <w:t>Ιδιωτική κατανάλωση</w:t>
            </w:r>
          </w:p>
        </w:tc>
        <w:tc>
          <w:tcPr>
            <w:tcW w:w="933" w:type="dxa"/>
            <w:tcBorders>
              <w:top w:val="nil"/>
              <w:bottom w:val="nil"/>
            </w:tcBorders>
            <w:vAlign w:val="center"/>
          </w:tcPr>
          <w:p w14:paraId="681D49E3" w14:textId="77777777" w:rsidR="00F973C2" w:rsidRPr="00EB4E92" w:rsidRDefault="00F973C2" w:rsidP="00674AA9">
            <w:pPr>
              <w:spacing w:after="0" w:line="276" w:lineRule="auto"/>
              <w:jc w:val="right"/>
              <w:rPr>
                <w:rFonts w:cs="Arial"/>
                <w:sz w:val="16"/>
                <w:szCs w:val="16"/>
              </w:rPr>
            </w:pPr>
            <w:r w:rsidRPr="00EB4E92">
              <w:rPr>
                <w:rFonts w:cs="Arial"/>
                <w:sz w:val="16"/>
                <w:szCs w:val="16"/>
              </w:rPr>
              <w:t>2,0</w:t>
            </w:r>
          </w:p>
        </w:tc>
        <w:tc>
          <w:tcPr>
            <w:tcW w:w="995" w:type="dxa"/>
            <w:tcBorders>
              <w:top w:val="nil"/>
              <w:bottom w:val="nil"/>
            </w:tcBorders>
            <w:vAlign w:val="center"/>
          </w:tcPr>
          <w:p w14:paraId="46A86D92" w14:textId="77777777" w:rsidR="00F973C2" w:rsidRPr="00EB4E92" w:rsidRDefault="00F973C2" w:rsidP="00674AA9">
            <w:pPr>
              <w:spacing w:after="0" w:line="276" w:lineRule="auto"/>
              <w:jc w:val="right"/>
              <w:rPr>
                <w:rFonts w:cs="Arial"/>
                <w:sz w:val="16"/>
                <w:szCs w:val="16"/>
              </w:rPr>
            </w:pPr>
            <w:r w:rsidRPr="00EB4E92">
              <w:rPr>
                <w:rFonts w:cs="Arial"/>
                <w:sz w:val="16"/>
                <w:szCs w:val="16"/>
              </w:rPr>
              <w:t>1,4</w:t>
            </w:r>
          </w:p>
        </w:tc>
        <w:tc>
          <w:tcPr>
            <w:tcW w:w="950" w:type="dxa"/>
            <w:tcBorders>
              <w:top w:val="nil"/>
              <w:bottom w:val="nil"/>
              <w:right w:val="single" w:sz="2" w:space="0" w:color="A6A6A6" w:themeColor="background1" w:themeShade="A6"/>
            </w:tcBorders>
            <w:vAlign w:val="center"/>
          </w:tcPr>
          <w:p w14:paraId="4680474A" w14:textId="77777777" w:rsidR="00F973C2" w:rsidRPr="00EB4E92" w:rsidRDefault="00F973C2" w:rsidP="00674AA9">
            <w:pPr>
              <w:spacing w:after="0" w:line="276" w:lineRule="auto"/>
              <w:jc w:val="right"/>
              <w:rPr>
                <w:rFonts w:cs="Arial"/>
                <w:sz w:val="16"/>
                <w:szCs w:val="16"/>
              </w:rPr>
            </w:pPr>
            <w:r w:rsidRPr="00EB4E92">
              <w:rPr>
                <w:rFonts w:cs="Arial"/>
                <w:sz w:val="16"/>
                <w:szCs w:val="16"/>
              </w:rPr>
              <w:t>1,5</w:t>
            </w:r>
          </w:p>
        </w:tc>
      </w:tr>
      <w:tr w:rsidR="00F973C2" w:rsidRPr="00EB4E92" w14:paraId="6CCBCF36"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0A2D07E8" w14:textId="77777777" w:rsidR="00F973C2" w:rsidRPr="00EB4E92" w:rsidRDefault="00F973C2" w:rsidP="001B3D1A">
            <w:pPr>
              <w:spacing w:after="0" w:line="276" w:lineRule="auto"/>
              <w:rPr>
                <w:rFonts w:cs="Arial"/>
                <w:sz w:val="16"/>
                <w:szCs w:val="16"/>
              </w:rPr>
            </w:pPr>
            <w:r w:rsidRPr="00EB4E92">
              <w:rPr>
                <w:rFonts w:cs="Arial"/>
                <w:sz w:val="16"/>
                <w:szCs w:val="16"/>
              </w:rPr>
              <w:t>Δημόσια κατανάλωση</w:t>
            </w:r>
          </w:p>
        </w:tc>
        <w:tc>
          <w:tcPr>
            <w:tcW w:w="933" w:type="dxa"/>
            <w:tcBorders>
              <w:top w:val="nil"/>
              <w:bottom w:val="nil"/>
            </w:tcBorders>
            <w:vAlign w:val="center"/>
          </w:tcPr>
          <w:p w14:paraId="7C9504ED" w14:textId="77777777" w:rsidR="00F973C2" w:rsidRPr="00EB4E92" w:rsidRDefault="00F973C2" w:rsidP="00674AA9">
            <w:pPr>
              <w:spacing w:after="0" w:line="276" w:lineRule="auto"/>
              <w:jc w:val="right"/>
              <w:rPr>
                <w:rFonts w:cs="Arial"/>
                <w:sz w:val="16"/>
                <w:szCs w:val="16"/>
              </w:rPr>
            </w:pPr>
            <w:r w:rsidRPr="00EB4E92">
              <w:rPr>
                <w:rFonts w:cs="Arial"/>
                <w:sz w:val="16"/>
                <w:szCs w:val="16"/>
              </w:rPr>
              <w:t>0,3</w:t>
            </w:r>
          </w:p>
        </w:tc>
        <w:tc>
          <w:tcPr>
            <w:tcW w:w="995" w:type="dxa"/>
            <w:tcBorders>
              <w:top w:val="nil"/>
              <w:bottom w:val="nil"/>
            </w:tcBorders>
            <w:vAlign w:val="center"/>
          </w:tcPr>
          <w:p w14:paraId="7BEAFA65" w14:textId="77777777" w:rsidR="00F973C2" w:rsidRPr="00EB4E92" w:rsidRDefault="00F973C2" w:rsidP="00674AA9">
            <w:pPr>
              <w:spacing w:after="0" w:line="276" w:lineRule="auto"/>
              <w:jc w:val="right"/>
              <w:rPr>
                <w:rFonts w:cs="Arial"/>
                <w:sz w:val="16"/>
                <w:szCs w:val="16"/>
              </w:rPr>
            </w:pPr>
            <w:r w:rsidRPr="00EB4E92">
              <w:rPr>
                <w:rFonts w:cs="Arial"/>
                <w:sz w:val="16"/>
                <w:szCs w:val="16"/>
              </w:rPr>
              <w:t>1,1</w:t>
            </w:r>
          </w:p>
        </w:tc>
        <w:tc>
          <w:tcPr>
            <w:tcW w:w="950" w:type="dxa"/>
            <w:tcBorders>
              <w:top w:val="nil"/>
              <w:bottom w:val="nil"/>
              <w:right w:val="single" w:sz="2" w:space="0" w:color="A6A6A6" w:themeColor="background1" w:themeShade="A6"/>
            </w:tcBorders>
            <w:vAlign w:val="center"/>
          </w:tcPr>
          <w:p w14:paraId="0094F01A" w14:textId="77777777" w:rsidR="00F973C2" w:rsidRPr="00EB4E92" w:rsidRDefault="00F973C2" w:rsidP="00674AA9">
            <w:pPr>
              <w:spacing w:after="0" w:line="276" w:lineRule="auto"/>
              <w:jc w:val="right"/>
              <w:rPr>
                <w:rFonts w:cs="Arial"/>
                <w:sz w:val="16"/>
                <w:szCs w:val="16"/>
              </w:rPr>
            </w:pPr>
            <w:r w:rsidRPr="00EB4E92">
              <w:rPr>
                <w:rFonts w:cs="Arial"/>
                <w:sz w:val="16"/>
                <w:szCs w:val="16"/>
              </w:rPr>
              <w:t>1,4</w:t>
            </w:r>
          </w:p>
        </w:tc>
      </w:tr>
      <w:tr w:rsidR="00F973C2" w:rsidRPr="00EB4E92" w14:paraId="77707AEE"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61D94C8B" w14:textId="77777777" w:rsidR="00F973C2" w:rsidRPr="00EB4E92" w:rsidRDefault="00F973C2" w:rsidP="001B3D1A">
            <w:pPr>
              <w:spacing w:after="0" w:line="276" w:lineRule="auto"/>
              <w:rPr>
                <w:rFonts w:cs="Arial"/>
                <w:sz w:val="16"/>
                <w:szCs w:val="16"/>
              </w:rPr>
            </w:pPr>
            <w:r w:rsidRPr="00EB4E92">
              <w:rPr>
                <w:rFonts w:cs="Arial"/>
                <w:sz w:val="16"/>
                <w:szCs w:val="16"/>
              </w:rPr>
              <w:t>Ακαθάριστος σχηματισμός παγίου κεφαλαίου</w:t>
            </w:r>
          </w:p>
        </w:tc>
        <w:tc>
          <w:tcPr>
            <w:tcW w:w="933" w:type="dxa"/>
            <w:tcBorders>
              <w:top w:val="nil"/>
              <w:bottom w:val="nil"/>
            </w:tcBorders>
            <w:vAlign w:val="center"/>
          </w:tcPr>
          <w:p w14:paraId="685A5486" w14:textId="77777777" w:rsidR="00F973C2" w:rsidRPr="00EB4E92" w:rsidRDefault="00F973C2" w:rsidP="00674AA9">
            <w:pPr>
              <w:spacing w:after="0" w:line="276" w:lineRule="auto"/>
              <w:jc w:val="right"/>
              <w:rPr>
                <w:rFonts w:cs="Arial"/>
                <w:sz w:val="16"/>
                <w:szCs w:val="16"/>
              </w:rPr>
            </w:pPr>
            <w:r w:rsidRPr="00EB4E92">
              <w:rPr>
                <w:rFonts w:cs="Arial"/>
                <w:sz w:val="16"/>
                <w:szCs w:val="16"/>
              </w:rPr>
              <w:t>8,9</w:t>
            </w:r>
          </w:p>
        </w:tc>
        <w:tc>
          <w:tcPr>
            <w:tcW w:w="995" w:type="dxa"/>
            <w:tcBorders>
              <w:top w:val="nil"/>
              <w:bottom w:val="nil"/>
            </w:tcBorders>
            <w:vAlign w:val="center"/>
          </w:tcPr>
          <w:p w14:paraId="6C698553" w14:textId="77777777" w:rsidR="00F973C2" w:rsidRPr="00EB4E92" w:rsidRDefault="00F973C2" w:rsidP="00674AA9">
            <w:pPr>
              <w:spacing w:after="0" w:line="276" w:lineRule="auto"/>
              <w:jc w:val="right"/>
              <w:rPr>
                <w:rFonts w:cs="Arial"/>
                <w:sz w:val="16"/>
                <w:szCs w:val="16"/>
              </w:rPr>
            </w:pPr>
            <w:r w:rsidRPr="00EB4E92">
              <w:rPr>
                <w:rFonts w:cs="Arial"/>
                <w:sz w:val="16"/>
                <w:szCs w:val="16"/>
              </w:rPr>
              <w:t>7,7</w:t>
            </w:r>
          </w:p>
        </w:tc>
        <w:tc>
          <w:tcPr>
            <w:tcW w:w="950" w:type="dxa"/>
            <w:tcBorders>
              <w:top w:val="nil"/>
              <w:bottom w:val="nil"/>
              <w:right w:val="single" w:sz="2" w:space="0" w:color="A6A6A6" w:themeColor="background1" w:themeShade="A6"/>
            </w:tcBorders>
            <w:vAlign w:val="center"/>
          </w:tcPr>
          <w:p w14:paraId="272CA988" w14:textId="77777777" w:rsidR="00F973C2" w:rsidRPr="00EB4E92" w:rsidRDefault="00F973C2" w:rsidP="00674AA9">
            <w:pPr>
              <w:spacing w:after="0" w:line="276" w:lineRule="auto"/>
              <w:jc w:val="right"/>
              <w:rPr>
                <w:rFonts w:cs="Arial"/>
                <w:sz w:val="16"/>
                <w:szCs w:val="16"/>
              </w:rPr>
            </w:pPr>
            <w:r w:rsidRPr="00EB4E92">
              <w:rPr>
                <w:rFonts w:cs="Arial"/>
                <w:sz w:val="16"/>
                <w:szCs w:val="16"/>
              </w:rPr>
              <w:t>7,9</w:t>
            </w:r>
          </w:p>
        </w:tc>
      </w:tr>
      <w:tr w:rsidR="00F973C2" w:rsidRPr="00EB4E92" w14:paraId="39326BEC"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3128E2F7" w14:textId="77777777" w:rsidR="00F973C2" w:rsidRPr="00EB4E92" w:rsidRDefault="00F973C2" w:rsidP="001B3D1A">
            <w:pPr>
              <w:spacing w:after="0" w:line="276" w:lineRule="auto"/>
              <w:rPr>
                <w:rFonts w:cs="Arial"/>
                <w:sz w:val="16"/>
                <w:szCs w:val="16"/>
              </w:rPr>
            </w:pPr>
            <w:r w:rsidRPr="00EB4E92">
              <w:rPr>
                <w:rFonts w:cs="Arial"/>
                <w:sz w:val="16"/>
                <w:szCs w:val="16"/>
              </w:rPr>
              <w:t>Εξαγωγές αγαθών και υπηρεσιών</w:t>
            </w:r>
          </w:p>
        </w:tc>
        <w:tc>
          <w:tcPr>
            <w:tcW w:w="933" w:type="dxa"/>
            <w:tcBorders>
              <w:top w:val="nil"/>
              <w:bottom w:val="nil"/>
            </w:tcBorders>
            <w:vAlign w:val="center"/>
          </w:tcPr>
          <w:p w14:paraId="0897E3CB" w14:textId="77777777" w:rsidR="00F973C2" w:rsidRPr="00EB4E92" w:rsidRDefault="00F973C2" w:rsidP="00674AA9">
            <w:pPr>
              <w:spacing w:after="0" w:line="276" w:lineRule="auto"/>
              <w:jc w:val="right"/>
              <w:rPr>
                <w:rFonts w:cs="Arial"/>
                <w:sz w:val="16"/>
                <w:szCs w:val="16"/>
              </w:rPr>
            </w:pPr>
            <w:r w:rsidRPr="00EB4E92">
              <w:rPr>
                <w:rFonts w:cs="Arial"/>
                <w:sz w:val="16"/>
                <w:szCs w:val="16"/>
              </w:rPr>
              <w:t>1,7</w:t>
            </w:r>
          </w:p>
        </w:tc>
        <w:tc>
          <w:tcPr>
            <w:tcW w:w="995" w:type="dxa"/>
            <w:tcBorders>
              <w:top w:val="nil"/>
              <w:bottom w:val="nil"/>
            </w:tcBorders>
            <w:vAlign w:val="center"/>
          </w:tcPr>
          <w:p w14:paraId="460A8FDA" w14:textId="77777777" w:rsidR="00F973C2" w:rsidRPr="00EB4E92" w:rsidRDefault="00F973C2" w:rsidP="00674AA9">
            <w:pPr>
              <w:spacing w:after="0" w:line="276" w:lineRule="auto"/>
              <w:jc w:val="right"/>
              <w:rPr>
                <w:rFonts w:cs="Arial"/>
                <w:sz w:val="16"/>
                <w:szCs w:val="16"/>
              </w:rPr>
            </w:pPr>
            <w:r w:rsidRPr="00EB4E92">
              <w:rPr>
                <w:rFonts w:cs="Arial"/>
                <w:sz w:val="16"/>
                <w:szCs w:val="16"/>
              </w:rPr>
              <w:t>2,9</w:t>
            </w:r>
          </w:p>
        </w:tc>
        <w:tc>
          <w:tcPr>
            <w:tcW w:w="950" w:type="dxa"/>
            <w:tcBorders>
              <w:top w:val="nil"/>
              <w:bottom w:val="nil"/>
              <w:right w:val="single" w:sz="2" w:space="0" w:color="A6A6A6" w:themeColor="background1" w:themeShade="A6"/>
            </w:tcBorders>
            <w:vAlign w:val="center"/>
          </w:tcPr>
          <w:p w14:paraId="1E3D8560" w14:textId="77777777" w:rsidR="00F973C2" w:rsidRPr="00EB4E92" w:rsidRDefault="00F973C2" w:rsidP="00674AA9">
            <w:pPr>
              <w:spacing w:after="0" w:line="276" w:lineRule="auto"/>
              <w:jc w:val="right"/>
              <w:rPr>
                <w:rFonts w:cs="Arial"/>
                <w:sz w:val="16"/>
                <w:szCs w:val="16"/>
              </w:rPr>
            </w:pPr>
            <w:r w:rsidRPr="00EB4E92">
              <w:rPr>
                <w:rFonts w:cs="Arial"/>
                <w:sz w:val="16"/>
                <w:szCs w:val="16"/>
              </w:rPr>
              <w:t>3,1</w:t>
            </w:r>
          </w:p>
        </w:tc>
      </w:tr>
      <w:tr w:rsidR="00F973C2" w:rsidRPr="00EB4E92" w14:paraId="2E75AC9F"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5E63117A" w14:textId="77777777" w:rsidR="00F973C2" w:rsidRPr="00EB4E92" w:rsidRDefault="00F973C2" w:rsidP="001B3D1A">
            <w:pPr>
              <w:spacing w:after="0" w:line="276" w:lineRule="auto"/>
              <w:rPr>
                <w:rFonts w:cs="Arial"/>
                <w:sz w:val="16"/>
                <w:szCs w:val="16"/>
              </w:rPr>
            </w:pPr>
            <w:r w:rsidRPr="00EB4E92">
              <w:rPr>
                <w:rFonts w:cs="Arial"/>
                <w:sz w:val="16"/>
                <w:szCs w:val="16"/>
              </w:rPr>
              <w:t>Εισαγωγές αγαθών και υπηρεσιών</w:t>
            </w:r>
          </w:p>
        </w:tc>
        <w:tc>
          <w:tcPr>
            <w:tcW w:w="933" w:type="dxa"/>
            <w:tcBorders>
              <w:top w:val="nil"/>
              <w:bottom w:val="nil"/>
            </w:tcBorders>
            <w:vAlign w:val="center"/>
          </w:tcPr>
          <w:p w14:paraId="19A25FDF" w14:textId="77777777" w:rsidR="00F973C2" w:rsidRPr="00EB4E92" w:rsidRDefault="00F973C2" w:rsidP="00674AA9">
            <w:pPr>
              <w:spacing w:after="0" w:line="276" w:lineRule="auto"/>
              <w:jc w:val="right"/>
              <w:rPr>
                <w:rFonts w:cs="Arial"/>
                <w:sz w:val="16"/>
                <w:szCs w:val="16"/>
              </w:rPr>
            </w:pPr>
            <w:r w:rsidRPr="00EB4E92">
              <w:rPr>
                <w:rFonts w:cs="Arial"/>
                <w:sz w:val="16"/>
                <w:szCs w:val="16"/>
              </w:rPr>
              <w:t>-1,3</w:t>
            </w:r>
          </w:p>
        </w:tc>
        <w:tc>
          <w:tcPr>
            <w:tcW w:w="995" w:type="dxa"/>
            <w:tcBorders>
              <w:top w:val="nil"/>
              <w:bottom w:val="nil"/>
            </w:tcBorders>
            <w:vAlign w:val="center"/>
          </w:tcPr>
          <w:p w14:paraId="0544ACBB" w14:textId="77777777" w:rsidR="00F973C2" w:rsidRPr="00EB4E92" w:rsidRDefault="00F973C2" w:rsidP="00674AA9">
            <w:pPr>
              <w:spacing w:after="0" w:line="276" w:lineRule="auto"/>
              <w:jc w:val="right"/>
              <w:rPr>
                <w:rFonts w:cs="Arial"/>
                <w:sz w:val="16"/>
                <w:szCs w:val="16"/>
              </w:rPr>
            </w:pPr>
            <w:r w:rsidRPr="00EB4E92">
              <w:rPr>
                <w:rFonts w:cs="Arial"/>
                <w:sz w:val="16"/>
                <w:szCs w:val="16"/>
              </w:rPr>
              <w:t>4,4</w:t>
            </w:r>
          </w:p>
        </w:tc>
        <w:tc>
          <w:tcPr>
            <w:tcW w:w="950" w:type="dxa"/>
            <w:tcBorders>
              <w:top w:val="nil"/>
              <w:bottom w:val="nil"/>
              <w:right w:val="single" w:sz="2" w:space="0" w:color="A6A6A6" w:themeColor="background1" w:themeShade="A6"/>
            </w:tcBorders>
            <w:vAlign w:val="center"/>
          </w:tcPr>
          <w:p w14:paraId="36A336AF" w14:textId="77777777" w:rsidR="00F973C2" w:rsidRPr="00EB4E92" w:rsidRDefault="00F973C2" w:rsidP="00674AA9">
            <w:pPr>
              <w:spacing w:after="0" w:line="276" w:lineRule="auto"/>
              <w:jc w:val="right"/>
              <w:rPr>
                <w:rFonts w:cs="Arial"/>
                <w:sz w:val="16"/>
                <w:szCs w:val="16"/>
              </w:rPr>
            </w:pPr>
            <w:r w:rsidRPr="00EB4E92">
              <w:rPr>
                <w:rFonts w:cs="Arial"/>
                <w:sz w:val="16"/>
                <w:szCs w:val="16"/>
              </w:rPr>
              <w:t>4,0</w:t>
            </w:r>
          </w:p>
        </w:tc>
      </w:tr>
      <w:tr w:rsidR="00F973C2" w:rsidRPr="00EB4E92" w14:paraId="235CBC05"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736C0974" w14:textId="77777777" w:rsidR="00F973C2" w:rsidRPr="00EB4E92" w:rsidRDefault="00F973C2" w:rsidP="001B3D1A">
            <w:pPr>
              <w:spacing w:after="0" w:line="276" w:lineRule="auto"/>
              <w:rPr>
                <w:rFonts w:cs="Arial"/>
                <w:sz w:val="16"/>
                <w:szCs w:val="16"/>
              </w:rPr>
            </w:pPr>
            <w:r w:rsidRPr="00EB4E92">
              <w:rPr>
                <w:rFonts w:cs="Arial"/>
                <w:sz w:val="16"/>
                <w:szCs w:val="16"/>
              </w:rPr>
              <w:t>Αποπληθωριστής ΑΕΠ</w:t>
            </w:r>
          </w:p>
        </w:tc>
        <w:tc>
          <w:tcPr>
            <w:tcW w:w="933" w:type="dxa"/>
            <w:tcBorders>
              <w:top w:val="nil"/>
              <w:bottom w:val="nil"/>
            </w:tcBorders>
            <w:vAlign w:val="center"/>
          </w:tcPr>
          <w:p w14:paraId="12B3A21A" w14:textId="77777777" w:rsidR="00F973C2" w:rsidRPr="00EB4E92" w:rsidRDefault="00F973C2" w:rsidP="00674AA9">
            <w:pPr>
              <w:spacing w:after="0" w:line="276" w:lineRule="auto"/>
              <w:jc w:val="right"/>
              <w:rPr>
                <w:rFonts w:cs="Arial"/>
                <w:sz w:val="16"/>
                <w:szCs w:val="16"/>
              </w:rPr>
            </w:pPr>
            <w:r w:rsidRPr="00EB4E92">
              <w:rPr>
                <w:rFonts w:cs="Arial"/>
                <w:sz w:val="16"/>
                <w:szCs w:val="16"/>
              </w:rPr>
              <w:t>2,8</w:t>
            </w:r>
          </w:p>
        </w:tc>
        <w:tc>
          <w:tcPr>
            <w:tcW w:w="995" w:type="dxa"/>
            <w:tcBorders>
              <w:top w:val="nil"/>
              <w:bottom w:val="nil"/>
            </w:tcBorders>
            <w:vAlign w:val="center"/>
          </w:tcPr>
          <w:p w14:paraId="105E75C6" w14:textId="77777777" w:rsidR="00F973C2" w:rsidRPr="00EB4E92" w:rsidRDefault="00F973C2" w:rsidP="00674AA9">
            <w:pPr>
              <w:spacing w:after="0" w:line="276" w:lineRule="auto"/>
              <w:jc w:val="right"/>
              <w:rPr>
                <w:rFonts w:cs="Arial"/>
                <w:sz w:val="16"/>
                <w:szCs w:val="16"/>
              </w:rPr>
            </w:pPr>
            <w:r w:rsidRPr="00EB4E92">
              <w:rPr>
                <w:rFonts w:cs="Arial"/>
                <w:sz w:val="16"/>
                <w:szCs w:val="16"/>
              </w:rPr>
              <w:t>3,5</w:t>
            </w:r>
          </w:p>
        </w:tc>
        <w:tc>
          <w:tcPr>
            <w:tcW w:w="950" w:type="dxa"/>
            <w:tcBorders>
              <w:top w:val="nil"/>
              <w:bottom w:val="nil"/>
              <w:right w:val="single" w:sz="2" w:space="0" w:color="A6A6A6" w:themeColor="background1" w:themeShade="A6"/>
            </w:tcBorders>
            <w:vAlign w:val="center"/>
          </w:tcPr>
          <w:p w14:paraId="12D8D47F" w14:textId="77777777" w:rsidR="00F973C2" w:rsidRPr="00EB4E92" w:rsidRDefault="00F973C2" w:rsidP="00674AA9">
            <w:pPr>
              <w:spacing w:after="0" w:line="276" w:lineRule="auto"/>
              <w:jc w:val="right"/>
              <w:rPr>
                <w:rFonts w:cs="Arial"/>
                <w:sz w:val="16"/>
                <w:szCs w:val="16"/>
              </w:rPr>
            </w:pPr>
            <w:r w:rsidRPr="00EB4E92">
              <w:rPr>
                <w:rFonts w:cs="Arial"/>
                <w:sz w:val="16"/>
                <w:szCs w:val="16"/>
              </w:rPr>
              <w:t>2,4</w:t>
            </w:r>
          </w:p>
        </w:tc>
      </w:tr>
      <w:tr w:rsidR="00F973C2" w:rsidRPr="00EB4E92" w14:paraId="3D7A19D8"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37A5C1EA" w14:textId="77777777" w:rsidR="00F973C2" w:rsidRPr="00EB4E92" w:rsidRDefault="00F973C2" w:rsidP="001B3D1A">
            <w:pPr>
              <w:spacing w:after="0" w:line="276" w:lineRule="auto"/>
              <w:rPr>
                <w:rFonts w:cs="Arial"/>
                <w:sz w:val="16"/>
                <w:szCs w:val="16"/>
              </w:rPr>
            </w:pPr>
            <w:r w:rsidRPr="00EB4E92">
              <w:rPr>
                <w:rFonts w:cs="Arial"/>
                <w:sz w:val="16"/>
                <w:szCs w:val="16"/>
              </w:rPr>
              <w:t>Εναρμονισμένος Δείκτης Τιμών Καταναλωτή</w:t>
            </w:r>
          </w:p>
        </w:tc>
        <w:tc>
          <w:tcPr>
            <w:tcW w:w="933" w:type="dxa"/>
            <w:tcBorders>
              <w:top w:val="nil"/>
              <w:bottom w:val="nil"/>
            </w:tcBorders>
            <w:vAlign w:val="center"/>
          </w:tcPr>
          <w:p w14:paraId="6D0D0D64" w14:textId="77777777" w:rsidR="00F973C2" w:rsidRPr="00EB4E92" w:rsidRDefault="00F973C2" w:rsidP="00674AA9">
            <w:pPr>
              <w:spacing w:after="0" w:line="276" w:lineRule="auto"/>
              <w:jc w:val="right"/>
              <w:rPr>
                <w:rFonts w:cs="Arial"/>
                <w:sz w:val="16"/>
                <w:szCs w:val="16"/>
              </w:rPr>
            </w:pPr>
            <w:r w:rsidRPr="00EB4E92">
              <w:rPr>
                <w:rFonts w:cs="Arial"/>
                <w:sz w:val="16"/>
                <w:szCs w:val="16"/>
              </w:rPr>
              <w:t>2,9</w:t>
            </w:r>
          </w:p>
        </w:tc>
        <w:tc>
          <w:tcPr>
            <w:tcW w:w="995" w:type="dxa"/>
            <w:tcBorders>
              <w:top w:val="nil"/>
              <w:bottom w:val="nil"/>
            </w:tcBorders>
            <w:vAlign w:val="center"/>
          </w:tcPr>
          <w:p w14:paraId="28C797EF" w14:textId="77777777" w:rsidR="00F973C2" w:rsidRPr="00EB4E92" w:rsidRDefault="00F973C2" w:rsidP="00674AA9">
            <w:pPr>
              <w:spacing w:after="0" w:line="276" w:lineRule="auto"/>
              <w:jc w:val="right"/>
              <w:rPr>
                <w:rFonts w:cs="Arial"/>
                <w:sz w:val="16"/>
                <w:szCs w:val="16"/>
              </w:rPr>
            </w:pPr>
            <w:r w:rsidRPr="00EB4E92">
              <w:rPr>
                <w:rFonts w:cs="Arial"/>
                <w:sz w:val="16"/>
                <w:szCs w:val="16"/>
              </w:rPr>
              <w:t>3,6</w:t>
            </w:r>
          </w:p>
        </w:tc>
        <w:tc>
          <w:tcPr>
            <w:tcW w:w="950" w:type="dxa"/>
            <w:tcBorders>
              <w:top w:val="nil"/>
              <w:bottom w:val="nil"/>
              <w:right w:val="single" w:sz="2" w:space="0" w:color="A6A6A6" w:themeColor="background1" w:themeShade="A6"/>
            </w:tcBorders>
            <w:vAlign w:val="center"/>
          </w:tcPr>
          <w:p w14:paraId="0C1C872A" w14:textId="77777777" w:rsidR="00F973C2" w:rsidRPr="00EB4E92" w:rsidRDefault="00F973C2" w:rsidP="00674AA9">
            <w:pPr>
              <w:spacing w:after="0" w:line="276" w:lineRule="auto"/>
              <w:jc w:val="right"/>
              <w:rPr>
                <w:rFonts w:cs="Arial"/>
                <w:sz w:val="16"/>
                <w:szCs w:val="16"/>
              </w:rPr>
            </w:pPr>
            <w:r w:rsidRPr="00EB4E92">
              <w:rPr>
                <w:rFonts w:cs="Arial"/>
                <w:sz w:val="16"/>
                <w:szCs w:val="16"/>
              </w:rPr>
              <w:t>2,4</w:t>
            </w:r>
          </w:p>
        </w:tc>
      </w:tr>
      <w:tr w:rsidR="00F973C2" w:rsidRPr="00EB4E92" w14:paraId="0E273917"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103E472B" w14:textId="77777777" w:rsidR="00F973C2" w:rsidRPr="00EB4E92" w:rsidRDefault="00F973C2" w:rsidP="001B3D1A">
            <w:pPr>
              <w:spacing w:after="0" w:line="276" w:lineRule="auto"/>
              <w:rPr>
                <w:rFonts w:cs="Arial"/>
                <w:sz w:val="16"/>
                <w:szCs w:val="16"/>
              </w:rPr>
            </w:pPr>
            <w:r w:rsidRPr="00EB4E92">
              <w:rPr>
                <w:rFonts w:cs="Arial"/>
                <w:sz w:val="16"/>
                <w:szCs w:val="16"/>
              </w:rPr>
              <w:t>Δείκτης Τιμών Καταναλωτή</w:t>
            </w:r>
          </w:p>
        </w:tc>
        <w:tc>
          <w:tcPr>
            <w:tcW w:w="933" w:type="dxa"/>
            <w:tcBorders>
              <w:top w:val="nil"/>
              <w:bottom w:val="nil"/>
            </w:tcBorders>
            <w:vAlign w:val="center"/>
          </w:tcPr>
          <w:p w14:paraId="403CEBFA" w14:textId="77777777" w:rsidR="00F973C2" w:rsidRPr="00EB4E92" w:rsidRDefault="00F973C2" w:rsidP="00674AA9">
            <w:pPr>
              <w:spacing w:after="0" w:line="276" w:lineRule="auto"/>
              <w:jc w:val="right"/>
              <w:rPr>
                <w:rFonts w:cs="Arial"/>
                <w:sz w:val="16"/>
                <w:szCs w:val="16"/>
              </w:rPr>
            </w:pPr>
            <w:r w:rsidRPr="00EB4E92">
              <w:rPr>
                <w:rFonts w:cs="Arial"/>
                <w:sz w:val="16"/>
                <w:szCs w:val="16"/>
              </w:rPr>
              <w:t>2,6</w:t>
            </w:r>
          </w:p>
        </w:tc>
        <w:tc>
          <w:tcPr>
            <w:tcW w:w="995" w:type="dxa"/>
            <w:tcBorders>
              <w:top w:val="nil"/>
              <w:bottom w:val="nil"/>
            </w:tcBorders>
            <w:vAlign w:val="center"/>
          </w:tcPr>
          <w:p w14:paraId="7C35A7DD" w14:textId="77777777" w:rsidR="00F973C2" w:rsidRPr="00EB4E92" w:rsidRDefault="00F973C2" w:rsidP="00674AA9">
            <w:pPr>
              <w:spacing w:after="0" w:line="276" w:lineRule="auto"/>
              <w:jc w:val="right"/>
              <w:rPr>
                <w:rFonts w:cs="Arial"/>
                <w:sz w:val="16"/>
                <w:szCs w:val="16"/>
              </w:rPr>
            </w:pPr>
            <w:r w:rsidRPr="00EB4E92">
              <w:rPr>
                <w:rFonts w:cs="Arial"/>
                <w:sz w:val="16"/>
                <w:szCs w:val="16"/>
              </w:rPr>
              <w:t>3,8</w:t>
            </w:r>
          </w:p>
        </w:tc>
        <w:tc>
          <w:tcPr>
            <w:tcW w:w="950" w:type="dxa"/>
            <w:tcBorders>
              <w:top w:val="nil"/>
              <w:bottom w:val="nil"/>
              <w:right w:val="single" w:sz="2" w:space="0" w:color="A6A6A6" w:themeColor="background1" w:themeShade="A6"/>
            </w:tcBorders>
            <w:vAlign w:val="center"/>
          </w:tcPr>
          <w:p w14:paraId="3175C584" w14:textId="77777777" w:rsidR="00F973C2" w:rsidRPr="00EB4E92" w:rsidRDefault="00F973C2" w:rsidP="00674AA9">
            <w:pPr>
              <w:spacing w:after="0" w:line="276" w:lineRule="auto"/>
              <w:jc w:val="right"/>
              <w:rPr>
                <w:rFonts w:cs="Arial"/>
                <w:sz w:val="16"/>
                <w:szCs w:val="16"/>
              </w:rPr>
            </w:pPr>
            <w:r w:rsidRPr="00EB4E92">
              <w:rPr>
                <w:rFonts w:cs="Arial"/>
                <w:sz w:val="16"/>
                <w:szCs w:val="16"/>
              </w:rPr>
              <w:t>2,6</w:t>
            </w:r>
          </w:p>
        </w:tc>
      </w:tr>
      <w:tr w:rsidR="00F973C2" w:rsidRPr="00EB4E92" w14:paraId="137B0315"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11C5DC8F" w14:textId="1C47B528" w:rsidR="00F973C2" w:rsidRPr="00EB4E92" w:rsidRDefault="00F973C2" w:rsidP="001B3D1A">
            <w:pPr>
              <w:spacing w:after="0" w:line="276" w:lineRule="auto"/>
              <w:rPr>
                <w:rFonts w:cs="Arial"/>
                <w:sz w:val="16"/>
                <w:szCs w:val="16"/>
              </w:rPr>
            </w:pPr>
            <w:r w:rsidRPr="00EB4E92">
              <w:rPr>
                <w:rFonts w:cs="Arial"/>
                <w:sz w:val="16"/>
                <w:szCs w:val="16"/>
              </w:rPr>
              <w:t>Απασχόληση</w:t>
            </w:r>
            <w:r w:rsidR="008C5921" w:rsidRPr="008C5921">
              <w:rPr>
                <w:rFonts w:cs="Arial"/>
                <w:sz w:val="16"/>
                <w:szCs w:val="16"/>
                <w:vertAlign w:val="superscript"/>
              </w:rPr>
              <w:t>1</w:t>
            </w:r>
          </w:p>
        </w:tc>
        <w:tc>
          <w:tcPr>
            <w:tcW w:w="933" w:type="dxa"/>
            <w:tcBorders>
              <w:top w:val="nil"/>
              <w:bottom w:val="nil"/>
            </w:tcBorders>
            <w:vAlign w:val="center"/>
          </w:tcPr>
          <w:p w14:paraId="6EAB0C13" w14:textId="77777777" w:rsidR="00F973C2" w:rsidRPr="00EB4E92" w:rsidRDefault="00F973C2" w:rsidP="00674AA9">
            <w:pPr>
              <w:spacing w:after="0" w:line="276" w:lineRule="auto"/>
              <w:jc w:val="right"/>
              <w:rPr>
                <w:rFonts w:cs="Arial"/>
                <w:sz w:val="16"/>
                <w:szCs w:val="16"/>
              </w:rPr>
            </w:pPr>
            <w:r w:rsidRPr="00EB4E92">
              <w:rPr>
                <w:rFonts w:cs="Arial"/>
                <w:sz w:val="16"/>
                <w:szCs w:val="16"/>
              </w:rPr>
              <w:t>0,8</w:t>
            </w:r>
          </w:p>
        </w:tc>
        <w:tc>
          <w:tcPr>
            <w:tcW w:w="995" w:type="dxa"/>
            <w:tcBorders>
              <w:top w:val="nil"/>
              <w:bottom w:val="nil"/>
            </w:tcBorders>
            <w:vAlign w:val="center"/>
          </w:tcPr>
          <w:p w14:paraId="32FB2299" w14:textId="77777777" w:rsidR="00F973C2" w:rsidRPr="00EB4E92" w:rsidRDefault="00F973C2" w:rsidP="00674AA9">
            <w:pPr>
              <w:spacing w:after="0" w:line="276" w:lineRule="auto"/>
              <w:jc w:val="right"/>
              <w:rPr>
                <w:rFonts w:cs="Arial"/>
                <w:sz w:val="16"/>
                <w:szCs w:val="16"/>
              </w:rPr>
            </w:pPr>
            <w:r w:rsidRPr="00EB4E92">
              <w:rPr>
                <w:rFonts w:cs="Arial"/>
                <w:sz w:val="16"/>
                <w:szCs w:val="16"/>
              </w:rPr>
              <w:t>0,4</w:t>
            </w:r>
          </w:p>
        </w:tc>
        <w:tc>
          <w:tcPr>
            <w:tcW w:w="950" w:type="dxa"/>
            <w:tcBorders>
              <w:top w:val="nil"/>
              <w:bottom w:val="nil"/>
              <w:right w:val="single" w:sz="2" w:space="0" w:color="A6A6A6" w:themeColor="background1" w:themeShade="A6"/>
            </w:tcBorders>
            <w:vAlign w:val="center"/>
          </w:tcPr>
          <w:p w14:paraId="676B1E6C" w14:textId="77777777" w:rsidR="00F973C2" w:rsidRPr="00EB4E92" w:rsidRDefault="00F973C2" w:rsidP="00674AA9">
            <w:pPr>
              <w:spacing w:after="0" w:line="276" w:lineRule="auto"/>
              <w:jc w:val="right"/>
              <w:rPr>
                <w:rFonts w:cs="Arial"/>
                <w:sz w:val="16"/>
                <w:szCs w:val="16"/>
              </w:rPr>
            </w:pPr>
            <w:r w:rsidRPr="00EB4E92">
              <w:rPr>
                <w:rFonts w:cs="Arial"/>
                <w:sz w:val="16"/>
                <w:szCs w:val="16"/>
              </w:rPr>
              <w:t>0,4</w:t>
            </w:r>
          </w:p>
        </w:tc>
      </w:tr>
      <w:tr w:rsidR="00F973C2" w:rsidRPr="00EB4E92" w14:paraId="024F059E"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7131FB0B" w14:textId="68B31411" w:rsidR="00F973C2" w:rsidRPr="00EB4E92" w:rsidRDefault="00F973C2" w:rsidP="001B3D1A">
            <w:pPr>
              <w:spacing w:after="0" w:line="276" w:lineRule="auto"/>
              <w:rPr>
                <w:rFonts w:cs="Arial"/>
                <w:sz w:val="16"/>
                <w:szCs w:val="16"/>
              </w:rPr>
            </w:pPr>
            <w:r w:rsidRPr="00EB4E92">
              <w:rPr>
                <w:rFonts w:cs="Arial"/>
                <w:sz w:val="16"/>
                <w:szCs w:val="16"/>
              </w:rPr>
              <w:t>Ποσοστό ανεργίας</w:t>
            </w:r>
            <w:r w:rsidR="008C5921" w:rsidRPr="008C5921">
              <w:rPr>
                <w:rFonts w:cs="Arial"/>
                <w:sz w:val="16"/>
                <w:szCs w:val="16"/>
                <w:vertAlign w:val="superscript"/>
              </w:rPr>
              <w:t>1</w:t>
            </w:r>
          </w:p>
        </w:tc>
        <w:tc>
          <w:tcPr>
            <w:tcW w:w="933" w:type="dxa"/>
            <w:tcBorders>
              <w:top w:val="nil"/>
              <w:bottom w:val="nil"/>
            </w:tcBorders>
            <w:vAlign w:val="center"/>
          </w:tcPr>
          <w:p w14:paraId="2578BA9A" w14:textId="77777777" w:rsidR="00F973C2" w:rsidRPr="00EB4E92" w:rsidRDefault="00F973C2" w:rsidP="00674AA9">
            <w:pPr>
              <w:spacing w:after="0" w:line="276" w:lineRule="auto"/>
              <w:jc w:val="right"/>
              <w:rPr>
                <w:rFonts w:cs="Arial"/>
                <w:sz w:val="16"/>
                <w:szCs w:val="16"/>
              </w:rPr>
            </w:pPr>
            <w:r w:rsidRPr="00EB4E92">
              <w:rPr>
                <w:rFonts w:cs="Arial"/>
                <w:sz w:val="16"/>
                <w:szCs w:val="16"/>
              </w:rPr>
              <w:t>7,5</w:t>
            </w:r>
          </w:p>
        </w:tc>
        <w:tc>
          <w:tcPr>
            <w:tcW w:w="995" w:type="dxa"/>
            <w:tcBorders>
              <w:top w:val="nil"/>
              <w:bottom w:val="nil"/>
            </w:tcBorders>
            <w:vAlign w:val="center"/>
          </w:tcPr>
          <w:p w14:paraId="239B651D" w14:textId="77777777" w:rsidR="00F973C2" w:rsidRPr="00EB4E92" w:rsidRDefault="00F973C2" w:rsidP="00674AA9">
            <w:pPr>
              <w:spacing w:after="0" w:line="276" w:lineRule="auto"/>
              <w:jc w:val="right"/>
              <w:rPr>
                <w:rFonts w:cs="Arial"/>
                <w:sz w:val="16"/>
                <w:szCs w:val="16"/>
              </w:rPr>
            </w:pPr>
            <w:r w:rsidRPr="00EB4E92">
              <w:rPr>
                <w:rFonts w:cs="Arial"/>
                <w:sz w:val="16"/>
                <w:szCs w:val="16"/>
              </w:rPr>
              <w:t>7,1</w:t>
            </w:r>
          </w:p>
        </w:tc>
        <w:tc>
          <w:tcPr>
            <w:tcW w:w="950" w:type="dxa"/>
            <w:tcBorders>
              <w:top w:val="nil"/>
              <w:bottom w:val="nil"/>
              <w:right w:val="single" w:sz="2" w:space="0" w:color="A6A6A6" w:themeColor="background1" w:themeShade="A6"/>
            </w:tcBorders>
            <w:vAlign w:val="center"/>
          </w:tcPr>
          <w:p w14:paraId="1B82C1BC" w14:textId="77777777" w:rsidR="00F973C2" w:rsidRPr="00EB4E92" w:rsidRDefault="00F973C2" w:rsidP="00674AA9">
            <w:pPr>
              <w:spacing w:after="0" w:line="276" w:lineRule="auto"/>
              <w:jc w:val="right"/>
              <w:rPr>
                <w:rFonts w:cs="Arial"/>
                <w:sz w:val="16"/>
                <w:szCs w:val="16"/>
              </w:rPr>
            </w:pPr>
            <w:r w:rsidRPr="00EB4E92">
              <w:rPr>
                <w:rFonts w:cs="Arial"/>
                <w:sz w:val="16"/>
                <w:szCs w:val="16"/>
              </w:rPr>
              <w:t>6,7</w:t>
            </w:r>
          </w:p>
        </w:tc>
      </w:tr>
      <w:tr w:rsidR="00F973C2" w:rsidRPr="00EB4E92" w14:paraId="344533B4" w14:textId="77777777" w:rsidTr="007E5D2B">
        <w:trPr>
          <w:cantSplit/>
          <w:trHeight w:val="283"/>
          <w:jc w:val="center"/>
        </w:trPr>
        <w:tc>
          <w:tcPr>
            <w:tcW w:w="4892" w:type="dxa"/>
            <w:tcBorders>
              <w:top w:val="nil"/>
              <w:left w:val="single" w:sz="2" w:space="0" w:color="A6A6A6" w:themeColor="background1" w:themeShade="A6"/>
              <w:bottom w:val="single" w:sz="2" w:space="0" w:color="A6A6A6" w:themeColor="background1" w:themeShade="A6"/>
            </w:tcBorders>
            <w:vAlign w:val="center"/>
          </w:tcPr>
          <w:p w14:paraId="2C973A58" w14:textId="77777777" w:rsidR="00F973C2" w:rsidRPr="00EB4E92" w:rsidRDefault="00F973C2" w:rsidP="001B3D1A">
            <w:pPr>
              <w:spacing w:after="0" w:line="276" w:lineRule="auto"/>
              <w:rPr>
                <w:rFonts w:cs="Arial"/>
                <w:sz w:val="16"/>
                <w:szCs w:val="16"/>
              </w:rPr>
            </w:pPr>
            <w:r w:rsidRPr="00EB4E92">
              <w:rPr>
                <w:rFonts w:cs="Arial"/>
                <w:sz w:val="16"/>
                <w:szCs w:val="16"/>
              </w:rPr>
              <w:t>Ποσοστό ανεργίας (Έρευνα Εργατικού Δυναμικού)</w:t>
            </w:r>
          </w:p>
        </w:tc>
        <w:tc>
          <w:tcPr>
            <w:tcW w:w="933" w:type="dxa"/>
            <w:tcBorders>
              <w:top w:val="nil"/>
              <w:bottom w:val="single" w:sz="2" w:space="0" w:color="A6A6A6" w:themeColor="background1" w:themeShade="A6"/>
            </w:tcBorders>
            <w:vAlign w:val="center"/>
          </w:tcPr>
          <w:p w14:paraId="40A60170" w14:textId="77777777" w:rsidR="00F973C2" w:rsidRPr="00EB4E92" w:rsidRDefault="00F973C2" w:rsidP="00674AA9">
            <w:pPr>
              <w:spacing w:after="0" w:line="276" w:lineRule="auto"/>
              <w:jc w:val="right"/>
              <w:rPr>
                <w:rFonts w:cs="Arial"/>
                <w:sz w:val="16"/>
                <w:szCs w:val="16"/>
              </w:rPr>
            </w:pPr>
            <w:r w:rsidRPr="00EB4E92">
              <w:rPr>
                <w:rFonts w:cs="Arial"/>
                <w:sz w:val="16"/>
                <w:szCs w:val="16"/>
              </w:rPr>
              <w:t>8,9</w:t>
            </w:r>
          </w:p>
        </w:tc>
        <w:tc>
          <w:tcPr>
            <w:tcW w:w="995" w:type="dxa"/>
            <w:tcBorders>
              <w:top w:val="nil"/>
              <w:bottom w:val="single" w:sz="2" w:space="0" w:color="A6A6A6" w:themeColor="background1" w:themeShade="A6"/>
            </w:tcBorders>
            <w:vAlign w:val="center"/>
          </w:tcPr>
          <w:p w14:paraId="3B91EA66" w14:textId="77777777" w:rsidR="00F973C2" w:rsidRPr="00EB4E92" w:rsidRDefault="00F973C2" w:rsidP="00674AA9">
            <w:pPr>
              <w:spacing w:after="0" w:line="276" w:lineRule="auto"/>
              <w:jc w:val="right"/>
              <w:rPr>
                <w:rFonts w:cs="Arial"/>
                <w:sz w:val="16"/>
                <w:szCs w:val="16"/>
              </w:rPr>
            </w:pPr>
            <w:r w:rsidRPr="00EB4E92">
              <w:rPr>
                <w:rFonts w:cs="Arial"/>
                <w:sz w:val="16"/>
                <w:szCs w:val="16"/>
              </w:rPr>
              <w:t>8,4</w:t>
            </w:r>
          </w:p>
        </w:tc>
        <w:tc>
          <w:tcPr>
            <w:tcW w:w="950" w:type="dxa"/>
            <w:tcBorders>
              <w:top w:val="nil"/>
              <w:bottom w:val="single" w:sz="2" w:space="0" w:color="A6A6A6" w:themeColor="background1" w:themeShade="A6"/>
              <w:right w:val="single" w:sz="2" w:space="0" w:color="A6A6A6" w:themeColor="background1" w:themeShade="A6"/>
            </w:tcBorders>
            <w:vAlign w:val="center"/>
          </w:tcPr>
          <w:p w14:paraId="67DA142F" w14:textId="77777777" w:rsidR="00F973C2" w:rsidRPr="00EB4E92" w:rsidRDefault="00F973C2" w:rsidP="00674AA9">
            <w:pPr>
              <w:spacing w:after="0" w:line="276" w:lineRule="auto"/>
              <w:jc w:val="right"/>
              <w:rPr>
                <w:rFonts w:cs="Arial"/>
                <w:sz w:val="16"/>
                <w:szCs w:val="16"/>
              </w:rPr>
            </w:pPr>
            <w:r w:rsidRPr="00EB4E92">
              <w:rPr>
                <w:rFonts w:cs="Arial"/>
                <w:sz w:val="16"/>
                <w:szCs w:val="16"/>
              </w:rPr>
              <w:t>7,9</w:t>
            </w:r>
          </w:p>
        </w:tc>
      </w:tr>
      <w:tr w:rsidR="00F973C2" w:rsidRPr="00EB4E92" w14:paraId="5CFA00DF" w14:textId="77777777" w:rsidTr="00AE12CA">
        <w:trPr>
          <w:cantSplit/>
          <w:trHeight w:val="703"/>
          <w:jc w:val="center"/>
        </w:trPr>
        <w:tc>
          <w:tcPr>
            <w:tcW w:w="7770" w:type="dxa"/>
            <w:gridSpan w:val="4"/>
            <w:tcBorders>
              <w:top w:val="single" w:sz="2" w:space="0" w:color="A6A6A6" w:themeColor="background1" w:themeShade="A6"/>
              <w:left w:val="nil"/>
              <w:bottom w:val="nil"/>
              <w:right w:val="nil"/>
            </w:tcBorders>
            <w:vAlign w:val="center"/>
          </w:tcPr>
          <w:p w14:paraId="0F87FEDC" w14:textId="4B228901" w:rsidR="00F973C2" w:rsidRPr="0040247E" w:rsidRDefault="008C5921" w:rsidP="00BE2019">
            <w:pPr>
              <w:tabs>
                <w:tab w:val="left" w:pos="113"/>
              </w:tabs>
              <w:spacing w:before="60" w:after="0" w:line="276" w:lineRule="auto"/>
              <w:rPr>
                <w:rFonts w:cs="Arial"/>
                <w:color w:val="000000"/>
                <w:sz w:val="16"/>
                <w:szCs w:val="16"/>
              </w:rPr>
            </w:pPr>
            <w:r w:rsidRPr="0040247E">
              <w:rPr>
                <w:rFonts w:cs="Arial"/>
                <w:color w:val="000000"/>
                <w:sz w:val="16"/>
                <w:szCs w:val="16"/>
                <w:vertAlign w:val="superscript"/>
              </w:rPr>
              <w:t>1</w:t>
            </w:r>
            <w:r w:rsidRPr="0040247E">
              <w:rPr>
                <w:rFonts w:cs="Arial"/>
                <w:color w:val="000000"/>
                <w:sz w:val="16"/>
                <w:szCs w:val="16"/>
                <w:vertAlign w:val="superscript"/>
              </w:rPr>
              <w:tab/>
            </w:r>
            <w:r w:rsidR="00F973C2" w:rsidRPr="0040247E">
              <w:rPr>
                <w:rFonts w:cs="Arial"/>
                <w:color w:val="000000"/>
                <w:sz w:val="16"/>
                <w:szCs w:val="16"/>
              </w:rPr>
              <w:t>Σε εθνικολογιστική βάση</w:t>
            </w:r>
          </w:p>
          <w:p w14:paraId="770F6B2E" w14:textId="77777777" w:rsidR="008C5921" w:rsidRPr="0040247E" w:rsidRDefault="008C5921" w:rsidP="00BE2019">
            <w:pPr>
              <w:tabs>
                <w:tab w:val="left" w:pos="113"/>
              </w:tabs>
              <w:spacing w:before="60" w:after="0" w:line="276" w:lineRule="auto"/>
              <w:rPr>
                <w:rFonts w:cs="Arial"/>
                <w:color w:val="000000"/>
                <w:sz w:val="16"/>
                <w:szCs w:val="16"/>
              </w:rPr>
            </w:pPr>
            <w:r w:rsidRPr="0040247E">
              <w:rPr>
                <w:rFonts w:cs="Arial"/>
                <w:color w:val="000000"/>
                <w:sz w:val="16"/>
                <w:szCs w:val="16"/>
                <w:vertAlign w:val="superscript"/>
              </w:rPr>
              <w:t>2</w:t>
            </w:r>
            <w:r w:rsidRPr="0040247E">
              <w:rPr>
                <w:rFonts w:cs="Arial"/>
                <w:color w:val="000000"/>
                <w:sz w:val="16"/>
                <w:szCs w:val="16"/>
                <w:vertAlign w:val="superscript"/>
              </w:rPr>
              <w:tab/>
            </w:r>
            <w:r w:rsidR="00F973C2" w:rsidRPr="0040247E">
              <w:rPr>
                <w:rFonts w:cs="Arial"/>
                <w:color w:val="000000"/>
                <w:sz w:val="16"/>
                <w:szCs w:val="16"/>
              </w:rPr>
              <w:t>Εκτιμήσεις</w:t>
            </w:r>
          </w:p>
          <w:p w14:paraId="6F48F55E" w14:textId="56FABE0D" w:rsidR="00F973C2" w:rsidRDefault="008C5921" w:rsidP="00BE2019">
            <w:pPr>
              <w:tabs>
                <w:tab w:val="left" w:pos="113"/>
              </w:tabs>
              <w:spacing w:before="60" w:after="0" w:line="276" w:lineRule="auto"/>
              <w:rPr>
                <w:rFonts w:cs="Arial"/>
                <w:sz w:val="16"/>
                <w:szCs w:val="16"/>
              </w:rPr>
            </w:pPr>
            <w:r w:rsidRPr="0040247E">
              <w:rPr>
                <w:rFonts w:cs="Arial"/>
                <w:color w:val="000000"/>
                <w:sz w:val="16"/>
                <w:szCs w:val="16"/>
                <w:vertAlign w:val="superscript"/>
              </w:rPr>
              <w:t>3</w:t>
            </w:r>
            <w:r w:rsidRPr="0040247E">
              <w:rPr>
                <w:rFonts w:cs="Arial"/>
                <w:color w:val="000000"/>
                <w:sz w:val="16"/>
                <w:szCs w:val="16"/>
                <w:vertAlign w:val="superscript"/>
              </w:rPr>
              <w:tab/>
            </w:r>
            <w:r w:rsidRPr="0040247E">
              <w:rPr>
                <w:rFonts w:cs="Arial"/>
                <w:color w:val="000000"/>
                <w:sz w:val="16"/>
                <w:szCs w:val="16"/>
              </w:rPr>
              <w:t>Π</w:t>
            </w:r>
            <w:r w:rsidR="00F973C2" w:rsidRPr="0040247E">
              <w:rPr>
                <w:rFonts w:cs="Arial"/>
                <w:color w:val="000000"/>
                <w:sz w:val="16"/>
                <w:szCs w:val="16"/>
              </w:rPr>
              <w:t>ροβλέψεις</w:t>
            </w:r>
          </w:p>
        </w:tc>
      </w:tr>
      <w:tr w:rsidR="00F973C2" w:rsidRPr="00EB4E92" w14:paraId="6D131D35" w14:textId="77777777" w:rsidTr="00AE12CA">
        <w:trPr>
          <w:cantSplit/>
          <w:trHeight w:val="457"/>
          <w:jc w:val="center"/>
        </w:trPr>
        <w:tc>
          <w:tcPr>
            <w:tcW w:w="7770" w:type="dxa"/>
            <w:gridSpan w:val="4"/>
            <w:tcBorders>
              <w:top w:val="nil"/>
              <w:left w:val="nil"/>
              <w:bottom w:val="nil"/>
              <w:right w:val="nil"/>
            </w:tcBorders>
            <w:vAlign w:val="center"/>
          </w:tcPr>
          <w:p w14:paraId="7E00503D" w14:textId="77777777" w:rsidR="00F973C2" w:rsidRDefault="00F973C2" w:rsidP="00674AA9">
            <w:pPr>
              <w:spacing w:before="60" w:after="0" w:line="276" w:lineRule="auto"/>
              <w:rPr>
                <w:rFonts w:cs="Arial"/>
                <w:sz w:val="16"/>
                <w:szCs w:val="16"/>
              </w:rPr>
            </w:pPr>
            <w:r>
              <w:rPr>
                <w:rFonts w:cs="Arial"/>
                <w:color w:val="000000"/>
                <w:sz w:val="16"/>
                <w:szCs w:val="16"/>
              </w:rPr>
              <w:t>Πηγή: Ετήσιοι Εθνικοί Λογαριασμοί (ΕΛΣΤΑΤ), εκτιμήσεις και προβλέψεις Υπουργείου Εθνικής Οικονομίας και Οικονομικών</w:t>
            </w:r>
          </w:p>
        </w:tc>
      </w:tr>
    </w:tbl>
    <w:p w14:paraId="320AC60E" w14:textId="77777777" w:rsidR="007E5D2B" w:rsidRPr="00707A26" w:rsidRDefault="007E5D2B" w:rsidP="00707A26">
      <w:pPr>
        <w:spacing w:before="240"/>
      </w:pPr>
      <w:r w:rsidRPr="00707A26">
        <w:t>Στον εξωτερικό τομέα η προβλεπόμενη ανάκαμψη του διεθνούς εμπορίου το 2027 αναμένεται να στηρίξει την εξαγωγική δραστηριότητα, ενώ η διατήρηση ισχυρής εγχώριας ζήτησης, ιδίως για επενδύσεις, αναμένεται να ενισχύσει παράλληλα τις εισαγωγές. Οι εξαγωγές αγαθών και υπηρεσιών σε όρους όγκου προβλέπεται να αυξηθούν κατά 3,1% και οι εισαγωγές κατά 4,0%. Ειδικότερα, οι εξαγωγές αγαθών προβλέπεται να αυξηθούν κατά 3,3% και οι εισαγωγές αγαθών κατά 4,4%, ενώ οι εξαγωγές και οι εισαγωγές υπηρεσιών προβλέπεται να αυξηθούν κατά 2,9% και κατά 2,7% αντίστοιχα. Οι καθαρές εξαγωγές υπηρεσιών εκτιμάται ότι θα έχουν θετική επίδραση στον ρυθμό μεταβολής του πραγματικού ΑΕΠ κατά περίπου 0,2 ποσοστιαίες μονάδες. Οι ταξιδιωτικές εισπράξεις προβλέπεται να αυξηθούν κατά 5,9%.</w:t>
      </w:r>
    </w:p>
    <w:p w14:paraId="40AC6E28" w14:textId="4F3403A0" w:rsidR="007E5D2B" w:rsidRDefault="007E5D2B" w:rsidP="00707A26">
      <w:r w:rsidRPr="00707A26">
        <w:t xml:space="preserve">Οι βασικές προβλέψεις για την ελληνική οικονομία το 2026 και το 2027 </w:t>
      </w:r>
      <w:r w:rsidRPr="00D64F37">
        <w:t xml:space="preserve">συνοψίζονται </w:t>
      </w:r>
      <w:r w:rsidR="00707A26" w:rsidRPr="00D64F37">
        <w:t>ανωτέρω</w:t>
      </w:r>
      <w:r w:rsidRPr="00D64F37">
        <w:t xml:space="preserve"> (</w:t>
      </w:r>
      <w:r w:rsidRPr="00D64F37">
        <w:rPr>
          <w:szCs w:val="20"/>
        </w:rPr>
        <w:fldChar w:fldCharType="begin"/>
      </w:r>
      <w:r w:rsidRPr="00D64F37">
        <w:rPr>
          <w:szCs w:val="20"/>
        </w:rPr>
        <w:instrText xml:space="preserve"> REF _Ref241417141 \h  \* MERGEFORMAT </w:instrText>
      </w:r>
      <w:r w:rsidRPr="00D64F37">
        <w:rPr>
          <w:szCs w:val="20"/>
        </w:rPr>
      </w:r>
      <w:r w:rsidRPr="00D64F37">
        <w:rPr>
          <w:szCs w:val="20"/>
        </w:rPr>
        <w:fldChar w:fldCharType="separate"/>
      </w:r>
      <w:r w:rsidR="007F6D9C" w:rsidRPr="00D64F37">
        <w:rPr>
          <w:color w:val="000000"/>
          <w:szCs w:val="20"/>
        </w:rPr>
        <w:t>Πίνακας 1.2</w:t>
      </w:r>
      <w:r w:rsidRPr="00D64F37">
        <w:rPr>
          <w:szCs w:val="20"/>
        </w:rPr>
        <w:fldChar w:fldCharType="end"/>
      </w:r>
      <w:r w:rsidRPr="00D64F37">
        <w:rPr>
          <w:szCs w:val="20"/>
        </w:rPr>
        <w:t>.</w:t>
      </w:r>
      <w:r w:rsidRPr="00D64F37">
        <w:t>).</w:t>
      </w:r>
    </w:p>
    <w:p w14:paraId="2CCDD661" w14:textId="1C9FFCA8" w:rsidR="00F973C2" w:rsidRPr="000C2169" w:rsidRDefault="00F973C2" w:rsidP="00707A26">
      <w:r w:rsidRPr="000C2169">
        <w:t>Οι προβλέψεις του βασικού σεναρίου υπόκεινται σε σημαντικούς</w:t>
      </w:r>
      <w:r w:rsidR="00C673D7">
        <w:t>, κυρίως</w:t>
      </w:r>
      <w:r w:rsidRPr="000C2169">
        <w:t xml:space="preserve"> εξωτερικούς</w:t>
      </w:r>
      <w:r w:rsidR="00C17596">
        <w:t>,</w:t>
      </w:r>
      <w:r w:rsidRPr="000C2169">
        <w:t xml:space="preserve"> κινδύνους</w:t>
      </w:r>
      <w:r w:rsidR="00C673D7">
        <w:t xml:space="preserve"> οι οποίοι συνδέονται με </w:t>
      </w:r>
      <w:r w:rsidRPr="000C2169">
        <w:t xml:space="preserve">τις γεωπολιτικές εξελίξεις, τις διεθνείς τιμές της ενέργειας και των βασικών εμπορευμάτων, τις συνθήκες του διεθνούς εμπορίου </w:t>
      </w:r>
      <w:r w:rsidR="00C17596">
        <w:t xml:space="preserve">αλλά </w:t>
      </w:r>
      <w:r w:rsidRPr="000C2169">
        <w:t xml:space="preserve">και </w:t>
      </w:r>
      <w:r w:rsidR="00CD135B">
        <w:t xml:space="preserve">με </w:t>
      </w:r>
      <w:r w:rsidRPr="000C2169">
        <w:t>τον ρυθμό υλοποίησης των επενδύσεων.</w:t>
      </w:r>
    </w:p>
    <w:p w14:paraId="6FA61B15" w14:textId="7EA07137" w:rsidR="00F973C2" w:rsidRPr="000C2169" w:rsidRDefault="00F973C2" w:rsidP="00B21C0A">
      <w:r w:rsidRPr="000C2169">
        <w:t>Στους καθοδικούς κινδύνους περιλαμβάνεται ενδεχόμενη περαιτέρω κλιμάκωση των γεωπολιτικών εντάσεων στη Μέση Ανατολή και στην Ουκρανία, η οποία θα μπορούσε να προκαλέσει νέες διαταραχές στις αγορές ενέργειας, στις διεθνείς μεταφορές και στις αγορές βασικών εμπορευμάτων. Παρατεταμένη διατήρηση των ενεργειακών τιμών σε υψηλά επίπεδα θα ενίσχυε τις πληθωριστικές πιέσεις, θα περιόριζε το πραγματικό διαθέσιμο εισόδημα και θα επηρέαζε αρνητικά την οικονομική δραστηριότητα. Αντίστοιχο</w:t>
      </w:r>
      <w:r w:rsidR="00380B22">
        <w:t xml:space="preserve">ι </w:t>
      </w:r>
      <w:r w:rsidRPr="000C2169">
        <w:t>κ</w:t>
      </w:r>
      <w:r w:rsidR="00380B22">
        <w:t>ίνδυνοι</w:t>
      </w:r>
      <w:r w:rsidRPr="000C2169">
        <w:t xml:space="preserve"> δημιουργούν</w:t>
      </w:r>
      <w:r w:rsidR="00380B22">
        <w:t>ται</w:t>
      </w:r>
      <w:r w:rsidRPr="000C2169">
        <w:t xml:space="preserve"> </w:t>
      </w:r>
      <w:r w:rsidR="00380B22">
        <w:t xml:space="preserve">από </w:t>
      </w:r>
      <w:r w:rsidRPr="000C2169">
        <w:t xml:space="preserve">ενδεχόμενες νέες αυξήσεις στις διεθνείς τιμές τροφίμων και γεωργικών εισροών καθώς και </w:t>
      </w:r>
      <w:r w:rsidR="00380B22">
        <w:t>από την</w:t>
      </w:r>
      <w:r w:rsidRPr="000C2169">
        <w:t xml:space="preserve"> αυξανόμενη συχνότητα ακραίων καιρικών φαινομένων</w:t>
      </w:r>
      <w:r w:rsidR="00CD135B">
        <w:t>,</w:t>
      </w:r>
      <w:r w:rsidRPr="000C2169">
        <w:t xml:space="preserve"> με δυνητικές επιπτώσεις στην εγχώρια παραγωγή και στις υποδομές.</w:t>
      </w:r>
      <w:r w:rsidR="00B21C0A">
        <w:t xml:space="preserve"> Επιπλέον, σημαντικός παράγοντας που επηρεάζει τα μακροοικονομικά μεγέθη είναι οι αποφάσεις καθορισμού του επιτοκίου της Ε</w:t>
      </w:r>
      <w:r w:rsidR="009B425E">
        <w:t>ΚΤ</w:t>
      </w:r>
      <w:r w:rsidR="00B21C0A">
        <w:t xml:space="preserve">. Παράλληλα, η υψηλή διακύμανση που παρατηρείται στις ευρωπαϊκές και </w:t>
      </w:r>
      <w:r w:rsidR="008768D7">
        <w:t xml:space="preserve">τις </w:t>
      </w:r>
      <w:r w:rsidR="00B21C0A">
        <w:t>παγκόσμιες αγορές ομολόγων αποτελεί σημαντικό επιπρόσθετο κίνδυνο.</w:t>
      </w:r>
    </w:p>
    <w:p w14:paraId="5269D848" w14:textId="7502ABED" w:rsidR="00F973C2" w:rsidRPr="000C2169" w:rsidRDefault="00F973C2" w:rsidP="00B21C0A">
      <w:r w:rsidRPr="000C2169">
        <w:t xml:space="preserve">Αβεβαιότητα εξακολουθεί να χαρακτηρίζει και το διεθνές εμπορικό περιβάλλον. Ενδεχόμενη περαιτέρω ενίσχυση των εμπορικών περιορισμών ή μεταβολή του διεθνούς δασμολογικού πλαισίου θα μπορούσε να επηρεάσει την εξωτερική ζήτηση, τις επενδυτικές αποφάσεις και τις διεθνείς εφοδιαστικές αλυσίδες. Για την ελληνική οικονομία οι άμεσες επιπτώσεις από τις εμπορικές σχέσεις με τις ΗΠΑ παραμένουν σχετικά περιορισμένες, ωστόσο οι έμμεσες επιδράσεις μέσω των ευρωπαϊκών εμπορικών εταίρων και της διεθνούς οικονομικής δραστηριότητας </w:t>
      </w:r>
      <w:r w:rsidR="00380B22">
        <w:t>ενδέχεται</w:t>
      </w:r>
      <w:r w:rsidRPr="000C2169">
        <w:t xml:space="preserve"> να είναι σημαντικότερες.</w:t>
      </w:r>
    </w:p>
    <w:p w14:paraId="419B3279" w14:textId="3C4895F5" w:rsidR="00F973C2" w:rsidRPr="000C2169" w:rsidRDefault="00F973C2" w:rsidP="00344F26">
      <w:r w:rsidRPr="000C2169">
        <w:t>Στους εγχ</w:t>
      </w:r>
      <w:r w:rsidR="00F30F5B">
        <w:t>ώ</w:t>
      </w:r>
      <w:r w:rsidRPr="000C2169">
        <w:t>ρ</w:t>
      </w:r>
      <w:r w:rsidR="00F30F5B">
        <w:t>ι</w:t>
      </w:r>
      <w:r w:rsidRPr="000C2169">
        <w:t xml:space="preserve">ους καθοδικούς κινδύνους περιλαμβάνεται </w:t>
      </w:r>
      <w:r w:rsidR="006A402A">
        <w:t>μία</w:t>
      </w:r>
      <w:r w:rsidRPr="000C2169">
        <w:t xml:space="preserve"> βραδύτερη από την προβλεπόμενη υλοποίηση των δημ</w:t>
      </w:r>
      <w:r w:rsidR="00380B22">
        <w:t>ο</w:t>
      </w:r>
      <w:r w:rsidRPr="000C2169">
        <w:t>σ</w:t>
      </w:r>
      <w:r w:rsidR="00380B22">
        <w:t>ί</w:t>
      </w:r>
      <w:r w:rsidRPr="000C2169">
        <w:t xml:space="preserve">ων και </w:t>
      </w:r>
      <w:r w:rsidR="00380B22">
        <w:t xml:space="preserve">των </w:t>
      </w:r>
      <w:r w:rsidRPr="000C2169">
        <w:t>ιδιωτικών επενδύσεων. Δεδομένης της υψηλής προβλεπ</w:t>
      </w:r>
      <w:r w:rsidR="009E7006">
        <w:t>ό</w:t>
      </w:r>
      <w:r w:rsidRPr="000C2169">
        <w:t>μ</w:t>
      </w:r>
      <w:r w:rsidR="009E7006">
        <w:t>ε</w:t>
      </w:r>
      <w:r w:rsidRPr="000C2169">
        <w:t>νης συμβολής του ακαθάριστου σχηματισμού παγίου κεφαλαίου στην ανάπτυξη του 2027, αποκλίσεις από τον προβλεπόμενο ρυθμό εκτέλεσης των επενδυτικών σχεδίων θα επηρέαζαν άμεσα το βασικό μακροοικονομικό σενάριο. Επιπλέον, σημαντική περαιτέρω ανατίμηση του ευρώ θα μπορούσε να επηρεάσει την εξωτερική ανταγωνιστικότητα της Ευρωζώνης και, μέσω αυτής, την εξωτερική ζήτηση για ελληνικά αγαθά και υπηρεσίες.</w:t>
      </w:r>
      <w:r w:rsidR="00ED234C">
        <w:t xml:space="preserve"> Παράλληλα, ενδεχόμενος περιορισμός της αναπτυξιακής δυναμικής μεγάλων οικονομ</w:t>
      </w:r>
      <w:r w:rsidR="007749C9">
        <w:t>ιών</w:t>
      </w:r>
      <w:r w:rsidR="00ED234C">
        <w:t xml:space="preserve"> της Ευρώπης, συνδεόμενος με τις δημοσιονομικές αποδόσεις και τις χρηματοπιστωτικές εξελίξεις, αποτελεί πρόσθετο παράγοντα κινδύνου</w:t>
      </w:r>
      <w:r w:rsidR="0049687C">
        <w:t xml:space="preserve"> </w:t>
      </w:r>
      <w:r w:rsidR="007A68B4">
        <w:t xml:space="preserve">που συνδέεται με την </w:t>
      </w:r>
      <w:r w:rsidR="00ED234C">
        <w:t>εξωτερική ζήτηση</w:t>
      </w:r>
      <w:r w:rsidR="00DF3B37">
        <w:t xml:space="preserve"> και τις ξένες επενδύσεις</w:t>
      </w:r>
      <w:r w:rsidR="00ED234C">
        <w:t>.</w:t>
      </w:r>
    </w:p>
    <w:p w14:paraId="750DE249" w14:textId="7DC45BD5" w:rsidR="00F973C2" w:rsidRDefault="00F973C2" w:rsidP="00886F45">
      <w:r w:rsidRPr="000C2169">
        <w:t xml:space="preserve">Αντίθετα, ευνοϊκότερη εξέλιξη των διεθνών τιμών της ενέργειας σε </w:t>
      </w:r>
      <w:r w:rsidR="00380B22">
        <w:t>σύγκριση</w:t>
      </w:r>
      <w:r w:rsidRPr="000C2169">
        <w:t xml:space="preserve"> με τις τεχνικές παραδοχές του βασικού σεναρίου θα περιόριζε ταχύτερα τις πληθωριστικές πιέσεις και θα ενίσχυε το πραγματικό διαθέσιμο εισόδημα των νοικοκυριών και την ιδιωτική κατανάλωση. Θετικότερη από την προβλεπόμενη </w:t>
      </w:r>
      <w:r w:rsidR="00380B22">
        <w:t xml:space="preserve">επίδραση </w:t>
      </w:r>
      <w:r w:rsidRPr="000C2169">
        <w:t>στην οικονομική δραστηριότητα θα μπορούσε</w:t>
      </w:r>
      <w:r w:rsidR="00380B22">
        <w:t>,</w:t>
      </w:r>
      <w:r w:rsidRPr="000C2169">
        <w:t xml:space="preserve"> </w:t>
      </w:r>
      <w:r w:rsidR="00380B22">
        <w:t>επίσης,</w:t>
      </w:r>
      <w:r w:rsidRPr="000C2169">
        <w:t xml:space="preserve"> να προκύψει από </w:t>
      </w:r>
      <w:r w:rsidR="001B5785">
        <w:t xml:space="preserve">την </w:t>
      </w:r>
      <w:r w:rsidRPr="000C2169">
        <w:t xml:space="preserve">ισχυρότερη εξωτερική ζήτηση για υπηρεσίες, συμπεριλαμβανομένων του τουρισμού και της ναυτιλίας, καθώς και από </w:t>
      </w:r>
      <w:r w:rsidR="00940ABE">
        <w:t xml:space="preserve">την </w:t>
      </w:r>
      <w:r w:rsidRPr="000C2169">
        <w:t>ταχύτερη υλοποίηση των επενδ</w:t>
      </w:r>
      <w:r w:rsidR="00E62C33">
        <w:t>υτικών αποφάσεων</w:t>
      </w:r>
      <w:r w:rsidRPr="000C2169">
        <w:t>.</w:t>
      </w:r>
    </w:p>
    <w:p w14:paraId="7103E872" w14:textId="3DF9572C" w:rsidR="001C4403" w:rsidRDefault="001C4403" w:rsidP="00886F45"/>
    <w:p w14:paraId="21921345" w14:textId="7BFA0133" w:rsidR="001C4403" w:rsidRDefault="001C4403" w:rsidP="00886F45"/>
    <w:p w14:paraId="410CF824" w14:textId="77777777" w:rsidR="001C4403" w:rsidRPr="006F1A1B" w:rsidRDefault="001C4403" w:rsidP="00886F45"/>
    <w:p w14:paraId="45C7D2A7" w14:textId="77777777" w:rsidR="00927660" w:rsidRPr="002E7E6D" w:rsidRDefault="00927660" w:rsidP="003349A6">
      <w:pPr>
        <w:rPr>
          <w:highlight w:val="yellow"/>
        </w:rPr>
      </w:pPr>
    </w:p>
    <w:p w14:paraId="1DE92437" w14:textId="77777777" w:rsidR="00235BCA" w:rsidRPr="002E7E6D" w:rsidRDefault="00235BCA" w:rsidP="003349A6">
      <w:pPr>
        <w:rPr>
          <w:highlight w:val="yellow"/>
        </w:rPr>
        <w:sectPr w:rsidR="00235BCA" w:rsidRPr="002E7E6D" w:rsidSect="00A20B6E">
          <w:headerReference w:type="even" r:id="rId21"/>
          <w:headerReference w:type="default" r:id="rId22"/>
          <w:footerReference w:type="even" r:id="rId23"/>
          <w:footerReference w:type="default" r:id="rId24"/>
          <w:pgSz w:w="11906" w:h="16838" w:code="9"/>
          <w:pgMar w:top="1310" w:right="1418" w:bottom="1310" w:left="1418" w:header="709" w:footer="567" w:gutter="0"/>
          <w:cols w:space="708"/>
          <w:docGrid w:linePitch="360"/>
        </w:sectPr>
      </w:pPr>
    </w:p>
    <w:p w14:paraId="141F19C4" w14:textId="77777777" w:rsidR="00C46AAB" w:rsidRPr="002A7D30" w:rsidRDefault="00C46AAB" w:rsidP="00685673">
      <w:pPr>
        <w:pStyle w:val="1"/>
        <w:keepNext w:val="0"/>
        <w:numPr>
          <w:ilvl w:val="0"/>
          <w:numId w:val="4"/>
        </w:numPr>
      </w:pPr>
      <w:bookmarkStart w:id="29" w:name="_Toc242019538"/>
      <w:bookmarkEnd w:id="29"/>
    </w:p>
    <w:p w14:paraId="082C2822" w14:textId="77777777" w:rsidR="003377C3" w:rsidRPr="002A7D30" w:rsidRDefault="003377C3" w:rsidP="00685673">
      <w:pPr>
        <w:pStyle w:val="2"/>
        <w:keepNext w:val="0"/>
      </w:pPr>
      <w:bookmarkStart w:id="30" w:name="_Toc242019539"/>
      <w:r w:rsidRPr="009C2FB2">
        <w:t>ΠΡΟΫΠΟΛΟΓΙΣΜΟΣ</w:t>
      </w:r>
      <w:r w:rsidRPr="002A7D30">
        <w:t xml:space="preserve"> ΓΕΝΙΚΗΣ ΚΥΒΕΡΝΗΣΗΣ</w:t>
      </w:r>
      <w:bookmarkEnd w:id="30"/>
    </w:p>
    <w:p w14:paraId="210C4F1C" w14:textId="311DB5AB" w:rsidR="00E30C8C" w:rsidRPr="00133C15" w:rsidRDefault="00880906" w:rsidP="00685673">
      <w:pPr>
        <w:pStyle w:val="3"/>
        <w:keepNext w:val="0"/>
      </w:pPr>
      <w:bookmarkStart w:id="31" w:name="_Toc114142021"/>
      <w:bookmarkStart w:id="32" w:name="_Toc114142275"/>
      <w:bookmarkStart w:id="33" w:name="_Toc114142358"/>
      <w:bookmarkStart w:id="34" w:name="_Toc114142407"/>
      <w:bookmarkStart w:id="35" w:name="_Toc114149864"/>
      <w:bookmarkStart w:id="36" w:name="_Toc114219134"/>
      <w:bookmarkStart w:id="37" w:name="_Toc114219152"/>
      <w:bookmarkStart w:id="38" w:name="_Toc114219328"/>
      <w:bookmarkStart w:id="39" w:name="_Toc114219377"/>
      <w:bookmarkStart w:id="40" w:name="_Toc114219845"/>
      <w:bookmarkStart w:id="41" w:name="_Toc114234838"/>
      <w:bookmarkStart w:id="42" w:name="_Toc114489508"/>
      <w:bookmarkStart w:id="43" w:name="_Toc114489586"/>
      <w:bookmarkStart w:id="44" w:name="_Toc114489673"/>
      <w:bookmarkStart w:id="45" w:name="_Toc115338143"/>
      <w:bookmarkStart w:id="46" w:name="_Toc115358120"/>
      <w:bookmarkStart w:id="47" w:name="_Toc115424348"/>
      <w:bookmarkStart w:id="48" w:name="_Toc115435215"/>
      <w:bookmarkStart w:id="49" w:name="_Toc115437949"/>
      <w:bookmarkStart w:id="50" w:name="_Toc115526126"/>
      <w:bookmarkStart w:id="51" w:name="_Toc146645044"/>
      <w:bookmarkStart w:id="52" w:name="_Toc146819072"/>
      <w:bookmarkStart w:id="53" w:name="_Toc147015711"/>
      <w:bookmarkStart w:id="54" w:name="_Toc178751199"/>
      <w:bookmarkStart w:id="55" w:name="_Toc24201954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744E41">
        <w:t>Εκτιμήσεις</w:t>
      </w:r>
      <w:r w:rsidRPr="00133C15">
        <w:t xml:space="preserve"> 202</w:t>
      </w:r>
      <w:r w:rsidR="00860B93">
        <w:rPr>
          <w:lang w:val="en-US"/>
        </w:rPr>
        <w:t>6</w:t>
      </w:r>
      <w:bookmarkEnd w:id="55"/>
    </w:p>
    <w:p w14:paraId="5DD2A2BF" w14:textId="3339C7F4" w:rsidR="00860B93" w:rsidRPr="00D1257B" w:rsidRDefault="00860B93" w:rsidP="00860B93">
      <w:r w:rsidRPr="00D1257B">
        <w:t>Το πρωτογενές αποτέλεσμα της Γενικής Κυβέρνησης το 202</w:t>
      </w:r>
      <w:r w:rsidRPr="003A5216">
        <w:t>5</w:t>
      </w:r>
      <w:r w:rsidRPr="00D1257B">
        <w:t xml:space="preserve">, σύμφωνα με τη μεθοδολογία του Ευρωπαϊκού Συστήματος Λογαριασμών (European </w:t>
      </w:r>
      <w:proofErr w:type="spellStart"/>
      <w:r w:rsidRPr="00D1257B">
        <w:t>System</w:t>
      </w:r>
      <w:proofErr w:type="spellEnd"/>
      <w:r w:rsidRPr="00D1257B">
        <w:t xml:space="preserve"> of </w:t>
      </w:r>
      <w:proofErr w:type="spellStart"/>
      <w:r w:rsidRPr="00D1257B">
        <w:t>Accounts</w:t>
      </w:r>
      <w:proofErr w:type="spellEnd"/>
      <w:r w:rsidRPr="00D1257B">
        <w:t xml:space="preserve"> - ESA), διαμορφώθηκε σε πλεόνασμα ύψους</w:t>
      </w:r>
      <w:r>
        <w:t xml:space="preserve"> </w:t>
      </w:r>
      <w:r w:rsidR="00764F1B">
        <w:t>12.129</w:t>
      </w:r>
      <w:r w:rsidRPr="00D1257B">
        <w:t xml:space="preserve"> εκατ. </w:t>
      </w:r>
      <w:r w:rsidRPr="00ED6B38">
        <w:t xml:space="preserve">ευρώ ή </w:t>
      </w:r>
      <w:r w:rsidR="00764F1B">
        <w:t>4</w:t>
      </w:r>
      <w:r w:rsidRPr="00ED6B38">
        <w:t>,</w:t>
      </w:r>
      <w:r w:rsidR="00764F1B">
        <w:t>9</w:t>
      </w:r>
      <w:r w:rsidRPr="00ED6B38">
        <w:t>%</w:t>
      </w:r>
      <w:r w:rsidRPr="00D1257B">
        <w:t xml:space="preserve"> του ΑΕΠ, </w:t>
      </w:r>
      <w:r>
        <w:t>διατηρούμενο σε υψηλά επίπεδα</w:t>
      </w:r>
      <w:r w:rsidR="00CB1745" w:rsidRPr="00CB1745">
        <w:t xml:space="preserve"> </w:t>
      </w:r>
      <w:r w:rsidR="00CB1745" w:rsidRPr="007A0358">
        <w:t>(4,8%</w:t>
      </w:r>
      <w:r w:rsidR="00CB1745">
        <w:t xml:space="preserve"> το</w:t>
      </w:r>
      <w:r w:rsidR="00CB1745" w:rsidRPr="007A0358">
        <w:t xml:space="preserve"> 2024)</w:t>
      </w:r>
      <w:r w:rsidR="00CB1745">
        <w:t xml:space="preserve">, λαμβάνοντας υπόψη τη δυναμική ανάπτυξη της ελληνικής οικονομίας, συνοδευόμενη από σημαντική ενίσχυση των επενδύσεων, αύξηση των αμοιβών εξαρτημένης εργασίας, μείωση της ανεργίας </w:t>
      </w:r>
      <w:r w:rsidR="007C1E56">
        <w:t xml:space="preserve">καθώς </w:t>
      </w:r>
      <w:r w:rsidR="00CB1745">
        <w:t xml:space="preserve">και </w:t>
      </w:r>
      <w:r w:rsidR="007C1E56">
        <w:t xml:space="preserve">από </w:t>
      </w:r>
      <w:r w:rsidR="00CB1745">
        <w:t>τη</w:t>
      </w:r>
      <w:r w:rsidR="007C1E56">
        <w:t>ν</w:t>
      </w:r>
      <w:r w:rsidR="00CB1745">
        <w:t xml:space="preserve"> επίδραση των μεταρρυθμίσεων </w:t>
      </w:r>
      <w:r w:rsidR="00EC225D">
        <w:t>ενίσχυσης</w:t>
      </w:r>
      <w:r w:rsidR="00CB1745">
        <w:t xml:space="preserve"> της φορολογικής συμμόρφωσης</w:t>
      </w:r>
      <w:r>
        <w:t xml:space="preserve">. </w:t>
      </w:r>
      <w:r w:rsidRPr="00D1257B">
        <w:t xml:space="preserve">Το πρωτογενές αποτέλεσμα </w:t>
      </w:r>
      <w:r w:rsidR="005030D5">
        <w:t xml:space="preserve">κατά </w:t>
      </w:r>
      <w:r>
        <w:t>τα δύο τελευταία απολογιστικά έτη (2024 και 2025) δια</w:t>
      </w:r>
      <w:r w:rsidR="000C4393">
        <w:t>μορφώθηκε</w:t>
      </w:r>
      <w:r>
        <w:t xml:space="preserve"> σε επίπεδα σημαντικά </w:t>
      </w:r>
      <w:r w:rsidRPr="00D1257B">
        <w:t>υψηλότερ</w:t>
      </w:r>
      <w:r>
        <w:t>α</w:t>
      </w:r>
      <w:r w:rsidRPr="00D1257B">
        <w:t xml:space="preserve"> </w:t>
      </w:r>
      <w:r>
        <w:t xml:space="preserve">της περιόδου 2020 - </w:t>
      </w:r>
      <w:r w:rsidRPr="00D1257B">
        <w:t>2023</w:t>
      </w:r>
      <w:r>
        <w:t xml:space="preserve">, η οποία </w:t>
      </w:r>
      <w:r w:rsidRPr="00D1257B">
        <w:t xml:space="preserve">επηρεάστηκε έντονα από την </w:t>
      </w:r>
      <w:r>
        <w:t xml:space="preserve">πανδημία </w:t>
      </w:r>
      <w:r>
        <w:rPr>
          <w:lang w:val="en-US"/>
        </w:rPr>
        <w:t>Covid</w:t>
      </w:r>
      <w:r w:rsidRPr="00477D95">
        <w:t xml:space="preserve">-19, </w:t>
      </w:r>
      <w:r w:rsidR="005030D5">
        <w:t xml:space="preserve">από </w:t>
      </w:r>
      <w:r>
        <w:t xml:space="preserve">την κλιματική κρίση </w:t>
      </w:r>
      <w:r w:rsidRPr="00D1257B">
        <w:t>καθώς και από την ενεργειακή κρίση εξαιτίας του πολέμου Ρωσίας - Ουκρανίας.</w:t>
      </w:r>
    </w:p>
    <w:p w14:paraId="74BA650E" w14:textId="22D3C882" w:rsidR="00860B93" w:rsidRPr="00D1257B" w:rsidRDefault="00860B93" w:rsidP="00860B93">
      <w:pPr>
        <w:rPr>
          <w:rFonts w:eastAsia="Calibri"/>
        </w:rPr>
      </w:pPr>
      <w:r w:rsidRPr="00D1257B">
        <w:t>Το πρωτογενές αποτέλεσμα της Γενικής Κυβέρνησης του έτους 202</w:t>
      </w:r>
      <w:r>
        <w:t>6</w:t>
      </w:r>
      <w:r w:rsidRPr="00D1257B">
        <w:t>, με βάση τη μεθοδολογία ESA, είχε προβλεφθεί στην εισηγητική έκθεση του προϋπολογισμού 202</w:t>
      </w:r>
      <w:r>
        <w:t>6</w:t>
      </w:r>
      <w:r w:rsidRPr="00D1257B">
        <w:t xml:space="preserve"> ότι θα διαμορφωθεί σε πλεόνασμα ύψους </w:t>
      </w:r>
      <w:r>
        <w:t>7</w:t>
      </w:r>
      <w:r w:rsidRPr="00D1257B">
        <w:t>.</w:t>
      </w:r>
      <w:r>
        <w:t>211</w:t>
      </w:r>
      <w:r w:rsidRPr="00D1257B">
        <w:t xml:space="preserve"> εκατ. ευρώ ή 2,</w:t>
      </w:r>
      <w:r>
        <w:t>8</w:t>
      </w:r>
      <w:r w:rsidRPr="00D1257B">
        <w:t>% του ΑΕΠ</w:t>
      </w:r>
      <w:r>
        <w:t>, ενώ στην Ετήσια Έκθεση Προόδου 2026 για το Μεσοπρόθεσμο Δημοσιονομικό - Διαρθρωτικό Σχέδιο (ΜΔΣ)</w:t>
      </w:r>
      <w:r w:rsidR="0084329C" w:rsidRPr="0084329C">
        <w:t xml:space="preserve">, </w:t>
      </w:r>
      <w:r w:rsidR="0084329C">
        <w:t>η οποία</w:t>
      </w:r>
      <w:r>
        <w:t xml:space="preserve"> υποβλήθηκε τον Απρίλιο 2026, η εκτίμηση του πρωτογενούς αποτελέσματος για το έτος 2026</w:t>
      </w:r>
      <w:r w:rsidR="00DF3B37">
        <w:t>,</w:t>
      </w:r>
      <w:r>
        <w:t xml:space="preserve"> </w:t>
      </w:r>
      <w:r w:rsidR="00DF3B37">
        <w:t xml:space="preserve">στη βάση των βελτιωμένων αποτελεσμάτων του προηγούμενου έτους, </w:t>
      </w:r>
      <w:r>
        <w:t xml:space="preserve">αναθεωρήθηκε σε </w:t>
      </w:r>
      <w:r w:rsidR="000E7BAA">
        <w:t xml:space="preserve">8.484 εκατ. ευρώ ή </w:t>
      </w:r>
      <w:r>
        <w:t>3,2</w:t>
      </w:r>
      <w:r w:rsidRPr="00D1257B">
        <w:t>% του ΑΕΠ.</w:t>
      </w:r>
      <w:r>
        <w:t xml:space="preserve"> </w:t>
      </w:r>
      <w:r w:rsidRPr="00D1257B">
        <w:t>Σύμφωνα με τα τελευταία στοιχεία της εκτέλεσης του προϋπολογισμού, το πρωτογενές αποτέλεσμα της Γενικής Κυβέρνησης εκτιμάται ότι θα διαμορφωθεί σε πλεόνασμα ύψους</w:t>
      </w:r>
      <w:r>
        <w:t xml:space="preserve"> 9.548</w:t>
      </w:r>
      <w:r w:rsidRPr="00D1257B">
        <w:t xml:space="preserve"> εκατ. ευρώ ή </w:t>
      </w:r>
      <w:r w:rsidRPr="00B347CD">
        <w:t>3,6%</w:t>
      </w:r>
      <w:r w:rsidRPr="00D1257B">
        <w:t xml:space="preserve"> του ΑΕΠ.</w:t>
      </w:r>
    </w:p>
    <w:p w14:paraId="2DC3CAF7" w14:textId="2B83B4CE" w:rsidR="00860B93" w:rsidRPr="00D1257B" w:rsidRDefault="00860B93" w:rsidP="00860B93">
      <w:r w:rsidRPr="00D1257B">
        <w:t>Σε σ</w:t>
      </w:r>
      <w:r w:rsidR="005030D5">
        <w:t xml:space="preserve">ύγκριση </w:t>
      </w:r>
      <w:r w:rsidRPr="00D1257B">
        <w:t>με τις προβλέψεις του προϋπολογισμού 202</w:t>
      </w:r>
      <w:r>
        <w:t>6</w:t>
      </w:r>
      <w:r w:rsidRPr="00D1257B">
        <w:t xml:space="preserve"> παρατηρείται αύξηση τόσο των καθαρών εσόδων του κρατικού προϋπολογισμού (</w:t>
      </w:r>
      <w:r w:rsidRPr="00B347CD">
        <w:t>κατά 2,9 δισ</w:t>
      </w:r>
      <w:r w:rsidRPr="00D1257B">
        <w:t>. ευρώ) όσο και των δαπανών (</w:t>
      </w:r>
      <w:r w:rsidRPr="00B347CD">
        <w:t>κατά 1,2</w:t>
      </w:r>
      <w:r w:rsidRPr="00D1257B">
        <w:t xml:space="preserve"> δισ. ευρώ)</w:t>
      </w:r>
      <w:r>
        <w:t xml:space="preserve">, δεδομένου ότι περιλαμβάνονται επιπλέον δαπάνες για την ενίσχυση του διαθέσιμου εισοδήματος </w:t>
      </w:r>
      <w:r w:rsidR="000E7BAA">
        <w:t>και για την αντιμετώπιση της ενεργειακής κρίσης</w:t>
      </w:r>
      <w:r w:rsidRPr="00D1257B">
        <w:t>. Το συνολικό ισοζύγιο</w:t>
      </w:r>
      <w:r w:rsidRPr="00CD2FB7">
        <w:t xml:space="preserve"> </w:t>
      </w:r>
      <w:r>
        <w:t>της</w:t>
      </w:r>
      <w:r w:rsidRPr="00D1257B">
        <w:t xml:space="preserve"> Γενικής Κυβέρνησης εκτιμάται ότι θα διαμορφωθεί σε </w:t>
      </w:r>
      <w:r w:rsidRPr="00B347CD">
        <w:t>πλεόνασμα 0,6% του ΑΕΠ, βελτιωμένο έναντι της πρόβλεψης για έλλειμμα 0,2%, η οποία είχε περιληφθεί στην εισηγητική έκθεση του προϋπολογισμού 2026.</w:t>
      </w:r>
    </w:p>
    <w:p w14:paraId="4B4E2964" w14:textId="352920E1" w:rsidR="00860B93" w:rsidRPr="00086236" w:rsidRDefault="00860B93" w:rsidP="00447C4B">
      <w:r w:rsidRPr="00D1257B">
        <w:t>Επισημαίνεται ότι το έτος 202</w:t>
      </w:r>
      <w:r>
        <w:t>6</w:t>
      </w:r>
      <w:r w:rsidRPr="00D1257B">
        <w:t xml:space="preserve"> συνεχίστηκε η επιβεβαίωση της διεθν</w:t>
      </w:r>
      <w:r>
        <w:t>ού</w:t>
      </w:r>
      <w:r w:rsidRPr="00D1257B">
        <w:t xml:space="preserve">ς εμπιστοσύνης στην οικονομία της χώρας, </w:t>
      </w:r>
      <w:r>
        <w:t>με δεδομένο ότι διατηρήθηκε η επενδυτική βαθμίδα στις αξιολογήσεις του</w:t>
      </w:r>
      <w:r w:rsidRPr="00D1257B">
        <w:t xml:space="preserve"> σ</w:t>
      </w:r>
      <w:r>
        <w:t>υνόλου</w:t>
      </w:r>
      <w:r w:rsidRPr="00D1257B">
        <w:t xml:space="preserve"> των τεσσάρων μεγάλων επενδυτικών οίκων που αναγνωρίζει η ΕΚΤ (Standard &amp; </w:t>
      </w:r>
      <w:proofErr w:type="spellStart"/>
      <w:r w:rsidRPr="00D1257B">
        <w:t>Poor's</w:t>
      </w:r>
      <w:proofErr w:type="spellEnd"/>
      <w:r w:rsidRPr="00D1257B">
        <w:t xml:space="preserve">, </w:t>
      </w:r>
      <w:proofErr w:type="spellStart"/>
      <w:r w:rsidRPr="00D1257B">
        <w:t>Moody's</w:t>
      </w:r>
      <w:proofErr w:type="spellEnd"/>
      <w:r w:rsidRPr="00D1257B">
        <w:t xml:space="preserve">, </w:t>
      </w:r>
      <w:proofErr w:type="spellStart"/>
      <w:r w:rsidRPr="00D1257B">
        <w:t>Fitch</w:t>
      </w:r>
      <w:proofErr w:type="spellEnd"/>
      <w:r w:rsidRPr="00D1257B">
        <w:t xml:space="preserve"> </w:t>
      </w:r>
      <w:proofErr w:type="spellStart"/>
      <w:r w:rsidRPr="00D1257B">
        <w:t>Ratings</w:t>
      </w:r>
      <w:proofErr w:type="spellEnd"/>
      <w:r w:rsidRPr="00D1257B">
        <w:t xml:space="preserve"> και DBRS </w:t>
      </w:r>
      <w:proofErr w:type="spellStart"/>
      <w:r w:rsidRPr="00D1257B">
        <w:t>Morningstar</w:t>
      </w:r>
      <w:proofErr w:type="spellEnd"/>
      <w:r w:rsidRPr="00D1257B">
        <w:t>).</w:t>
      </w:r>
      <w:r w:rsidR="00317DFC">
        <w:t xml:space="preserve"> Τον Σεπτέμβριο η </w:t>
      </w:r>
      <w:r w:rsidR="00317DFC" w:rsidRPr="00D1257B">
        <w:t xml:space="preserve">DBRS </w:t>
      </w:r>
      <w:proofErr w:type="spellStart"/>
      <w:r w:rsidR="00317DFC" w:rsidRPr="00D1257B">
        <w:t>Morningstar</w:t>
      </w:r>
      <w:proofErr w:type="spellEnd"/>
      <w:r w:rsidR="00317DFC">
        <w:t xml:space="preserve"> </w:t>
      </w:r>
      <w:r w:rsidR="00086236">
        <w:t xml:space="preserve">επιβεβαίωσε τη μακροπρόθεσμη πιστοληπτική αξιολόγηση της χώρας στη βαθμίδα </w:t>
      </w:r>
      <w:r w:rsidR="00086236">
        <w:rPr>
          <w:lang w:val="en-US"/>
        </w:rPr>
        <w:t>BBB</w:t>
      </w:r>
      <w:r w:rsidR="00086236">
        <w:t xml:space="preserve"> και αναθεώρησε τις </w:t>
      </w:r>
      <w:r w:rsidR="00DA70FB">
        <w:t>προοπτικές</w:t>
      </w:r>
      <w:r w:rsidR="00086236">
        <w:t xml:space="preserve"> από σταθερές σε θετικές.</w:t>
      </w:r>
      <w:r w:rsidR="005B5A6D" w:rsidRPr="005B5A6D">
        <w:t xml:space="preserve"> </w:t>
      </w:r>
      <w:r w:rsidR="005B5A6D">
        <w:rPr>
          <w:lang w:val="en-US"/>
        </w:rPr>
        <w:t>H</w:t>
      </w:r>
      <w:r w:rsidR="005B5A6D" w:rsidRPr="00DA0B67">
        <w:t xml:space="preserve"> </w:t>
      </w:r>
      <w:r w:rsidR="005B5A6D">
        <w:rPr>
          <w:lang w:val="en-US"/>
        </w:rPr>
        <w:t>Scope</w:t>
      </w:r>
      <w:r w:rsidR="005B5A6D" w:rsidRPr="00DA0B67">
        <w:t xml:space="preserve"> </w:t>
      </w:r>
      <w:r w:rsidR="005B5A6D">
        <w:rPr>
          <w:lang w:val="en-US"/>
        </w:rPr>
        <w:t>Ratings</w:t>
      </w:r>
      <w:r w:rsidR="005B5A6D">
        <w:t xml:space="preserve"> αναβάθμισε την πιστοληπτική ικανότητα της Ελλάδα</w:t>
      </w:r>
      <w:r w:rsidR="00236275">
        <w:t>ς</w:t>
      </w:r>
      <w:r w:rsidR="005B5A6D">
        <w:t xml:space="preserve"> στη βαθμίδα </w:t>
      </w:r>
      <w:r w:rsidR="005B5A6D">
        <w:rPr>
          <w:lang w:val="en-US"/>
        </w:rPr>
        <w:t>BBB</w:t>
      </w:r>
      <w:r w:rsidR="005B5A6D" w:rsidRPr="00DA0B67">
        <w:t xml:space="preserve">+ </w:t>
      </w:r>
      <w:r w:rsidR="005B5A6D">
        <w:t xml:space="preserve">από ΒΒΒ με σταθερές προοπτικές, ενώ η </w:t>
      </w:r>
      <w:r w:rsidR="005B5A6D">
        <w:rPr>
          <w:lang w:val="en-US"/>
        </w:rPr>
        <w:t>Moody</w:t>
      </w:r>
      <w:r w:rsidR="005B5A6D" w:rsidRPr="00DA0B67">
        <w:t>’</w:t>
      </w:r>
      <w:r w:rsidR="005B5A6D">
        <w:rPr>
          <w:lang w:val="en-US"/>
        </w:rPr>
        <w:t>s</w:t>
      </w:r>
      <w:r w:rsidR="005B5A6D" w:rsidRPr="00DA0B67">
        <w:t xml:space="preserve"> </w:t>
      </w:r>
      <w:r w:rsidR="005B5A6D">
        <w:t xml:space="preserve">αναβάθμισε τις προοπτικές της ελληνικής οικονομίας από σταθερές σε θετικές, διατηρώντας την πιστοληπτική αξιολόγηση στη βαθμίδα </w:t>
      </w:r>
      <w:r w:rsidR="005B5A6D">
        <w:rPr>
          <w:lang w:val="en-US"/>
        </w:rPr>
        <w:t>Baa</w:t>
      </w:r>
      <w:r w:rsidR="005B5A6D" w:rsidRPr="00DA0B67">
        <w:t>3</w:t>
      </w:r>
      <w:r w:rsidR="005B5A6D">
        <w:t>.</w:t>
      </w:r>
    </w:p>
    <w:p w14:paraId="1096BBFF" w14:textId="78290665" w:rsidR="00860B93" w:rsidRPr="00D1257B" w:rsidRDefault="00860B93" w:rsidP="00860B93">
      <w:r w:rsidRPr="00D64F37">
        <w:t>Παρακάτω (</w:t>
      </w:r>
      <w:r w:rsidR="00D424E8" w:rsidRPr="00D64F37">
        <w:fldChar w:fldCharType="begin"/>
      </w:r>
      <w:r w:rsidR="00D424E8" w:rsidRPr="00D64F37">
        <w:instrText xml:space="preserve"> REF _Ref210384636 \h  \* MERGEFORMAT </w:instrText>
      </w:r>
      <w:r w:rsidR="00D424E8" w:rsidRPr="00D64F37">
        <w:fldChar w:fldCharType="separate"/>
      </w:r>
      <w:r w:rsidR="007F6D9C" w:rsidRPr="00D64F37">
        <w:t>Πίνακας 2.1</w:t>
      </w:r>
      <w:r w:rsidR="00D424E8" w:rsidRPr="00D64F37">
        <w:fldChar w:fldCharType="end"/>
      </w:r>
      <w:r w:rsidR="00720998" w:rsidRPr="00D64F37">
        <w:t>.</w:t>
      </w:r>
      <w:r w:rsidRPr="00D64F37">
        <w:t>) αποτυπώνονται</w:t>
      </w:r>
      <w:r w:rsidRPr="00D1257B">
        <w:t xml:space="preserve"> το ισοζύγιο και το πρωτογενές αποτέλεσμα της Γενικής Κυβέρνησης </w:t>
      </w:r>
      <w:r>
        <w:t xml:space="preserve">κατά </w:t>
      </w:r>
      <w:r w:rsidRPr="00D1257B">
        <w:t>ESA, με ανάλυση ανά κατηγορία εσόδων και δαπανών για την Κεντρική Διοίκηση, τα νομικά πρόσωπα, τα νοσοκομεία και τους λοιπούς υποτομείς</w:t>
      </w:r>
      <w:r w:rsidR="005030D5">
        <w:t xml:space="preserve"> </w:t>
      </w:r>
      <w:r w:rsidR="00DF3790">
        <w:t xml:space="preserve">της </w:t>
      </w:r>
      <w:r w:rsidR="005030D5">
        <w:t xml:space="preserve">Γενικής Κυβέρνησης, ήτοι τους </w:t>
      </w:r>
      <w:r w:rsidRPr="00D1257B">
        <w:t>Οργανισμ</w:t>
      </w:r>
      <w:r w:rsidR="005030D5">
        <w:t>ούς</w:t>
      </w:r>
      <w:r w:rsidRPr="00D1257B">
        <w:t xml:space="preserve"> Τοπικής Αυτοδιοίκησης (ΟΤΑ) και τ</w:t>
      </w:r>
      <w:r w:rsidR="00AC17A7">
        <w:t>ους</w:t>
      </w:r>
      <w:r w:rsidRPr="00D1257B">
        <w:t xml:space="preserve"> Οργανισμ</w:t>
      </w:r>
      <w:r w:rsidR="00AC17A7">
        <w:t>ούς</w:t>
      </w:r>
      <w:r w:rsidRPr="00D1257B">
        <w:t xml:space="preserve"> Κοινωνικής Ασφάλισης (ΟΚΑ).</w:t>
      </w:r>
    </w:p>
    <w:p w14:paraId="1EF4B359" w14:textId="2DD925BB" w:rsidR="00375D22" w:rsidRDefault="00375D22">
      <w:pPr>
        <w:spacing w:after="0" w:line="240" w:lineRule="auto"/>
        <w:jc w:val="left"/>
        <w:rPr>
          <w:highlight w:val="yellow"/>
        </w:rPr>
      </w:pPr>
      <w:r>
        <w:rPr>
          <w:highlight w:val="yellow"/>
        </w:rPr>
        <w:br w:type="page"/>
      </w:r>
    </w:p>
    <w:tbl>
      <w:tblPr>
        <w:tblW w:w="9252"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4587"/>
        <w:gridCol w:w="1034"/>
        <w:gridCol w:w="1551"/>
        <w:gridCol w:w="1037"/>
        <w:gridCol w:w="1043"/>
      </w:tblGrid>
      <w:tr w:rsidR="00EE405C" w:rsidRPr="00372745" w14:paraId="5BA12477" w14:textId="77777777" w:rsidTr="00596BB1">
        <w:trPr>
          <w:cantSplit/>
          <w:trHeight w:val="567"/>
          <w:tblHeader/>
          <w:jc w:val="center"/>
        </w:trPr>
        <w:tc>
          <w:tcPr>
            <w:tcW w:w="9252" w:type="dxa"/>
            <w:gridSpan w:val="5"/>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hideMark/>
          </w:tcPr>
          <w:p w14:paraId="4BAD8A58" w14:textId="471BD8FD" w:rsidR="00EE405C" w:rsidRPr="00372745" w:rsidRDefault="00810EEB" w:rsidP="009D02E9">
            <w:pPr>
              <w:spacing w:after="0" w:line="264" w:lineRule="auto"/>
              <w:jc w:val="center"/>
              <w:rPr>
                <w:rFonts w:cs="Arial"/>
                <w:b/>
                <w:bCs/>
                <w:sz w:val="18"/>
                <w:szCs w:val="16"/>
              </w:rPr>
            </w:pPr>
            <w:bookmarkStart w:id="56" w:name="_Ref210384636"/>
            <w:bookmarkStart w:id="57" w:name="RANGE!A1:E223"/>
            <w:bookmarkStart w:id="58" w:name="_Toc241953648"/>
            <w:r w:rsidRPr="00A54B02">
              <w:rPr>
                <w:b/>
                <w:sz w:val="18"/>
                <w:szCs w:val="18"/>
              </w:rPr>
              <w:t>Πίνακας 2.</w:t>
            </w:r>
            <w:r w:rsidRPr="00A54B02">
              <w:rPr>
                <w:b/>
                <w:sz w:val="18"/>
                <w:szCs w:val="18"/>
              </w:rPr>
              <w:fldChar w:fldCharType="begin"/>
            </w:r>
            <w:r w:rsidRPr="00A54B02">
              <w:rPr>
                <w:b/>
                <w:sz w:val="18"/>
                <w:szCs w:val="18"/>
              </w:rPr>
              <w:instrText xml:space="preserve"> SEQ Πίνακας_2. \* ARABIC </w:instrText>
            </w:r>
            <w:r w:rsidRPr="00A54B02">
              <w:rPr>
                <w:b/>
                <w:sz w:val="18"/>
                <w:szCs w:val="18"/>
              </w:rPr>
              <w:fldChar w:fldCharType="separate"/>
            </w:r>
            <w:r w:rsidR="007F6D9C">
              <w:rPr>
                <w:b/>
                <w:noProof/>
                <w:sz w:val="18"/>
                <w:szCs w:val="18"/>
              </w:rPr>
              <w:t>1</w:t>
            </w:r>
            <w:r w:rsidRPr="00A54B02">
              <w:rPr>
                <w:b/>
                <w:sz w:val="18"/>
                <w:szCs w:val="18"/>
              </w:rPr>
              <w:fldChar w:fldCharType="end"/>
            </w:r>
            <w:bookmarkEnd w:id="56"/>
            <w:r w:rsidRPr="00A54B02">
              <w:rPr>
                <w:b/>
                <w:sz w:val="18"/>
                <w:szCs w:val="18"/>
              </w:rPr>
              <w:t>.:</w:t>
            </w:r>
            <w:r w:rsidR="00EE405C" w:rsidRPr="00A54B02">
              <w:rPr>
                <w:rFonts w:cs="Arial"/>
                <w:b/>
                <w:bCs/>
                <w:sz w:val="18"/>
                <w:szCs w:val="18"/>
              </w:rPr>
              <w:t xml:space="preserve"> Ισοζύγιο</w:t>
            </w:r>
            <w:r w:rsidR="00EE405C" w:rsidRPr="00A54B02">
              <w:rPr>
                <w:rFonts w:cs="Arial"/>
                <w:b/>
                <w:bCs/>
                <w:sz w:val="18"/>
                <w:szCs w:val="16"/>
              </w:rPr>
              <w:t xml:space="preserve"> Γενικής Κυβέρνησης σύμφωνα με τη μεθοδολογία</w:t>
            </w:r>
            <w:r w:rsidR="00176C1D">
              <w:rPr>
                <w:rFonts w:cs="Arial"/>
                <w:b/>
                <w:bCs/>
                <w:sz w:val="18"/>
                <w:szCs w:val="16"/>
              </w:rPr>
              <w:br/>
            </w:r>
            <w:r w:rsidR="00EE405C" w:rsidRPr="00A54B02">
              <w:rPr>
                <w:rFonts w:cs="Arial"/>
                <w:b/>
                <w:bCs/>
                <w:sz w:val="18"/>
                <w:szCs w:val="16"/>
              </w:rPr>
              <w:t xml:space="preserve">European </w:t>
            </w:r>
            <w:proofErr w:type="spellStart"/>
            <w:r w:rsidR="00EE405C" w:rsidRPr="00A54B02">
              <w:rPr>
                <w:rFonts w:cs="Arial"/>
                <w:b/>
                <w:bCs/>
                <w:sz w:val="18"/>
                <w:szCs w:val="16"/>
              </w:rPr>
              <w:t>System</w:t>
            </w:r>
            <w:proofErr w:type="spellEnd"/>
            <w:r w:rsidR="00EE405C" w:rsidRPr="00A54B02">
              <w:rPr>
                <w:rFonts w:cs="Arial"/>
                <w:b/>
                <w:bCs/>
                <w:sz w:val="18"/>
                <w:szCs w:val="16"/>
              </w:rPr>
              <w:t xml:space="preserve"> of </w:t>
            </w:r>
            <w:proofErr w:type="spellStart"/>
            <w:r w:rsidR="00EE405C" w:rsidRPr="00A54B02">
              <w:rPr>
                <w:rFonts w:cs="Arial"/>
                <w:b/>
                <w:bCs/>
                <w:sz w:val="18"/>
                <w:szCs w:val="16"/>
              </w:rPr>
              <w:t>Accounts</w:t>
            </w:r>
            <w:proofErr w:type="spellEnd"/>
            <w:r w:rsidR="00EE405C" w:rsidRPr="00A54B02">
              <w:rPr>
                <w:rFonts w:cs="Arial"/>
                <w:b/>
                <w:bCs/>
                <w:sz w:val="18"/>
                <w:szCs w:val="16"/>
              </w:rPr>
              <w:t xml:space="preserve"> (ESA)</w:t>
            </w:r>
            <w:r w:rsidR="00176C1D">
              <w:rPr>
                <w:rFonts w:cs="Arial"/>
                <w:b/>
                <w:bCs/>
                <w:sz w:val="18"/>
                <w:szCs w:val="16"/>
              </w:rPr>
              <w:t xml:space="preserve"> </w:t>
            </w:r>
            <w:r w:rsidR="00EE405C" w:rsidRPr="00A54B02">
              <w:rPr>
                <w:rFonts w:cs="Arial"/>
                <w:b/>
                <w:bCs/>
                <w:sz w:val="18"/>
                <w:szCs w:val="16"/>
              </w:rPr>
              <w:t>(σε εκατ. ευρώ)</w:t>
            </w:r>
            <w:bookmarkEnd w:id="57"/>
            <w:bookmarkEnd w:id="58"/>
          </w:p>
        </w:tc>
      </w:tr>
      <w:tr w:rsidR="0085659E" w:rsidRPr="00372745" w14:paraId="2C49EAD0" w14:textId="77777777" w:rsidTr="000C6040">
        <w:trPr>
          <w:cantSplit/>
          <w:trHeight w:val="340"/>
          <w:tblHeader/>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5000C28B" w14:textId="6A497E0C" w:rsidR="00EE405C" w:rsidRPr="00372745" w:rsidRDefault="00EE405C" w:rsidP="009D02E9">
            <w:pPr>
              <w:spacing w:after="0" w:line="264" w:lineRule="auto"/>
              <w:jc w:val="center"/>
              <w:rPr>
                <w:rFonts w:cs="Arial"/>
                <w:color w:val="000000"/>
                <w:sz w:val="16"/>
                <w:szCs w:val="16"/>
              </w:rPr>
            </w:pPr>
          </w:p>
        </w:tc>
        <w:tc>
          <w:tcPr>
            <w:tcW w:w="1034" w:type="dxa"/>
            <w:tcBorders>
              <w:top w:val="nil"/>
              <w:bottom w:val="nil"/>
            </w:tcBorders>
            <w:shd w:val="clear" w:color="auto" w:fill="F2F2F2" w:themeFill="background1" w:themeFillShade="F2"/>
            <w:vAlign w:val="center"/>
            <w:hideMark/>
          </w:tcPr>
          <w:p w14:paraId="48343C1E" w14:textId="4D6146DD"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202</w:t>
            </w:r>
            <w:r w:rsidR="00E54B1A">
              <w:rPr>
                <w:rFonts w:cs="Arial"/>
                <w:b/>
                <w:bCs/>
                <w:color w:val="000000"/>
                <w:sz w:val="16"/>
                <w:szCs w:val="16"/>
              </w:rPr>
              <w:t>5</w:t>
            </w:r>
          </w:p>
        </w:tc>
        <w:tc>
          <w:tcPr>
            <w:tcW w:w="2588" w:type="dxa"/>
            <w:gridSpan w:val="2"/>
            <w:tcBorders>
              <w:top w:val="nil"/>
              <w:bottom w:val="nil"/>
            </w:tcBorders>
            <w:shd w:val="clear" w:color="auto" w:fill="F2F2F2" w:themeFill="background1" w:themeFillShade="F2"/>
            <w:vAlign w:val="center"/>
            <w:hideMark/>
          </w:tcPr>
          <w:p w14:paraId="16F31AC6" w14:textId="1CA7E883"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202</w:t>
            </w:r>
            <w:r w:rsidR="00E54B1A">
              <w:rPr>
                <w:rFonts w:cs="Arial"/>
                <w:b/>
                <w:bCs/>
                <w:color w:val="000000"/>
                <w:sz w:val="16"/>
                <w:szCs w:val="16"/>
              </w:rPr>
              <w:t>6</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0756E989" w14:textId="511080C5"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202</w:t>
            </w:r>
            <w:r w:rsidR="00E54B1A">
              <w:rPr>
                <w:rFonts w:cs="Arial"/>
                <w:b/>
                <w:bCs/>
                <w:color w:val="000000"/>
                <w:sz w:val="16"/>
                <w:szCs w:val="16"/>
              </w:rPr>
              <w:t>7</w:t>
            </w:r>
          </w:p>
        </w:tc>
      </w:tr>
      <w:tr w:rsidR="008C0A0E" w:rsidRPr="00372745" w14:paraId="72AC5E10" w14:textId="77777777" w:rsidTr="00596BB1">
        <w:trPr>
          <w:cantSplit/>
          <w:tblHeader/>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2AC1F053" w14:textId="363354D0" w:rsidR="00EE405C" w:rsidRPr="00372745" w:rsidRDefault="00EE405C" w:rsidP="009D02E9">
            <w:pPr>
              <w:spacing w:after="0" w:line="264" w:lineRule="auto"/>
              <w:jc w:val="left"/>
              <w:rPr>
                <w:rFonts w:cs="Arial"/>
                <w:color w:val="000000"/>
                <w:sz w:val="16"/>
                <w:szCs w:val="16"/>
              </w:rPr>
            </w:pPr>
          </w:p>
        </w:tc>
        <w:tc>
          <w:tcPr>
            <w:tcW w:w="1034" w:type="dxa"/>
            <w:tcBorders>
              <w:top w:val="nil"/>
              <w:bottom w:val="nil"/>
            </w:tcBorders>
            <w:shd w:val="clear" w:color="auto" w:fill="F2F2F2" w:themeFill="background1" w:themeFillShade="F2"/>
            <w:vAlign w:val="center"/>
            <w:hideMark/>
          </w:tcPr>
          <w:p w14:paraId="6D2D73EB" w14:textId="17B92E56"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ΔΥΕ Απριλίου 202</w:t>
            </w:r>
            <w:r w:rsidR="00E54B1A">
              <w:rPr>
                <w:rFonts w:cs="Arial"/>
                <w:b/>
                <w:bCs/>
                <w:color w:val="000000"/>
                <w:sz w:val="16"/>
                <w:szCs w:val="16"/>
              </w:rPr>
              <w:t>6</w:t>
            </w:r>
            <w:r w:rsidRPr="00606317">
              <w:rPr>
                <w:rFonts w:cs="Arial"/>
                <w:b/>
                <w:bCs/>
                <w:color w:val="000000"/>
                <w:sz w:val="16"/>
                <w:szCs w:val="16"/>
                <w:vertAlign w:val="superscript"/>
              </w:rPr>
              <w:t>4</w:t>
            </w:r>
          </w:p>
        </w:tc>
        <w:tc>
          <w:tcPr>
            <w:tcW w:w="1551" w:type="dxa"/>
            <w:tcBorders>
              <w:top w:val="nil"/>
              <w:bottom w:val="nil"/>
            </w:tcBorders>
            <w:shd w:val="clear" w:color="auto" w:fill="F2F2F2" w:themeFill="background1" w:themeFillShade="F2"/>
            <w:vAlign w:val="center"/>
            <w:hideMark/>
          </w:tcPr>
          <w:p w14:paraId="03C5016D" w14:textId="2038D243"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Προϋπ</w:t>
            </w:r>
            <w:r w:rsidR="009A7160">
              <w:rPr>
                <w:rFonts w:cs="Arial"/>
                <w:b/>
                <w:bCs/>
                <w:color w:val="000000"/>
                <w:sz w:val="16"/>
                <w:szCs w:val="16"/>
              </w:rPr>
              <w:t>ολογι</w:t>
            </w:r>
            <w:r w:rsidRPr="00372745">
              <w:rPr>
                <w:rFonts w:cs="Arial"/>
                <w:b/>
                <w:bCs/>
                <w:color w:val="000000"/>
                <w:sz w:val="16"/>
                <w:szCs w:val="16"/>
              </w:rPr>
              <w:t>σμός</w:t>
            </w:r>
          </w:p>
        </w:tc>
        <w:tc>
          <w:tcPr>
            <w:tcW w:w="1037" w:type="dxa"/>
            <w:tcBorders>
              <w:top w:val="nil"/>
              <w:bottom w:val="nil"/>
            </w:tcBorders>
            <w:shd w:val="clear" w:color="auto" w:fill="F2F2F2" w:themeFill="background1" w:themeFillShade="F2"/>
            <w:vAlign w:val="center"/>
            <w:hideMark/>
          </w:tcPr>
          <w:p w14:paraId="37D45A3C" w14:textId="6D693D39"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Εκτίμηση</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68968D01" w14:textId="77777777"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Πρόβλεψη</w:t>
            </w:r>
          </w:p>
        </w:tc>
      </w:tr>
      <w:tr w:rsidR="008C0A0E" w:rsidRPr="00372745" w14:paraId="4206A601" w14:textId="77777777" w:rsidTr="00596BB1">
        <w:trPr>
          <w:cantSplit/>
          <w:jc w:val="center"/>
        </w:trPr>
        <w:tc>
          <w:tcPr>
            <w:tcW w:w="4587" w:type="dxa"/>
            <w:tcBorders>
              <w:top w:val="nil"/>
              <w:left w:val="single" w:sz="2" w:space="0" w:color="A6A6A6" w:themeColor="background1" w:themeShade="A6"/>
              <w:bottom w:val="nil"/>
            </w:tcBorders>
            <w:shd w:val="clear" w:color="auto" w:fill="D5DCE4"/>
            <w:vAlign w:val="center"/>
            <w:hideMark/>
          </w:tcPr>
          <w:p w14:paraId="28A4C6A7" w14:textId="5BEA3774"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I.</w:t>
            </w:r>
            <w:r>
              <w:rPr>
                <w:rFonts w:cs="Arial"/>
                <w:b/>
                <w:bCs/>
                <w:sz w:val="16"/>
                <w:szCs w:val="16"/>
              </w:rPr>
              <w:tab/>
            </w:r>
            <w:r w:rsidRPr="00372745">
              <w:rPr>
                <w:rFonts w:cs="Arial"/>
                <w:b/>
                <w:bCs/>
                <w:sz w:val="16"/>
                <w:szCs w:val="16"/>
              </w:rPr>
              <w:t xml:space="preserve">Καθαρά έσοδα κρατικού προϋπολογισμού κατά ESA </w:t>
            </w:r>
            <w:r w:rsidR="00B61F43">
              <w:rPr>
                <w:rFonts w:cs="Arial"/>
                <w:b/>
                <w:bCs/>
                <w:sz w:val="16"/>
                <w:szCs w:val="16"/>
              </w:rPr>
              <w:tab/>
            </w:r>
            <w:r w:rsidRPr="00372745">
              <w:rPr>
                <w:rFonts w:cs="Arial"/>
                <w:b/>
                <w:bCs/>
                <w:sz w:val="16"/>
                <w:szCs w:val="16"/>
              </w:rPr>
              <w:t>(</w:t>
            </w:r>
            <w:proofErr w:type="spellStart"/>
            <w:r w:rsidRPr="00372745">
              <w:rPr>
                <w:rFonts w:cs="Arial"/>
                <w:b/>
                <w:bCs/>
                <w:sz w:val="16"/>
                <w:szCs w:val="16"/>
              </w:rPr>
              <w:t>α+β+γ+δ+ε+στ-ζ</w:t>
            </w:r>
            <w:proofErr w:type="spellEnd"/>
            <w:r w:rsidRPr="00372745">
              <w:rPr>
                <w:rFonts w:cs="Arial"/>
                <w:b/>
                <w:bCs/>
                <w:sz w:val="16"/>
                <w:szCs w:val="16"/>
              </w:rPr>
              <w:t>)</w:t>
            </w:r>
          </w:p>
        </w:tc>
        <w:tc>
          <w:tcPr>
            <w:tcW w:w="1034" w:type="dxa"/>
            <w:tcBorders>
              <w:top w:val="nil"/>
              <w:bottom w:val="nil"/>
            </w:tcBorders>
            <w:shd w:val="clear" w:color="auto" w:fill="D5DCE4"/>
            <w:vAlign w:val="center"/>
          </w:tcPr>
          <w:p w14:paraId="5465C2F8" w14:textId="6E3A5451" w:rsidR="00E54B1A" w:rsidRPr="002679D8" w:rsidRDefault="00E54B1A" w:rsidP="009D02E9">
            <w:pPr>
              <w:spacing w:after="0" w:line="264" w:lineRule="auto"/>
              <w:jc w:val="right"/>
              <w:rPr>
                <w:rFonts w:cs="Arial"/>
                <w:b/>
                <w:bCs/>
                <w:sz w:val="16"/>
                <w:szCs w:val="16"/>
              </w:rPr>
            </w:pPr>
            <w:r w:rsidRPr="002679D8">
              <w:rPr>
                <w:rFonts w:cs="Arial"/>
                <w:b/>
                <w:bCs/>
                <w:sz w:val="16"/>
                <w:szCs w:val="16"/>
              </w:rPr>
              <w:t>76.835</w:t>
            </w:r>
          </w:p>
        </w:tc>
        <w:tc>
          <w:tcPr>
            <w:tcW w:w="1551" w:type="dxa"/>
            <w:tcBorders>
              <w:top w:val="nil"/>
              <w:bottom w:val="nil"/>
            </w:tcBorders>
            <w:shd w:val="clear" w:color="auto" w:fill="D5DCE4"/>
            <w:vAlign w:val="center"/>
          </w:tcPr>
          <w:p w14:paraId="5EF576D0" w14:textId="4EC1883C" w:rsidR="00E54B1A" w:rsidRPr="002679D8" w:rsidRDefault="00E54B1A" w:rsidP="009D02E9">
            <w:pPr>
              <w:spacing w:after="0" w:line="264" w:lineRule="auto"/>
              <w:jc w:val="right"/>
              <w:rPr>
                <w:rFonts w:cs="Arial"/>
                <w:b/>
                <w:bCs/>
                <w:sz w:val="16"/>
                <w:szCs w:val="16"/>
              </w:rPr>
            </w:pPr>
            <w:r w:rsidRPr="002679D8">
              <w:rPr>
                <w:rFonts w:cs="Arial"/>
                <w:b/>
                <w:bCs/>
                <w:sz w:val="16"/>
                <w:szCs w:val="16"/>
              </w:rPr>
              <w:t>79.983</w:t>
            </w:r>
          </w:p>
        </w:tc>
        <w:tc>
          <w:tcPr>
            <w:tcW w:w="1037" w:type="dxa"/>
            <w:tcBorders>
              <w:top w:val="nil"/>
              <w:bottom w:val="nil"/>
            </w:tcBorders>
            <w:shd w:val="clear" w:color="auto" w:fill="D5DCE4"/>
            <w:vAlign w:val="center"/>
          </w:tcPr>
          <w:p w14:paraId="09DBF7C9" w14:textId="71943358" w:rsidR="00E54B1A" w:rsidRPr="002679D8" w:rsidRDefault="00E54B1A" w:rsidP="009D02E9">
            <w:pPr>
              <w:spacing w:after="0" w:line="264" w:lineRule="auto"/>
              <w:jc w:val="right"/>
              <w:rPr>
                <w:rFonts w:cs="Arial"/>
                <w:b/>
                <w:bCs/>
                <w:sz w:val="16"/>
                <w:szCs w:val="16"/>
              </w:rPr>
            </w:pPr>
            <w:r w:rsidRPr="002679D8">
              <w:rPr>
                <w:rFonts w:cs="Arial"/>
                <w:b/>
                <w:bCs/>
                <w:sz w:val="16"/>
                <w:szCs w:val="16"/>
              </w:rPr>
              <w:t>82.872</w:t>
            </w:r>
          </w:p>
        </w:tc>
        <w:tc>
          <w:tcPr>
            <w:tcW w:w="1043" w:type="dxa"/>
            <w:tcBorders>
              <w:top w:val="nil"/>
              <w:bottom w:val="nil"/>
              <w:right w:val="single" w:sz="2" w:space="0" w:color="A6A6A6" w:themeColor="background1" w:themeShade="A6"/>
            </w:tcBorders>
            <w:shd w:val="clear" w:color="auto" w:fill="D5DCE4"/>
            <w:vAlign w:val="center"/>
          </w:tcPr>
          <w:p w14:paraId="56BD94EA" w14:textId="5D82B718" w:rsidR="00E54B1A" w:rsidRPr="002679D8" w:rsidRDefault="00E54B1A" w:rsidP="009D02E9">
            <w:pPr>
              <w:spacing w:after="0" w:line="264" w:lineRule="auto"/>
              <w:jc w:val="right"/>
              <w:rPr>
                <w:rFonts w:cs="Arial"/>
                <w:b/>
                <w:bCs/>
                <w:sz w:val="16"/>
                <w:szCs w:val="16"/>
              </w:rPr>
            </w:pPr>
            <w:r w:rsidRPr="002679D8">
              <w:rPr>
                <w:rFonts w:cs="Arial"/>
                <w:b/>
                <w:bCs/>
                <w:sz w:val="16"/>
                <w:szCs w:val="16"/>
              </w:rPr>
              <w:t>78.685</w:t>
            </w:r>
          </w:p>
        </w:tc>
      </w:tr>
      <w:tr w:rsidR="008C0A0E" w:rsidRPr="00372745" w14:paraId="7043ACF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41B5BC4" w14:textId="36AA6A81"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α.</w:t>
            </w:r>
            <w:r>
              <w:rPr>
                <w:rFonts w:cs="Arial"/>
                <w:b/>
                <w:bCs/>
                <w:sz w:val="16"/>
                <w:szCs w:val="16"/>
              </w:rPr>
              <w:tab/>
            </w:r>
            <w:r w:rsidRPr="00372745">
              <w:rPr>
                <w:rFonts w:cs="Arial"/>
                <w:b/>
                <w:bCs/>
                <w:sz w:val="16"/>
                <w:szCs w:val="16"/>
              </w:rPr>
              <w:t>Φόροι (1+2+3+4+5+6+7)</w:t>
            </w:r>
          </w:p>
        </w:tc>
        <w:tc>
          <w:tcPr>
            <w:tcW w:w="1034" w:type="dxa"/>
            <w:tcBorders>
              <w:top w:val="nil"/>
              <w:bottom w:val="nil"/>
            </w:tcBorders>
            <w:vAlign w:val="center"/>
          </w:tcPr>
          <w:p w14:paraId="789C3B27" w14:textId="7AB704EF" w:rsidR="00E54B1A" w:rsidRPr="002679D8" w:rsidRDefault="00E54B1A" w:rsidP="009D02E9">
            <w:pPr>
              <w:spacing w:after="0" w:line="264" w:lineRule="auto"/>
              <w:jc w:val="right"/>
              <w:rPr>
                <w:rFonts w:cs="Arial"/>
                <w:b/>
                <w:bCs/>
                <w:sz w:val="16"/>
                <w:szCs w:val="16"/>
              </w:rPr>
            </w:pPr>
            <w:r w:rsidRPr="002679D8">
              <w:rPr>
                <w:rFonts w:cs="Arial"/>
                <w:b/>
                <w:bCs/>
                <w:sz w:val="16"/>
                <w:szCs w:val="16"/>
              </w:rPr>
              <w:t>72.369</w:t>
            </w:r>
          </w:p>
        </w:tc>
        <w:tc>
          <w:tcPr>
            <w:tcW w:w="1551" w:type="dxa"/>
            <w:tcBorders>
              <w:top w:val="nil"/>
              <w:bottom w:val="nil"/>
            </w:tcBorders>
            <w:vAlign w:val="center"/>
          </w:tcPr>
          <w:p w14:paraId="1C9635EA" w14:textId="5A453045" w:rsidR="00E54B1A" w:rsidRPr="002679D8" w:rsidRDefault="00E54B1A" w:rsidP="009D02E9">
            <w:pPr>
              <w:spacing w:after="0" w:line="264" w:lineRule="auto"/>
              <w:jc w:val="right"/>
              <w:rPr>
                <w:rFonts w:cs="Arial"/>
                <w:b/>
                <w:bCs/>
                <w:sz w:val="16"/>
                <w:szCs w:val="16"/>
              </w:rPr>
            </w:pPr>
            <w:r w:rsidRPr="002679D8">
              <w:rPr>
                <w:rFonts w:cs="Arial"/>
                <w:b/>
                <w:bCs/>
                <w:sz w:val="16"/>
                <w:szCs w:val="16"/>
              </w:rPr>
              <w:t>73.645</w:t>
            </w:r>
          </w:p>
        </w:tc>
        <w:tc>
          <w:tcPr>
            <w:tcW w:w="1037" w:type="dxa"/>
            <w:tcBorders>
              <w:top w:val="nil"/>
              <w:bottom w:val="nil"/>
            </w:tcBorders>
            <w:vAlign w:val="center"/>
          </w:tcPr>
          <w:p w14:paraId="499F1777" w14:textId="2B59B331" w:rsidR="00E54B1A" w:rsidRPr="002679D8" w:rsidRDefault="00E54B1A" w:rsidP="009D02E9">
            <w:pPr>
              <w:spacing w:after="0" w:line="264" w:lineRule="auto"/>
              <w:jc w:val="right"/>
              <w:rPr>
                <w:rFonts w:cs="Arial"/>
                <w:b/>
                <w:bCs/>
                <w:sz w:val="16"/>
                <w:szCs w:val="16"/>
              </w:rPr>
            </w:pPr>
            <w:r w:rsidRPr="002679D8">
              <w:rPr>
                <w:rFonts w:cs="Arial"/>
                <w:b/>
                <w:bCs/>
                <w:sz w:val="16"/>
                <w:szCs w:val="16"/>
              </w:rPr>
              <w:t>75.729</w:t>
            </w:r>
          </w:p>
        </w:tc>
        <w:tc>
          <w:tcPr>
            <w:tcW w:w="1043" w:type="dxa"/>
            <w:tcBorders>
              <w:top w:val="nil"/>
              <w:bottom w:val="nil"/>
              <w:right w:val="single" w:sz="2" w:space="0" w:color="A6A6A6" w:themeColor="background1" w:themeShade="A6"/>
            </w:tcBorders>
            <w:vAlign w:val="center"/>
          </w:tcPr>
          <w:p w14:paraId="775418AD" w14:textId="2B3C1666" w:rsidR="00E54B1A" w:rsidRPr="002679D8" w:rsidRDefault="00E54B1A" w:rsidP="009D02E9">
            <w:pPr>
              <w:spacing w:after="0" w:line="264" w:lineRule="auto"/>
              <w:jc w:val="right"/>
              <w:rPr>
                <w:rFonts w:cs="Arial"/>
                <w:b/>
                <w:bCs/>
                <w:sz w:val="16"/>
                <w:szCs w:val="16"/>
              </w:rPr>
            </w:pPr>
            <w:r w:rsidRPr="002679D8">
              <w:rPr>
                <w:rFonts w:cs="Arial"/>
                <w:b/>
                <w:bCs/>
                <w:sz w:val="16"/>
                <w:szCs w:val="16"/>
              </w:rPr>
              <w:t>77.878</w:t>
            </w:r>
          </w:p>
        </w:tc>
      </w:tr>
      <w:tr w:rsidR="008C0A0E" w:rsidRPr="00372745" w14:paraId="6B7B1B4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F5067C2" w14:textId="68E080DA" w:rsidR="00E54B1A" w:rsidRPr="00372745" w:rsidRDefault="00E54B1A" w:rsidP="009D02E9">
            <w:pPr>
              <w:tabs>
                <w:tab w:val="left" w:pos="510"/>
              </w:tabs>
              <w:spacing w:after="0" w:line="264" w:lineRule="auto"/>
              <w:ind w:left="340"/>
              <w:jc w:val="left"/>
              <w:rPr>
                <w:rFonts w:cs="Arial"/>
                <w:sz w:val="16"/>
                <w:szCs w:val="16"/>
              </w:rPr>
            </w:pPr>
            <w:r w:rsidRPr="00B146AC">
              <w:rPr>
                <w:rFonts w:cs="Arial"/>
                <w:sz w:val="16"/>
                <w:szCs w:val="16"/>
              </w:rPr>
              <w:t>1.</w:t>
            </w:r>
            <w:r w:rsidR="00CD7673">
              <w:rPr>
                <w:rFonts w:cs="Arial"/>
                <w:sz w:val="16"/>
                <w:szCs w:val="16"/>
              </w:rPr>
              <w:tab/>
            </w:r>
            <w:r w:rsidRPr="00372745">
              <w:rPr>
                <w:rFonts w:cs="Arial"/>
                <w:sz w:val="16"/>
                <w:szCs w:val="16"/>
              </w:rPr>
              <w:t>Φόροι επί αγαθών και υπηρεσιών</w:t>
            </w:r>
          </w:p>
        </w:tc>
        <w:tc>
          <w:tcPr>
            <w:tcW w:w="1034" w:type="dxa"/>
            <w:tcBorders>
              <w:top w:val="nil"/>
              <w:bottom w:val="nil"/>
            </w:tcBorders>
            <w:vAlign w:val="center"/>
          </w:tcPr>
          <w:p w14:paraId="7AA9756F" w14:textId="3B34185A" w:rsidR="00E54B1A" w:rsidRPr="002679D8" w:rsidRDefault="00E54B1A" w:rsidP="009D02E9">
            <w:pPr>
              <w:spacing w:after="0" w:line="264" w:lineRule="auto"/>
              <w:jc w:val="right"/>
              <w:rPr>
                <w:rFonts w:cs="Arial"/>
                <w:sz w:val="16"/>
                <w:szCs w:val="16"/>
              </w:rPr>
            </w:pPr>
            <w:r w:rsidRPr="002679D8">
              <w:rPr>
                <w:rFonts w:cs="Arial"/>
                <w:sz w:val="16"/>
                <w:szCs w:val="16"/>
              </w:rPr>
              <w:t>40.295</w:t>
            </w:r>
          </w:p>
        </w:tc>
        <w:tc>
          <w:tcPr>
            <w:tcW w:w="1551" w:type="dxa"/>
            <w:tcBorders>
              <w:top w:val="nil"/>
              <w:bottom w:val="nil"/>
            </w:tcBorders>
            <w:vAlign w:val="center"/>
          </w:tcPr>
          <w:p w14:paraId="520B1C2F" w14:textId="5897119B" w:rsidR="00E54B1A" w:rsidRPr="002679D8" w:rsidRDefault="00E54B1A" w:rsidP="009D02E9">
            <w:pPr>
              <w:spacing w:after="0" w:line="264" w:lineRule="auto"/>
              <w:jc w:val="right"/>
              <w:rPr>
                <w:rFonts w:cs="Arial"/>
                <w:sz w:val="16"/>
                <w:szCs w:val="16"/>
              </w:rPr>
            </w:pPr>
            <w:r w:rsidRPr="002679D8">
              <w:rPr>
                <w:rFonts w:cs="Arial"/>
                <w:sz w:val="16"/>
                <w:szCs w:val="16"/>
              </w:rPr>
              <w:t>40.872</w:t>
            </w:r>
          </w:p>
        </w:tc>
        <w:tc>
          <w:tcPr>
            <w:tcW w:w="1037" w:type="dxa"/>
            <w:tcBorders>
              <w:top w:val="nil"/>
              <w:bottom w:val="nil"/>
            </w:tcBorders>
            <w:vAlign w:val="center"/>
          </w:tcPr>
          <w:p w14:paraId="0F451078" w14:textId="368B4A24" w:rsidR="00E54B1A" w:rsidRPr="002679D8" w:rsidRDefault="00E54B1A" w:rsidP="009D02E9">
            <w:pPr>
              <w:spacing w:after="0" w:line="264" w:lineRule="auto"/>
              <w:jc w:val="right"/>
              <w:rPr>
                <w:rFonts w:cs="Arial"/>
                <w:sz w:val="16"/>
                <w:szCs w:val="16"/>
              </w:rPr>
            </w:pPr>
            <w:r w:rsidRPr="002679D8">
              <w:rPr>
                <w:rFonts w:cs="Arial"/>
                <w:sz w:val="16"/>
                <w:szCs w:val="16"/>
              </w:rPr>
              <w:t>42.252</w:t>
            </w:r>
          </w:p>
        </w:tc>
        <w:tc>
          <w:tcPr>
            <w:tcW w:w="1043" w:type="dxa"/>
            <w:tcBorders>
              <w:top w:val="nil"/>
              <w:bottom w:val="nil"/>
              <w:right w:val="single" w:sz="2" w:space="0" w:color="A6A6A6" w:themeColor="background1" w:themeShade="A6"/>
            </w:tcBorders>
            <w:vAlign w:val="center"/>
          </w:tcPr>
          <w:p w14:paraId="67957374" w14:textId="18A810F6" w:rsidR="00E54B1A" w:rsidRPr="002679D8" w:rsidRDefault="00E54B1A" w:rsidP="009D02E9">
            <w:pPr>
              <w:spacing w:after="0" w:line="264" w:lineRule="auto"/>
              <w:jc w:val="right"/>
              <w:rPr>
                <w:rFonts w:cs="Arial"/>
                <w:sz w:val="16"/>
                <w:szCs w:val="16"/>
              </w:rPr>
            </w:pPr>
            <w:r w:rsidRPr="002679D8">
              <w:rPr>
                <w:rFonts w:cs="Arial"/>
                <w:sz w:val="16"/>
                <w:szCs w:val="16"/>
              </w:rPr>
              <w:t>42.431</w:t>
            </w:r>
          </w:p>
        </w:tc>
      </w:tr>
      <w:tr w:rsidR="008C0A0E" w:rsidRPr="00372745" w14:paraId="0480337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CD17EF4" w14:textId="786F4D61" w:rsidR="00E54B1A" w:rsidRPr="00372745" w:rsidRDefault="00E54B1A" w:rsidP="009D02E9">
            <w:pPr>
              <w:tabs>
                <w:tab w:val="left" w:pos="510"/>
                <w:tab w:val="left" w:pos="1671"/>
              </w:tabs>
              <w:spacing w:after="0" w:line="264" w:lineRule="auto"/>
              <w:ind w:left="510"/>
              <w:jc w:val="left"/>
              <w:rPr>
                <w:rFonts w:cs="Arial"/>
                <w:sz w:val="16"/>
                <w:szCs w:val="16"/>
              </w:rPr>
            </w:pPr>
            <w:r w:rsidRPr="00372745">
              <w:rPr>
                <w:rFonts w:cs="Arial"/>
                <w:sz w:val="16"/>
                <w:szCs w:val="16"/>
              </w:rPr>
              <w:t>εκ των οποίων:</w:t>
            </w:r>
            <w:r w:rsidR="00A5327A">
              <w:rPr>
                <w:rFonts w:cs="Arial"/>
                <w:sz w:val="16"/>
                <w:szCs w:val="16"/>
              </w:rPr>
              <w:tab/>
            </w:r>
            <w:r w:rsidRPr="00372745">
              <w:rPr>
                <w:rFonts w:cs="Arial"/>
                <w:sz w:val="16"/>
                <w:szCs w:val="16"/>
              </w:rPr>
              <w:t>Φόροι προστιθέμενης αξίας</w:t>
            </w:r>
          </w:p>
        </w:tc>
        <w:tc>
          <w:tcPr>
            <w:tcW w:w="1034" w:type="dxa"/>
            <w:tcBorders>
              <w:top w:val="nil"/>
              <w:bottom w:val="nil"/>
            </w:tcBorders>
            <w:vAlign w:val="center"/>
          </w:tcPr>
          <w:p w14:paraId="3C0037AC" w14:textId="029F6498" w:rsidR="00E54B1A" w:rsidRPr="002679D8" w:rsidRDefault="00E54B1A" w:rsidP="009D02E9">
            <w:pPr>
              <w:spacing w:after="0" w:line="264" w:lineRule="auto"/>
              <w:jc w:val="right"/>
              <w:rPr>
                <w:rFonts w:cs="Arial"/>
                <w:sz w:val="16"/>
                <w:szCs w:val="16"/>
              </w:rPr>
            </w:pPr>
            <w:r w:rsidRPr="002679D8">
              <w:rPr>
                <w:rFonts w:cs="Arial"/>
                <w:sz w:val="16"/>
                <w:szCs w:val="16"/>
              </w:rPr>
              <w:t>28.601</w:t>
            </w:r>
          </w:p>
        </w:tc>
        <w:tc>
          <w:tcPr>
            <w:tcW w:w="1551" w:type="dxa"/>
            <w:tcBorders>
              <w:top w:val="nil"/>
              <w:bottom w:val="nil"/>
            </w:tcBorders>
            <w:vAlign w:val="center"/>
          </w:tcPr>
          <w:p w14:paraId="6F64A403" w14:textId="37E2C9AD" w:rsidR="00E54B1A" w:rsidRPr="002679D8" w:rsidRDefault="00E54B1A" w:rsidP="009D02E9">
            <w:pPr>
              <w:spacing w:after="0" w:line="264" w:lineRule="auto"/>
              <w:jc w:val="right"/>
              <w:rPr>
                <w:rFonts w:cs="Arial"/>
                <w:sz w:val="16"/>
                <w:szCs w:val="16"/>
              </w:rPr>
            </w:pPr>
            <w:r w:rsidRPr="002679D8">
              <w:rPr>
                <w:rFonts w:cs="Arial"/>
                <w:sz w:val="16"/>
                <w:szCs w:val="16"/>
              </w:rPr>
              <w:t>29.229</w:t>
            </w:r>
          </w:p>
        </w:tc>
        <w:tc>
          <w:tcPr>
            <w:tcW w:w="1037" w:type="dxa"/>
            <w:tcBorders>
              <w:top w:val="nil"/>
              <w:bottom w:val="nil"/>
            </w:tcBorders>
            <w:vAlign w:val="center"/>
          </w:tcPr>
          <w:p w14:paraId="02F501D4" w14:textId="125FBD02" w:rsidR="00E54B1A" w:rsidRPr="002679D8" w:rsidRDefault="00E54B1A" w:rsidP="009D02E9">
            <w:pPr>
              <w:spacing w:after="0" w:line="264" w:lineRule="auto"/>
              <w:jc w:val="right"/>
              <w:rPr>
                <w:rFonts w:cs="Arial"/>
                <w:sz w:val="16"/>
                <w:szCs w:val="16"/>
              </w:rPr>
            </w:pPr>
            <w:r w:rsidRPr="002679D8">
              <w:rPr>
                <w:rFonts w:cs="Arial"/>
                <w:sz w:val="16"/>
                <w:szCs w:val="16"/>
              </w:rPr>
              <w:t>30.777</w:t>
            </w:r>
          </w:p>
        </w:tc>
        <w:tc>
          <w:tcPr>
            <w:tcW w:w="1043" w:type="dxa"/>
            <w:tcBorders>
              <w:top w:val="nil"/>
              <w:bottom w:val="nil"/>
              <w:right w:val="single" w:sz="2" w:space="0" w:color="A6A6A6" w:themeColor="background1" w:themeShade="A6"/>
            </w:tcBorders>
            <w:vAlign w:val="center"/>
          </w:tcPr>
          <w:p w14:paraId="0C53C383" w14:textId="7DE2A0F5" w:rsidR="00E54B1A" w:rsidRPr="002679D8" w:rsidRDefault="00E54B1A" w:rsidP="009D02E9">
            <w:pPr>
              <w:spacing w:after="0" w:line="264" w:lineRule="auto"/>
              <w:jc w:val="right"/>
              <w:rPr>
                <w:rFonts w:cs="Arial"/>
                <w:sz w:val="16"/>
                <w:szCs w:val="16"/>
              </w:rPr>
            </w:pPr>
            <w:r w:rsidRPr="002679D8">
              <w:rPr>
                <w:rFonts w:cs="Arial"/>
                <w:sz w:val="16"/>
                <w:szCs w:val="16"/>
              </w:rPr>
              <w:t>30.581</w:t>
            </w:r>
          </w:p>
        </w:tc>
      </w:tr>
      <w:tr w:rsidR="008C0A0E" w:rsidRPr="00372745" w14:paraId="43FF7323"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544040A" w14:textId="25DDF4AB" w:rsidR="00E54B1A" w:rsidRPr="00372745" w:rsidRDefault="00A5327A" w:rsidP="009D02E9">
            <w:pPr>
              <w:tabs>
                <w:tab w:val="left" w:pos="1671"/>
              </w:tabs>
              <w:spacing w:after="0" w:line="264" w:lineRule="auto"/>
              <w:ind w:left="510"/>
              <w:jc w:val="left"/>
              <w:rPr>
                <w:rFonts w:cs="Arial"/>
                <w:sz w:val="16"/>
                <w:szCs w:val="16"/>
              </w:rPr>
            </w:pPr>
            <w:r>
              <w:rPr>
                <w:rFonts w:cs="Arial"/>
                <w:sz w:val="16"/>
                <w:szCs w:val="16"/>
              </w:rPr>
              <w:tab/>
            </w:r>
            <w:r w:rsidR="00E54B1A" w:rsidRPr="00372745">
              <w:rPr>
                <w:rFonts w:cs="Arial"/>
                <w:sz w:val="16"/>
                <w:szCs w:val="16"/>
              </w:rPr>
              <w:t>Ειδικοί φόροι κατανάλωσης</w:t>
            </w:r>
          </w:p>
        </w:tc>
        <w:tc>
          <w:tcPr>
            <w:tcW w:w="1034" w:type="dxa"/>
            <w:tcBorders>
              <w:top w:val="nil"/>
              <w:bottom w:val="nil"/>
            </w:tcBorders>
            <w:vAlign w:val="center"/>
          </w:tcPr>
          <w:p w14:paraId="5D5BC2B5" w14:textId="7A45CFC9" w:rsidR="00E54B1A" w:rsidRPr="002679D8" w:rsidRDefault="00E54B1A" w:rsidP="009D02E9">
            <w:pPr>
              <w:spacing w:after="0" w:line="264" w:lineRule="auto"/>
              <w:jc w:val="right"/>
              <w:rPr>
                <w:rFonts w:cs="Arial"/>
                <w:sz w:val="16"/>
                <w:szCs w:val="16"/>
              </w:rPr>
            </w:pPr>
            <w:r w:rsidRPr="002679D8">
              <w:rPr>
                <w:rFonts w:cs="Arial"/>
                <w:sz w:val="16"/>
                <w:szCs w:val="16"/>
              </w:rPr>
              <w:t>7.418</w:t>
            </w:r>
          </w:p>
        </w:tc>
        <w:tc>
          <w:tcPr>
            <w:tcW w:w="1551" w:type="dxa"/>
            <w:tcBorders>
              <w:top w:val="nil"/>
              <w:bottom w:val="nil"/>
            </w:tcBorders>
            <w:vAlign w:val="center"/>
          </w:tcPr>
          <w:p w14:paraId="24499337" w14:textId="63414ABA" w:rsidR="00E54B1A" w:rsidRPr="002679D8" w:rsidRDefault="00E54B1A" w:rsidP="009D02E9">
            <w:pPr>
              <w:spacing w:after="0" w:line="264" w:lineRule="auto"/>
              <w:jc w:val="right"/>
              <w:rPr>
                <w:rFonts w:cs="Arial"/>
                <w:sz w:val="16"/>
                <w:szCs w:val="16"/>
              </w:rPr>
            </w:pPr>
            <w:r w:rsidRPr="002679D8">
              <w:rPr>
                <w:rFonts w:cs="Arial"/>
                <w:sz w:val="16"/>
                <w:szCs w:val="16"/>
              </w:rPr>
              <w:t>7.460</w:t>
            </w:r>
          </w:p>
        </w:tc>
        <w:tc>
          <w:tcPr>
            <w:tcW w:w="1037" w:type="dxa"/>
            <w:tcBorders>
              <w:top w:val="nil"/>
              <w:bottom w:val="nil"/>
            </w:tcBorders>
            <w:vAlign w:val="center"/>
          </w:tcPr>
          <w:p w14:paraId="35A16951" w14:textId="5ADCB363" w:rsidR="00E54B1A" w:rsidRPr="002679D8" w:rsidRDefault="00E54B1A" w:rsidP="009D02E9">
            <w:pPr>
              <w:spacing w:after="0" w:line="264" w:lineRule="auto"/>
              <w:jc w:val="right"/>
              <w:rPr>
                <w:rFonts w:cs="Arial"/>
                <w:sz w:val="16"/>
                <w:szCs w:val="16"/>
              </w:rPr>
            </w:pPr>
            <w:r w:rsidRPr="002679D8">
              <w:rPr>
                <w:rFonts w:cs="Arial"/>
                <w:sz w:val="16"/>
                <w:szCs w:val="16"/>
              </w:rPr>
              <w:t>7.176</w:t>
            </w:r>
          </w:p>
        </w:tc>
        <w:tc>
          <w:tcPr>
            <w:tcW w:w="1043" w:type="dxa"/>
            <w:tcBorders>
              <w:top w:val="nil"/>
              <w:bottom w:val="nil"/>
              <w:right w:val="single" w:sz="2" w:space="0" w:color="A6A6A6" w:themeColor="background1" w:themeShade="A6"/>
            </w:tcBorders>
            <w:vAlign w:val="center"/>
          </w:tcPr>
          <w:p w14:paraId="0C521515" w14:textId="5FDAB36E" w:rsidR="00E54B1A" w:rsidRPr="002679D8" w:rsidRDefault="00E54B1A" w:rsidP="009D02E9">
            <w:pPr>
              <w:spacing w:after="0" w:line="264" w:lineRule="auto"/>
              <w:jc w:val="right"/>
              <w:rPr>
                <w:rFonts w:cs="Arial"/>
                <w:sz w:val="16"/>
                <w:szCs w:val="16"/>
              </w:rPr>
            </w:pPr>
            <w:r w:rsidRPr="002679D8">
              <w:rPr>
                <w:rFonts w:cs="Arial"/>
                <w:sz w:val="16"/>
                <w:szCs w:val="16"/>
              </w:rPr>
              <w:t>7.312</w:t>
            </w:r>
          </w:p>
        </w:tc>
      </w:tr>
      <w:tr w:rsidR="008C0A0E" w:rsidRPr="00372745" w14:paraId="207ED643"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9F0DB82" w14:textId="31892040"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2.</w:t>
            </w:r>
            <w:r>
              <w:rPr>
                <w:rFonts w:cs="Arial"/>
                <w:sz w:val="16"/>
                <w:szCs w:val="16"/>
              </w:rPr>
              <w:tab/>
            </w:r>
            <w:r w:rsidRPr="00372745">
              <w:rPr>
                <w:rFonts w:cs="Arial"/>
                <w:sz w:val="16"/>
                <w:szCs w:val="16"/>
              </w:rPr>
              <w:t>Φόροι και δασμοί επί εισαγωγών</w:t>
            </w:r>
          </w:p>
        </w:tc>
        <w:tc>
          <w:tcPr>
            <w:tcW w:w="1034" w:type="dxa"/>
            <w:tcBorders>
              <w:top w:val="nil"/>
              <w:bottom w:val="nil"/>
            </w:tcBorders>
            <w:vAlign w:val="center"/>
          </w:tcPr>
          <w:p w14:paraId="6821E33D" w14:textId="64227453" w:rsidR="00E54B1A" w:rsidRPr="002679D8" w:rsidRDefault="00E54B1A" w:rsidP="009D02E9">
            <w:pPr>
              <w:spacing w:after="0" w:line="264" w:lineRule="auto"/>
              <w:jc w:val="right"/>
              <w:rPr>
                <w:rFonts w:cs="Arial"/>
                <w:sz w:val="16"/>
                <w:szCs w:val="16"/>
              </w:rPr>
            </w:pPr>
            <w:r w:rsidRPr="002679D8">
              <w:rPr>
                <w:rFonts w:cs="Arial"/>
                <w:sz w:val="16"/>
                <w:szCs w:val="16"/>
              </w:rPr>
              <w:t>398</w:t>
            </w:r>
          </w:p>
        </w:tc>
        <w:tc>
          <w:tcPr>
            <w:tcW w:w="1551" w:type="dxa"/>
            <w:tcBorders>
              <w:top w:val="nil"/>
              <w:bottom w:val="nil"/>
            </w:tcBorders>
            <w:vAlign w:val="center"/>
          </w:tcPr>
          <w:p w14:paraId="77179344" w14:textId="18D58D8A" w:rsidR="00E54B1A" w:rsidRPr="002679D8" w:rsidRDefault="00E54B1A" w:rsidP="009D02E9">
            <w:pPr>
              <w:spacing w:after="0" w:line="264" w:lineRule="auto"/>
              <w:jc w:val="right"/>
              <w:rPr>
                <w:rFonts w:cs="Arial"/>
                <w:sz w:val="16"/>
                <w:szCs w:val="16"/>
              </w:rPr>
            </w:pPr>
            <w:r w:rsidRPr="002679D8">
              <w:rPr>
                <w:rFonts w:cs="Arial"/>
                <w:sz w:val="16"/>
                <w:szCs w:val="16"/>
              </w:rPr>
              <w:t>432</w:t>
            </w:r>
          </w:p>
        </w:tc>
        <w:tc>
          <w:tcPr>
            <w:tcW w:w="1037" w:type="dxa"/>
            <w:tcBorders>
              <w:top w:val="nil"/>
              <w:bottom w:val="nil"/>
            </w:tcBorders>
            <w:vAlign w:val="center"/>
          </w:tcPr>
          <w:p w14:paraId="5E799E6C" w14:textId="53A3A480" w:rsidR="00E54B1A" w:rsidRPr="002679D8" w:rsidRDefault="00E54B1A" w:rsidP="009D02E9">
            <w:pPr>
              <w:spacing w:after="0" w:line="264" w:lineRule="auto"/>
              <w:jc w:val="right"/>
              <w:rPr>
                <w:rFonts w:cs="Arial"/>
                <w:sz w:val="16"/>
                <w:szCs w:val="16"/>
              </w:rPr>
            </w:pPr>
            <w:r w:rsidRPr="002679D8">
              <w:rPr>
                <w:rFonts w:cs="Arial"/>
                <w:sz w:val="16"/>
                <w:szCs w:val="16"/>
              </w:rPr>
              <w:t>460</w:t>
            </w:r>
          </w:p>
        </w:tc>
        <w:tc>
          <w:tcPr>
            <w:tcW w:w="1043" w:type="dxa"/>
            <w:tcBorders>
              <w:top w:val="nil"/>
              <w:bottom w:val="nil"/>
              <w:right w:val="single" w:sz="2" w:space="0" w:color="A6A6A6" w:themeColor="background1" w:themeShade="A6"/>
            </w:tcBorders>
            <w:vAlign w:val="center"/>
          </w:tcPr>
          <w:p w14:paraId="7ABF85D9" w14:textId="47EA9346" w:rsidR="00E54B1A" w:rsidRPr="002679D8" w:rsidRDefault="00E54B1A" w:rsidP="009D02E9">
            <w:pPr>
              <w:spacing w:after="0" w:line="264" w:lineRule="auto"/>
              <w:jc w:val="right"/>
              <w:rPr>
                <w:rFonts w:cs="Arial"/>
                <w:sz w:val="16"/>
                <w:szCs w:val="16"/>
              </w:rPr>
            </w:pPr>
            <w:r w:rsidRPr="002679D8">
              <w:rPr>
                <w:rFonts w:cs="Arial"/>
                <w:sz w:val="16"/>
                <w:szCs w:val="16"/>
              </w:rPr>
              <w:t>533</w:t>
            </w:r>
          </w:p>
        </w:tc>
      </w:tr>
      <w:tr w:rsidR="008C0A0E" w:rsidRPr="00372745" w14:paraId="46D5056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CEE88B4" w14:textId="74A6F942"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3.</w:t>
            </w:r>
            <w:r>
              <w:rPr>
                <w:rFonts w:cs="Arial"/>
                <w:sz w:val="16"/>
                <w:szCs w:val="16"/>
              </w:rPr>
              <w:tab/>
            </w:r>
            <w:r w:rsidRPr="00372745">
              <w:rPr>
                <w:rFonts w:cs="Arial"/>
                <w:sz w:val="16"/>
                <w:szCs w:val="16"/>
              </w:rPr>
              <w:t>Τακτικοί φόροι ακίνητης περιουσίας</w:t>
            </w:r>
          </w:p>
        </w:tc>
        <w:tc>
          <w:tcPr>
            <w:tcW w:w="1034" w:type="dxa"/>
            <w:tcBorders>
              <w:top w:val="nil"/>
              <w:bottom w:val="nil"/>
            </w:tcBorders>
            <w:vAlign w:val="center"/>
          </w:tcPr>
          <w:p w14:paraId="25FF3C5B" w14:textId="0D20B6EE" w:rsidR="00E54B1A" w:rsidRPr="002679D8" w:rsidRDefault="00E54B1A" w:rsidP="009D02E9">
            <w:pPr>
              <w:spacing w:after="0" w:line="264" w:lineRule="auto"/>
              <w:jc w:val="right"/>
              <w:rPr>
                <w:rFonts w:cs="Arial"/>
                <w:sz w:val="16"/>
                <w:szCs w:val="16"/>
              </w:rPr>
            </w:pPr>
            <w:r w:rsidRPr="002679D8">
              <w:rPr>
                <w:rFonts w:cs="Arial"/>
                <w:sz w:val="16"/>
                <w:szCs w:val="16"/>
              </w:rPr>
              <w:t>2.452</w:t>
            </w:r>
          </w:p>
        </w:tc>
        <w:tc>
          <w:tcPr>
            <w:tcW w:w="1551" w:type="dxa"/>
            <w:tcBorders>
              <w:top w:val="nil"/>
              <w:bottom w:val="nil"/>
            </w:tcBorders>
            <w:vAlign w:val="center"/>
          </w:tcPr>
          <w:p w14:paraId="4BBB362A" w14:textId="3B167B6A" w:rsidR="00E54B1A" w:rsidRPr="002679D8" w:rsidRDefault="00E54B1A" w:rsidP="009D02E9">
            <w:pPr>
              <w:spacing w:after="0" w:line="264" w:lineRule="auto"/>
              <w:jc w:val="right"/>
              <w:rPr>
                <w:rFonts w:cs="Arial"/>
                <w:sz w:val="16"/>
                <w:szCs w:val="16"/>
              </w:rPr>
            </w:pPr>
            <w:r w:rsidRPr="002679D8">
              <w:rPr>
                <w:rFonts w:cs="Arial"/>
                <w:sz w:val="16"/>
                <w:szCs w:val="16"/>
              </w:rPr>
              <w:t>2.328</w:t>
            </w:r>
          </w:p>
        </w:tc>
        <w:tc>
          <w:tcPr>
            <w:tcW w:w="1037" w:type="dxa"/>
            <w:tcBorders>
              <w:top w:val="nil"/>
              <w:bottom w:val="nil"/>
            </w:tcBorders>
            <w:vAlign w:val="center"/>
          </w:tcPr>
          <w:p w14:paraId="6819D18E" w14:textId="688958C3" w:rsidR="00E54B1A" w:rsidRPr="002679D8" w:rsidRDefault="00E54B1A" w:rsidP="009D02E9">
            <w:pPr>
              <w:spacing w:after="0" w:line="264" w:lineRule="auto"/>
              <w:jc w:val="right"/>
              <w:rPr>
                <w:rFonts w:cs="Arial"/>
                <w:sz w:val="16"/>
                <w:szCs w:val="16"/>
              </w:rPr>
            </w:pPr>
            <w:r w:rsidRPr="002679D8">
              <w:rPr>
                <w:rFonts w:cs="Arial"/>
                <w:sz w:val="16"/>
                <w:szCs w:val="16"/>
              </w:rPr>
              <w:t>2.413</w:t>
            </w:r>
          </w:p>
        </w:tc>
        <w:tc>
          <w:tcPr>
            <w:tcW w:w="1043" w:type="dxa"/>
            <w:tcBorders>
              <w:top w:val="nil"/>
              <w:bottom w:val="nil"/>
              <w:right w:val="single" w:sz="2" w:space="0" w:color="A6A6A6" w:themeColor="background1" w:themeShade="A6"/>
            </w:tcBorders>
            <w:vAlign w:val="center"/>
          </w:tcPr>
          <w:p w14:paraId="41892ECB" w14:textId="781F2713" w:rsidR="00E54B1A" w:rsidRPr="002679D8" w:rsidRDefault="00E54B1A" w:rsidP="009D02E9">
            <w:pPr>
              <w:spacing w:after="0" w:line="264" w:lineRule="auto"/>
              <w:jc w:val="right"/>
              <w:rPr>
                <w:rFonts w:cs="Arial"/>
                <w:sz w:val="16"/>
                <w:szCs w:val="16"/>
              </w:rPr>
            </w:pPr>
            <w:r w:rsidRPr="002679D8">
              <w:rPr>
                <w:rFonts w:cs="Arial"/>
                <w:sz w:val="16"/>
                <w:szCs w:val="16"/>
              </w:rPr>
              <w:t>2.365</w:t>
            </w:r>
          </w:p>
        </w:tc>
      </w:tr>
      <w:tr w:rsidR="008C0A0E" w:rsidRPr="00372745" w14:paraId="5B95CE2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53D0A38" w14:textId="12563E55"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4.</w:t>
            </w:r>
            <w:r>
              <w:rPr>
                <w:rFonts w:cs="Arial"/>
                <w:sz w:val="16"/>
                <w:szCs w:val="16"/>
              </w:rPr>
              <w:tab/>
            </w:r>
            <w:r w:rsidRPr="00372745">
              <w:rPr>
                <w:rFonts w:cs="Arial"/>
                <w:sz w:val="16"/>
                <w:szCs w:val="16"/>
              </w:rPr>
              <w:t>Λοιποί φόροι επί παραγωγής</w:t>
            </w:r>
          </w:p>
        </w:tc>
        <w:tc>
          <w:tcPr>
            <w:tcW w:w="1034" w:type="dxa"/>
            <w:tcBorders>
              <w:top w:val="nil"/>
              <w:bottom w:val="nil"/>
            </w:tcBorders>
            <w:vAlign w:val="center"/>
          </w:tcPr>
          <w:p w14:paraId="41BE0353" w14:textId="5E2AF5DE" w:rsidR="00E54B1A" w:rsidRPr="002679D8" w:rsidRDefault="00E54B1A" w:rsidP="009D02E9">
            <w:pPr>
              <w:spacing w:after="0" w:line="264" w:lineRule="auto"/>
              <w:jc w:val="right"/>
              <w:rPr>
                <w:rFonts w:cs="Arial"/>
                <w:sz w:val="16"/>
                <w:szCs w:val="16"/>
              </w:rPr>
            </w:pPr>
            <w:r w:rsidRPr="002679D8">
              <w:rPr>
                <w:rFonts w:cs="Arial"/>
                <w:sz w:val="16"/>
                <w:szCs w:val="16"/>
              </w:rPr>
              <w:t>544</w:t>
            </w:r>
          </w:p>
        </w:tc>
        <w:tc>
          <w:tcPr>
            <w:tcW w:w="1551" w:type="dxa"/>
            <w:tcBorders>
              <w:top w:val="nil"/>
              <w:bottom w:val="nil"/>
            </w:tcBorders>
            <w:vAlign w:val="center"/>
          </w:tcPr>
          <w:p w14:paraId="31926018" w14:textId="31272A21" w:rsidR="00E54B1A" w:rsidRPr="002679D8" w:rsidRDefault="00E54B1A" w:rsidP="009D02E9">
            <w:pPr>
              <w:spacing w:after="0" w:line="264" w:lineRule="auto"/>
              <w:jc w:val="right"/>
              <w:rPr>
                <w:rFonts w:cs="Arial"/>
                <w:sz w:val="16"/>
                <w:szCs w:val="16"/>
              </w:rPr>
            </w:pPr>
            <w:r w:rsidRPr="002679D8">
              <w:rPr>
                <w:rFonts w:cs="Arial"/>
                <w:sz w:val="16"/>
                <w:szCs w:val="16"/>
              </w:rPr>
              <w:t>661</w:t>
            </w:r>
          </w:p>
        </w:tc>
        <w:tc>
          <w:tcPr>
            <w:tcW w:w="1037" w:type="dxa"/>
            <w:tcBorders>
              <w:top w:val="nil"/>
              <w:bottom w:val="nil"/>
            </w:tcBorders>
            <w:vAlign w:val="center"/>
          </w:tcPr>
          <w:p w14:paraId="577D437F" w14:textId="4687FDB8" w:rsidR="00E54B1A" w:rsidRPr="002679D8" w:rsidRDefault="00E54B1A" w:rsidP="009D02E9">
            <w:pPr>
              <w:spacing w:after="0" w:line="264" w:lineRule="auto"/>
              <w:jc w:val="right"/>
              <w:rPr>
                <w:rFonts w:cs="Arial"/>
                <w:sz w:val="16"/>
                <w:szCs w:val="16"/>
              </w:rPr>
            </w:pPr>
            <w:r w:rsidRPr="002679D8">
              <w:rPr>
                <w:rFonts w:cs="Arial"/>
                <w:sz w:val="16"/>
                <w:szCs w:val="16"/>
              </w:rPr>
              <w:t>760</w:t>
            </w:r>
          </w:p>
        </w:tc>
        <w:tc>
          <w:tcPr>
            <w:tcW w:w="1043" w:type="dxa"/>
            <w:tcBorders>
              <w:top w:val="nil"/>
              <w:bottom w:val="nil"/>
              <w:right w:val="single" w:sz="2" w:space="0" w:color="A6A6A6" w:themeColor="background1" w:themeShade="A6"/>
            </w:tcBorders>
            <w:vAlign w:val="center"/>
          </w:tcPr>
          <w:p w14:paraId="7B93439D" w14:textId="6A1D4B7E" w:rsidR="00E54B1A" w:rsidRPr="002679D8" w:rsidRDefault="00E54B1A" w:rsidP="009D02E9">
            <w:pPr>
              <w:spacing w:after="0" w:line="264" w:lineRule="auto"/>
              <w:jc w:val="right"/>
              <w:rPr>
                <w:rFonts w:cs="Arial"/>
                <w:sz w:val="16"/>
                <w:szCs w:val="16"/>
              </w:rPr>
            </w:pPr>
            <w:r w:rsidRPr="002679D8">
              <w:rPr>
                <w:rFonts w:cs="Arial"/>
                <w:sz w:val="16"/>
                <w:szCs w:val="16"/>
              </w:rPr>
              <w:t>614</w:t>
            </w:r>
          </w:p>
        </w:tc>
      </w:tr>
      <w:tr w:rsidR="008C0A0E" w:rsidRPr="00372745" w14:paraId="154AEAF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D1197A4" w14:textId="44B55A27"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5.</w:t>
            </w:r>
            <w:r>
              <w:rPr>
                <w:rFonts w:cs="Arial"/>
                <w:sz w:val="16"/>
                <w:szCs w:val="16"/>
              </w:rPr>
              <w:tab/>
            </w:r>
            <w:r w:rsidRPr="00372745">
              <w:rPr>
                <w:rFonts w:cs="Arial"/>
                <w:sz w:val="16"/>
                <w:szCs w:val="16"/>
              </w:rPr>
              <w:t>Φόρος εισοδήματος</w:t>
            </w:r>
          </w:p>
        </w:tc>
        <w:tc>
          <w:tcPr>
            <w:tcW w:w="1034" w:type="dxa"/>
            <w:tcBorders>
              <w:top w:val="nil"/>
              <w:bottom w:val="nil"/>
            </w:tcBorders>
            <w:vAlign w:val="center"/>
          </w:tcPr>
          <w:p w14:paraId="46F32547" w14:textId="00E5FDD7" w:rsidR="00E54B1A" w:rsidRPr="002679D8" w:rsidRDefault="00E54B1A" w:rsidP="009D02E9">
            <w:pPr>
              <w:spacing w:after="0" w:line="264" w:lineRule="auto"/>
              <w:jc w:val="right"/>
              <w:rPr>
                <w:rFonts w:cs="Arial"/>
                <w:sz w:val="16"/>
                <w:szCs w:val="16"/>
              </w:rPr>
            </w:pPr>
            <w:r w:rsidRPr="002679D8">
              <w:rPr>
                <w:rFonts w:cs="Arial"/>
                <w:sz w:val="16"/>
                <w:szCs w:val="16"/>
              </w:rPr>
              <w:t>26.172</w:t>
            </w:r>
          </w:p>
        </w:tc>
        <w:tc>
          <w:tcPr>
            <w:tcW w:w="1551" w:type="dxa"/>
            <w:tcBorders>
              <w:top w:val="nil"/>
              <w:bottom w:val="nil"/>
            </w:tcBorders>
            <w:vAlign w:val="center"/>
          </w:tcPr>
          <w:p w14:paraId="78E9DF32" w14:textId="1247C526" w:rsidR="00E54B1A" w:rsidRPr="002679D8" w:rsidRDefault="00E54B1A" w:rsidP="009D02E9">
            <w:pPr>
              <w:spacing w:after="0" w:line="264" w:lineRule="auto"/>
              <w:jc w:val="right"/>
              <w:rPr>
                <w:rFonts w:cs="Arial"/>
                <w:sz w:val="16"/>
                <w:szCs w:val="16"/>
              </w:rPr>
            </w:pPr>
            <w:r w:rsidRPr="002679D8">
              <w:rPr>
                <w:rFonts w:cs="Arial"/>
                <w:sz w:val="16"/>
                <w:szCs w:val="16"/>
              </w:rPr>
              <w:t>26.757</w:t>
            </w:r>
          </w:p>
        </w:tc>
        <w:tc>
          <w:tcPr>
            <w:tcW w:w="1037" w:type="dxa"/>
            <w:tcBorders>
              <w:top w:val="nil"/>
              <w:bottom w:val="nil"/>
            </w:tcBorders>
            <w:vAlign w:val="center"/>
          </w:tcPr>
          <w:p w14:paraId="3F24692A" w14:textId="66630471" w:rsidR="00E54B1A" w:rsidRPr="002679D8" w:rsidRDefault="00E54B1A" w:rsidP="009D02E9">
            <w:pPr>
              <w:spacing w:after="0" w:line="264" w:lineRule="auto"/>
              <w:jc w:val="right"/>
              <w:rPr>
                <w:rFonts w:cs="Arial"/>
                <w:sz w:val="16"/>
                <w:szCs w:val="16"/>
              </w:rPr>
            </w:pPr>
            <w:r w:rsidRPr="002679D8">
              <w:rPr>
                <w:rFonts w:cs="Arial"/>
                <w:sz w:val="16"/>
                <w:szCs w:val="16"/>
              </w:rPr>
              <w:t>27.338</w:t>
            </w:r>
          </w:p>
        </w:tc>
        <w:tc>
          <w:tcPr>
            <w:tcW w:w="1043" w:type="dxa"/>
            <w:tcBorders>
              <w:top w:val="nil"/>
              <w:bottom w:val="nil"/>
              <w:right w:val="single" w:sz="2" w:space="0" w:color="A6A6A6" w:themeColor="background1" w:themeShade="A6"/>
            </w:tcBorders>
            <w:vAlign w:val="center"/>
          </w:tcPr>
          <w:p w14:paraId="72E34E97" w14:textId="7FAE4CE2" w:rsidR="00E54B1A" w:rsidRPr="002679D8" w:rsidRDefault="00E54B1A" w:rsidP="009D02E9">
            <w:pPr>
              <w:spacing w:after="0" w:line="264" w:lineRule="auto"/>
              <w:jc w:val="right"/>
              <w:rPr>
                <w:rFonts w:cs="Arial"/>
                <w:sz w:val="16"/>
                <w:szCs w:val="16"/>
              </w:rPr>
            </w:pPr>
            <w:r w:rsidRPr="002679D8">
              <w:rPr>
                <w:rFonts w:cs="Arial"/>
                <w:sz w:val="16"/>
                <w:szCs w:val="16"/>
              </w:rPr>
              <w:t>29.376</w:t>
            </w:r>
          </w:p>
        </w:tc>
      </w:tr>
      <w:tr w:rsidR="008C0A0E" w:rsidRPr="00372745" w14:paraId="270A65C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6260117" w14:textId="6928E509" w:rsidR="00E54B1A" w:rsidRPr="00372745" w:rsidRDefault="00E54B1A" w:rsidP="009D02E9">
            <w:pPr>
              <w:tabs>
                <w:tab w:val="left" w:pos="510"/>
                <w:tab w:val="left" w:pos="1671"/>
              </w:tabs>
              <w:spacing w:after="0" w:line="264" w:lineRule="auto"/>
              <w:ind w:left="510"/>
              <w:jc w:val="left"/>
              <w:rPr>
                <w:rFonts w:cs="Arial"/>
                <w:sz w:val="16"/>
                <w:szCs w:val="16"/>
              </w:rPr>
            </w:pPr>
            <w:r w:rsidRPr="00372745">
              <w:rPr>
                <w:rFonts w:cs="Arial"/>
                <w:sz w:val="16"/>
                <w:szCs w:val="16"/>
              </w:rPr>
              <w:t>εκ των οποίων:</w:t>
            </w:r>
            <w:r>
              <w:rPr>
                <w:rFonts w:cs="Arial"/>
                <w:sz w:val="16"/>
                <w:szCs w:val="16"/>
              </w:rPr>
              <w:tab/>
            </w:r>
            <w:r w:rsidRPr="00372745">
              <w:rPr>
                <w:rFonts w:cs="Arial"/>
                <w:sz w:val="16"/>
                <w:szCs w:val="16"/>
              </w:rPr>
              <w:t xml:space="preserve">Φόρος εισοδήματος πληρωτέος από </w:t>
            </w:r>
            <w:r w:rsidR="00B61F43">
              <w:rPr>
                <w:rFonts w:cs="Arial"/>
                <w:sz w:val="16"/>
                <w:szCs w:val="16"/>
              </w:rPr>
              <w:tab/>
            </w:r>
            <w:r w:rsidR="00B61F43">
              <w:rPr>
                <w:rFonts w:cs="Arial"/>
                <w:sz w:val="16"/>
                <w:szCs w:val="16"/>
              </w:rPr>
              <w:tab/>
            </w:r>
            <w:r w:rsidR="00574B25">
              <w:rPr>
                <w:rFonts w:cs="Arial"/>
                <w:sz w:val="16"/>
                <w:szCs w:val="16"/>
              </w:rPr>
              <w:t>φ</w:t>
            </w:r>
            <w:r w:rsidRPr="00372745">
              <w:rPr>
                <w:rFonts w:cs="Arial"/>
                <w:sz w:val="16"/>
                <w:szCs w:val="16"/>
              </w:rPr>
              <w:t xml:space="preserve">υσικά </w:t>
            </w:r>
            <w:r w:rsidR="00574B25">
              <w:rPr>
                <w:rFonts w:cs="Arial"/>
                <w:sz w:val="16"/>
                <w:szCs w:val="16"/>
              </w:rPr>
              <w:t>π</w:t>
            </w:r>
            <w:r w:rsidRPr="00372745">
              <w:rPr>
                <w:rFonts w:cs="Arial"/>
                <w:sz w:val="16"/>
                <w:szCs w:val="16"/>
              </w:rPr>
              <w:t>ρόσωπα</w:t>
            </w:r>
            <w:r>
              <w:rPr>
                <w:rFonts w:cs="Arial"/>
                <w:sz w:val="16"/>
                <w:szCs w:val="16"/>
              </w:rPr>
              <w:t xml:space="preserve"> </w:t>
            </w:r>
            <w:r w:rsidRPr="00372745">
              <w:rPr>
                <w:rFonts w:cs="Arial"/>
                <w:sz w:val="16"/>
                <w:szCs w:val="16"/>
              </w:rPr>
              <w:t>(ΦΠ)</w:t>
            </w:r>
          </w:p>
        </w:tc>
        <w:tc>
          <w:tcPr>
            <w:tcW w:w="1034" w:type="dxa"/>
            <w:tcBorders>
              <w:top w:val="nil"/>
              <w:bottom w:val="nil"/>
            </w:tcBorders>
            <w:vAlign w:val="center"/>
          </w:tcPr>
          <w:p w14:paraId="2B04C1FF" w14:textId="5CC87CED" w:rsidR="00E54B1A" w:rsidRPr="002679D8" w:rsidRDefault="00E54B1A" w:rsidP="009D02E9">
            <w:pPr>
              <w:spacing w:after="0" w:line="264" w:lineRule="auto"/>
              <w:jc w:val="right"/>
              <w:rPr>
                <w:rFonts w:cs="Arial"/>
                <w:sz w:val="16"/>
                <w:szCs w:val="16"/>
              </w:rPr>
            </w:pPr>
            <w:r w:rsidRPr="002679D8">
              <w:rPr>
                <w:rFonts w:cs="Arial"/>
                <w:sz w:val="16"/>
                <w:szCs w:val="16"/>
              </w:rPr>
              <w:t>16.104</w:t>
            </w:r>
          </w:p>
        </w:tc>
        <w:tc>
          <w:tcPr>
            <w:tcW w:w="1551" w:type="dxa"/>
            <w:tcBorders>
              <w:top w:val="nil"/>
              <w:bottom w:val="nil"/>
            </w:tcBorders>
            <w:vAlign w:val="center"/>
          </w:tcPr>
          <w:p w14:paraId="70932A2D" w14:textId="126D6FA2" w:rsidR="00E54B1A" w:rsidRPr="002679D8" w:rsidRDefault="00E54B1A" w:rsidP="009D02E9">
            <w:pPr>
              <w:spacing w:after="0" w:line="264" w:lineRule="auto"/>
              <w:jc w:val="right"/>
              <w:rPr>
                <w:rFonts w:cs="Arial"/>
                <w:sz w:val="16"/>
                <w:szCs w:val="16"/>
              </w:rPr>
            </w:pPr>
            <w:r w:rsidRPr="002679D8">
              <w:rPr>
                <w:rFonts w:cs="Arial"/>
                <w:sz w:val="16"/>
                <w:szCs w:val="16"/>
              </w:rPr>
              <w:t>15.815</w:t>
            </w:r>
          </w:p>
        </w:tc>
        <w:tc>
          <w:tcPr>
            <w:tcW w:w="1037" w:type="dxa"/>
            <w:tcBorders>
              <w:top w:val="nil"/>
              <w:bottom w:val="nil"/>
            </w:tcBorders>
            <w:vAlign w:val="center"/>
          </w:tcPr>
          <w:p w14:paraId="58C5F8AE" w14:textId="0B606409" w:rsidR="00E54B1A" w:rsidRPr="002679D8" w:rsidRDefault="00E54B1A" w:rsidP="009D02E9">
            <w:pPr>
              <w:spacing w:after="0" w:line="264" w:lineRule="auto"/>
              <w:jc w:val="right"/>
              <w:rPr>
                <w:rFonts w:cs="Arial"/>
                <w:sz w:val="16"/>
                <w:szCs w:val="16"/>
              </w:rPr>
            </w:pPr>
            <w:r w:rsidRPr="002679D8">
              <w:rPr>
                <w:rFonts w:cs="Arial"/>
                <w:sz w:val="16"/>
                <w:szCs w:val="16"/>
              </w:rPr>
              <w:t>16.375</w:t>
            </w:r>
          </w:p>
        </w:tc>
        <w:tc>
          <w:tcPr>
            <w:tcW w:w="1043" w:type="dxa"/>
            <w:tcBorders>
              <w:top w:val="nil"/>
              <w:bottom w:val="nil"/>
              <w:right w:val="single" w:sz="2" w:space="0" w:color="A6A6A6" w:themeColor="background1" w:themeShade="A6"/>
            </w:tcBorders>
            <w:vAlign w:val="center"/>
          </w:tcPr>
          <w:p w14:paraId="3DE220A0" w14:textId="0BEA5A01" w:rsidR="00E54B1A" w:rsidRPr="002679D8" w:rsidRDefault="00E54B1A" w:rsidP="009D02E9">
            <w:pPr>
              <w:spacing w:after="0" w:line="264" w:lineRule="auto"/>
              <w:jc w:val="right"/>
              <w:rPr>
                <w:rFonts w:cs="Arial"/>
                <w:sz w:val="16"/>
                <w:szCs w:val="16"/>
              </w:rPr>
            </w:pPr>
            <w:r w:rsidRPr="002679D8">
              <w:rPr>
                <w:rFonts w:cs="Arial"/>
                <w:sz w:val="16"/>
                <w:szCs w:val="16"/>
              </w:rPr>
              <w:t>16.995</w:t>
            </w:r>
          </w:p>
        </w:tc>
      </w:tr>
      <w:tr w:rsidR="008C0A0E" w:rsidRPr="00372745" w14:paraId="2F17EDF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4F054D8" w14:textId="07688174" w:rsidR="00E54B1A" w:rsidRPr="00372745" w:rsidRDefault="00E54B1A" w:rsidP="009D02E9">
            <w:pPr>
              <w:tabs>
                <w:tab w:val="left" w:pos="510"/>
                <w:tab w:val="left" w:pos="1671"/>
              </w:tabs>
              <w:spacing w:after="0" w:line="264" w:lineRule="auto"/>
              <w:ind w:left="510"/>
              <w:jc w:val="left"/>
              <w:rPr>
                <w:rFonts w:cs="Arial"/>
                <w:sz w:val="16"/>
                <w:szCs w:val="16"/>
              </w:rPr>
            </w:pPr>
            <w:r>
              <w:rPr>
                <w:rFonts w:cs="Arial"/>
                <w:sz w:val="16"/>
                <w:szCs w:val="16"/>
              </w:rPr>
              <w:tab/>
            </w:r>
            <w:r w:rsidRPr="00372745">
              <w:rPr>
                <w:rFonts w:cs="Arial"/>
                <w:sz w:val="16"/>
                <w:szCs w:val="16"/>
              </w:rPr>
              <w:t xml:space="preserve">Φόρος εισοδήματος πληρωτέος από </w:t>
            </w:r>
            <w:r w:rsidR="00B61F43">
              <w:rPr>
                <w:rFonts w:cs="Arial"/>
                <w:sz w:val="16"/>
                <w:szCs w:val="16"/>
              </w:rPr>
              <w:tab/>
            </w:r>
            <w:r w:rsidR="00B61F43">
              <w:rPr>
                <w:rFonts w:cs="Arial"/>
                <w:sz w:val="16"/>
                <w:szCs w:val="16"/>
              </w:rPr>
              <w:tab/>
            </w:r>
            <w:r w:rsidRPr="00372745">
              <w:rPr>
                <w:rFonts w:cs="Arial"/>
                <w:sz w:val="16"/>
                <w:szCs w:val="16"/>
              </w:rPr>
              <w:t>εταιρείες (ΝΠ)</w:t>
            </w:r>
          </w:p>
        </w:tc>
        <w:tc>
          <w:tcPr>
            <w:tcW w:w="1034" w:type="dxa"/>
            <w:tcBorders>
              <w:top w:val="nil"/>
              <w:bottom w:val="nil"/>
            </w:tcBorders>
            <w:vAlign w:val="center"/>
          </w:tcPr>
          <w:p w14:paraId="22F3C779" w14:textId="388B9CB3" w:rsidR="00E54B1A" w:rsidRPr="002679D8" w:rsidRDefault="00E54B1A" w:rsidP="009D02E9">
            <w:pPr>
              <w:spacing w:after="0" w:line="264" w:lineRule="auto"/>
              <w:jc w:val="right"/>
              <w:rPr>
                <w:rFonts w:cs="Arial"/>
                <w:sz w:val="16"/>
                <w:szCs w:val="16"/>
              </w:rPr>
            </w:pPr>
            <w:r w:rsidRPr="002679D8">
              <w:rPr>
                <w:rFonts w:cs="Arial"/>
                <w:sz w:val="16"/>
                <w:szCs w:val="16"/>
              </w:rPr>
              <w:t>7.746</w:t>
            </w:r>
          </w:p>
        </w:tc>
        <w:tc>
          <w:tcPr>
            <w:tcW w:w="1551" w:type="dxa"/>
            <w:tcBorders>
              <w:top w:val="nil"/>
              <w:bottom w:val="nil"/>
            </w:tcBorders>
            <w:vAlign w:val="center"/>
          </w:tcPr>
          <w:p w14:paraId="7D384119" w14:textId="5F074BAD" w:rsidR="00E54B1A" w:rsidRPr="002679D8" w:rsidRDefault="00E54B1A" w:rsidP="009D02E9">
            <w:pPr>
              <w:spacing w:after="0" w:line="264" w:lineRule="auto"/>
              <w:jc w:val="right"/>
              <w:rPr>
                <w:rFonts w:cs="Arial"/>
                <w:sz w:val="16"/>
                <w:szCs w:val="16"/>
              </w:rPr>
            </w:pPr>
            <w:r w:rsidRPr="002679D8">
              <w:rPr>
                <w:rFonts w:cs="Arial"/>
                <w:sz w:val="16"/>
                <w:szCs w:val="16"/>
              </w:rPr>
              <w:t>8.576</w:t>
            </w:r>
          </w:p>
        </w:tc>
        <w:tc>
          <w:tcPr>
            <w:tcW w:w="1037" w:type="dxa"/>
            <w:tcBorders>
              <w:top w:val="nil"/>
              <w:bottom w:val="nil"/>
            </w:tcBorders>
            <w:vAlign w:val="center"/>
          </w:tcPr>
          <w:p w14:paraId="72265B9B" w14:textId="35EF2515" w:rsidR="00E54B1A" w:rsidRPr="002679D8" w:rsidRDefault="00E54B1A" w:rsidP="009D02E9">
            <w:pPr>
              <w:spacing w:after="0" w:line="264" w:lineRule="auto"/>
              <w:jc w:val="right"/>
              <w:rPr>
                <w:rFonts w:cs="Arial"/>
                <w:sz w:val="16"/>
                <w:szCs w:val="16"/>
              </w:rPr>
            </w:pPr>
            <w:r w:rsidRPr="002679D8">
              <w:rPr>
                <w:rFonts w:cs="Arial"/>
                <w:sz w:val="16"/>
                <w:szCs w:val="16"/>
              </w:rPr>
              <w:t>8.542</w:t>
            </w:r>
          </w:p>
        </w:tc>
        <w:tc>
          <w:tcPr>
            <w:tcW w:w="1043" w:type="dxa"/>
            <w:tcBorders>
              <w:top w:val="nil"/>
              <w:bottom w:val="nil"/>
              <w:right w:val="single" w:sz="2" w:space="0" w:color="A6A6A6" w:themeColor="background1" w:themeShade="A6"/>
            </w:tcBorders>
            <w:vAlign w:val="center"/>
          </w:tcPr>
          <w:p w14:paraId="44954F81" w14:textId="326E6C6C" w:rsidR="00E54B1A" w:rsidRPr="002679D8" w:rsidRDefault="00E54B1A" w:rsidP="009D02E9">
            <w:pPr>
              <w:spacing w:after="0" w:line="264" w:lineRule="auto"/>
              <w:jc w:val="right"/>
              <w:rPr>
                <w:rFonts w:cs="Arial"/>
                <w:sz w:val="16"/>
                <w:szCs w:val="16"/>
              </w:rPr>
            </w:pPr>
            <w:r w:rsidRPr="002679D8">
              <w:rPr>
                <w:rFonts w:cs="Arial"/>
                <w:sz w:val="16"/>
                <w:szCs w:val="16"/>
              </w:rPr>
              <w:t>9.844</w:t>
            </w:r>
          </w:p>
        </w:tc>
      </w:tr>
      <w:tr w:rsidR="008C0A0E" w:rsidRPr="00372745" w14:paraId="385C4C0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411F2DA" w14:textId="2F2DFC49"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6.</w:t>
            </w:r>
            <w:r>
              <w:rPr>
                <w:rFonts w:cs="Arial"/>
                <w:sz w:val="16"/>
                <w:szCs w:val="16"/>
              </w:rPr>
              <w:tab/>
            </w:r>
            <w:r w:rsidRPr="00372745">
              <w:rPr>
                <w:rFonts w:cs="Arial"/>
                <w:sz w:val="16"/>
                <w:szCs w:val="16"/>
              </w:rPr>
              <w:t>Φόροι κεφαλαίου</w:t>
            </w:r>
          </w:p>
        </w:tc>
        <w:tc>
          <w:tcPr>
            <w:tcW w:w="1034" w:type="dxa"/>
            <w:tcBorders>
              <w:top w:val="nil"/>
              <w:bottom w:val="nil"/>
            </w:tcBorders>
            <w:vAlign w:val="center"/>
          </w:tcPr>
          <w:p w14:paraId="7F9E7D44" w14:textId="51424440" w:rsidR="00E54B1A" w:rsidRPr="002679D8" w:rsidRDefault="00E54B1A" w:rsidP="009D02E9">
            <w:pPr>
              <w:spacing w:after="0" w:line="264" w:lineRule="auto"/>
              <w:jc w:val="right"/>
              <w:rPr>
                <w:rFonts w:cs="Arial"/>
                <w:sz w:val="16"/>
                <w:szCs w:val="16"/>
              </w:rPr>
            </w:pPr>
            <w:r w:rsidRPr="002679D8">
              <w:rPr>
                <w:rFonts w:cs="Arial"/>
                <w:sz w:val="16"/>
                <w:szCs w:val="16"/>
              </w:rPr>
              <w:t>266</w:t>
            </w:r>
          </w:p>
        </w:tc>
        <w:tc>
          <w:tcPr>
            <w:tcW w:w="1551" w:type="dxa"/>
            <w:tcBorders>
              <w:top w:val="nil"/>
              <w:bottom w:val="nil"/>
            </w:tcBorders>
            <w:vAlign w:val="center"/>
          </w:tcPr>
          <w:p w14:paraId="7E38A55E" w14:textId="76411CFE" w:rsidR="00E54B1A" w:rsidRPr="002679D8" w:rsidRDefault="00E54B1A" w:rsidP="009D02E9">
            <w:pPr>
              <w:spacing w:after="0" w:line="264" w:lineRule="auto"/>
              <w:jc w:val="right"/>
              <w:rPr>
                <w:rFonts w:cs="Arial"/>
                <w:sz w:val="16"/>
                <w:szCs w:val="16"/>
              </w:rPr>
            </w:pPr>
            <w:r w:rsidRPr="002679D8">
              <w:rPr>
                <w:rFonts w:cs="Arial"/>
                <w:sz w:val="16"/>
                <w:szCs w:val="16"/>
              </w:rPr>
              <w:t>250</w:t>
            </w:r>
          </w:p>
        </w:tc>
        <w:tc>
          <w:tcPr>
            <w:tcW w:w="1037" w:type="dxa"/>
            <w:tcBorders>
              <w:top w:val="nil"/>
              <w:bottom w:val="nil"/>
            </w:tcBorders>
            <w:vAlign w:val="center"/>
          </w:tcPr>
          <w:p w14:paraId="5E2CF72A" w14:textId="3B0242FF" w:rsidR="00E54B1A" w:rsidRPr="002679D8" w:rsidRDefault="00E54B1A" w:rsidP="009D02E9">
            <w:pPr>
              <w:spacing w:after="0" w:line="264" w:lineRule="auto"/>
              <w:jc w:val="right"/>
              <w:rPr>
                <w:rFonts w:cs="Arial"/>
                <w:sz w:val="16"/>
                <w:szCs w:val="16"/>
              </w:rPr>
            </w:pPr>
            <w:r w:rsidRPr="002679D8">
              <w:rPr>
                <w:rFonts w:cs="Arial"/>
                <w:sz w:val="16"/>
                <w:szCs w:val="16"/>
              </w:rPr>
              <w:t>262</w:t>
            </w:r>
          </w:p>
        </w:tc>
        <w:tc>
          <w:tcPr>
            <w:tcW w:w="1043" w:type="dxa"/>
            <w:tcBorders>
              <w:top w:val="nil"/>
              <w:bottom w:val="nil"/>
              <w:right w:val="single" w:sz="2" w:space="0" w:color="A6A6A6" w:themeColor="background1" w:themeShade="A6"/>
            </w:tcBorders>
            <w:vAlign w:val="center"/>
          </w:tcPr>
          <w:p w14:paraId="7E12F55F" w14:textId="60D0FAE4" w:rsidR="00E54B1A" w:rsidRPr="002679D8" w:rsidRDefault="00E54B1A" w:rsidP="009D02E9">
            <w:pPr>
              <w:spacing w:after="0" w:line="264" w:lineRule="auto"/>
              <w:jc w:val="right"/>
              <w:rPr>
                <w:rFonts w:cs="Arial"/>
                <w:sz w:val="16"/>
                <w:szCs w:val="16"/>
              </w:rPr>
            </w:pPr>
            <w:r w:rsidRPr="002679D8">
              <w:rPr>
                <w:rFonts w:cs="Arial"/>
                <w:sz w:val="16"/>
                <w:szCs w:val="16"/>
              </w:rPr>
              <w:t>262</w:t>
            </w:r>
          </w:p>
        </w:tc>
      </w:tr>
      <w:tr w:rsidR="008C0A0E" w:rsidRPr="00372745" w14:paraId="6854A28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7DD6E9A" w14:textId="12344ECB"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7.</w:t>
            </w:r>
            <w:r>
              <w:rPr>
                <w:rFonts w:cs="Arial"/>
                <w:sz w:val="16"/>
                <w:szCs w:val="16"/>
              </w:rPr>
              <w:tab/>
            </w:r>
            <w:r w:rsidRPr="00372745">
              <w:rPr>
                <w:rFonts w:cs="Arial"/>
                <w:sz w:val="16"/>
                <w:szCs w:val="16"/>
              </w:rPr>
              <w:t>Λοιποί τρέχοντες φόροι</w:t>
            </w:r>
          </w:p>
        </w:tc>
        <w:tc>
          <w:tcPr>
            <w:tcW w:w="1034" w:type="dxa"/>
            <w:tcBorders>
              <w:top w:val="nil"/>
              <w:bottom w:val="nil"/>
            </w:tcBorders>
            <w:vAlign w:val="center"/>
          </w:tcPr>
          <w:p w14:paraId="14E8DD6B" w14:textId="4C35D6E4" w:rsidR="00E54B1A" w:rsidRPr="002679D8" w:rsidRDefault="00E54B1A" w:rsidP="009D02E9">
            <w:pPr>
              <w:spacing w:after="0" w:line="264" w:lineRule="auto"/>
              <w:jc w:val="right"/>
              <w:rPr>
                <w:rFonts w:cs="Arial"/>
                <w:sz w:val="16"/>
                <w:szCs w:val="16"/>
              </w:rPr>
            </w:pPr>
            <w:r w:rsidRPr="002679D8">
              <w:rPr>
                <w:rFonts w:cs="Arial"/>
                <w:sz w:val="16"/>
                <w:szCs w:val="16"/>
              </w:rPr>
              <w:t>2.243</w:t>
            </w:r>
          </w:p>
        </w:tc>
        <w:tc>
          <w:tcPr>
            <w:tcW w:w="1551" w:type="dxa"/>
            <w:tcBorders>
              <w:top w:val="nil"/>
              <w:bottom w:val="nil"/>
            </w:tcBorders>
            <w:vAlign w:val="center"/>
          </w:tcPr>
          <w:p w14:paraId="448312AF" w14:textId="4881CF68" w:rsidR="00E54B1A" w:rsidRPr="002679D8" w:rsidRDefault="00E54B1A" w:rsidP="009D02E9">
            <w:pPr>
              <w:spacing w:after="0" w:line="264" w:lineRule="auto"/>
              <w:jc w:val="right"/>
              <w:rPr>
                <w:rFonts w:cs="Arial"/>
                <w:sz w:val="16"/>
                <w:szCs w:val="16"/>
              </w:rPr>
            </w:pPr>
            <w:r w:rsidRPr="002679D8">
              <w:rPr>
                <w:rFonts w:cs="Arial"/>
                <w:sz w:val="16"/>
                <w:szCs w:val="16"/>
              </w:rPr>
              <w:t>2.345</w:t>
            </w:r>
          </w:p>
        </w:tc>
        <w:tc>
          <w:tcPr>
            <w:tcW w:w="1037" w:type="dxa"/>
            <w:tcBorders>
              <w:top w:val="nil"/>
              <w:bottom w:val="nil"/>
            </w:tcBorders>
            <w:vAlign w:val="center"/>
          </w:tcPr>
          <w:p w14:paraId="7370A1FB" w14:textId="36FE95CF" w:rsidR="00E54B1A" w:rsidRPr="002679D8" w:rsidRDefault="00E54B1A" w:rsidP="009D02E9">
            <w:pPr>
              <w:spacing w:after="0" w:line="264" w:lineRule="auto"/>
              <w:jc w:val="right"/>
              <w:rPr>
                <w:rFonts w:cs="Arial"/>
                <w:sz w:val="16"/>
                <w:szCs w:val="16"/>
              </w:rPr>
            </w:pPr>
            <w:r w:rsidRPr="002679D8">
              <w:rPr>
                <w:rFonts w:cs="Arial"/>
                <w:sz w:val="16"/>
                <w:szCs w:val="16"/>
              </w:rPr>
              <w:t>2.244</w:t>
            </w:r>
          </w:p>
        </w:tc>
        <w:tc>
          <w:tcPr>
            <w:tcW w:w="1043" w:type="dxa"/>
            <w:tcBorders>
              <w:top w:val="nil"/>
              <w:bottom w:val="nil"/>
              <w:right w:val="single" w:sz="2" w:space="0" w:color="A6A6A6" w:themeColor="background1" w:themeShade="A6"/>
            </w:tcBorders>
            <w:vAlign w:val="center"/>
          </w:tcPr>
          <w:p w14:paraId="4303154A" w14:textId="5FC5F58C" w:rsidR="00E54B1A" w:rsidRPr="002679D8" w:rsidRDefault="00E54B1A" w:rsidP="009D02E9">
            <w:pPr>
              <w:spacing w:after="0" w:line="264" w:lineRule="auto"/>
              <w:jc w:val="right"/>
              <w:rPr>
                <w:rFonts w:cs="Arial"/>
                <w:sz w:val="16"/>
                <w:szCs w:val="16"/>
              </w:rPr>
            </w:pPr>
            <w:r w:rsidRPr="002679D8">
              <w:rPr>
                <w:rFonts w:cs="Arial"/>
                <w:sz w:val="16"/>
                <w:szCs w:val="16"/>
              </w:rPr>
              <w:t>2.298</w:t>
            </w:r>
          </w:p>
        </w:tc>
      </w:tr>
      <w:tr w:rsidR="008C0A0E" w:rsidRPr="00372745" w14:paraId="65C0B5E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1EB1AEA" w14:textId="7BBF8627"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β.</w:t>
            </w:r>
            <w:r>
              <w:rPr>
                <w:rFonts w:cs="Arial"/>
                <w:b/>
                <w:bCs/>
                <w:sz w:val="16"/>
                <w:szCs w:val="16"/>
              </w:rPr>
              <w:tab/>
            </w:r>
            <w:r w:rsidRPr="00372745">
              <w:rPr>
                <w:rFonts w:cs="Arial"/>
                <w:b/>
                <w:bCs/>
                <w:sz w:val="16"/>
                <w:szCs w:val="16"/>
              </w:rPr>
              <w:t>Κοινωνικές εισφορές</w:t>
            </w:r>
          </w:p>
        </w:tc>
        <w:tc>
          <w:tcPr>
            <w:tcW w:w="1034" w:type="dxa"/>
            <w:tcBorders>
              <w:top w:val="nil"/>
              <w:bottom w:val="nil"/>
            </w:tcBorders>
            <w:vAlign w:val="center"/>
          </w:tcPr>
          <w:p w14:paraId="037433A4" w14:textId="4869E369" w:rsidR="00E54B1A" w:rsidRPr="002679D8" w:rsidRDefault="00E54B1A" w:rsidP="009D02E9">
            <w:pPr>
              <w:spacing w:after="0" w:line="264" w:lineRule="auto"/>
              <w:jc w:val="right"/>
              <w:rPr>
                <w:rFonts w:cs="Arial"/>
                <w:sz w:val="16"/>
                <w:szCs w:val="16"/>
              </w:rPr>
            </w:pPr>
            <w:r w:rsidRPr="002679D8">
              <w:rPr>
                <w:rFonts w:cs="Arial"/>
                <w:sz w:val="16"/>
                <w:szCs w:val="16"/>
              </w:rPr>
              <w:t>61</w:t>
            </w:r>
          </w:p>
        </w:tc>
        <w:tc>
          <w:tcPr>
            <w:tcW w:w="1551" w:type="dxa"/>
            <w:tcBorders>
              <w:top w:val="nil"/>
              <w:bottom w:val="nil"/>
            </w:tcBorders>
            <w:vAlign w:val="center"/>
          </w:tcPr>
          <w:p w14:paraId="1BEDC9A3" w14:textId="21460E09" w:rsidR="00E54B1A" w:rsidRPr="002679D8" w:rsidRDefault="00E54B1A" w:rsidP="009D02E9">
            <w:pPr>
              <w:spacing w:after="0" w:line="264" w:lineRule="auto"/>
              <w:jc w:val="right"/>
              <w:rPr>
                <w:rFonts w:cs="Arial"/>
                <w:sz w:val="16"/>
                <w:szCs w:val="16"/>
              </w:rPr>
            </w:pPr>
            <w:r w:rsidRPr="002679D8">
              <w:rPr>
                <w:rFonts w:cs="Arial"/>
                <w:sz w:val="16"/>
                <w:szCs w:val="16"/>
              </w:rPr>
              <w:t>61</w:t>
            </w:r>
          </w:p>
        </w:tc>
        <w:tc>
          <w:tcPr>
            <w:tcW w:w="1037" w:type="dxa"/>
            <w:tcBorders>
              <w:top w:val="nil"/>
              <w:bottom w:val="nil"/>
            </w:tcBorders>
            <w:vAlign w:val="center"/>
          </w:tcPr>
          <w:p w14:paraId="0C5D2864" w14:textId="17952F69" w:rsidR="00E54B1A" w:rsidRPr="002679D8" w:rsidRDefault="00E54B1A" w:rsidP="009D02E9">
            <w:pPr>
              <w:spacing w:after="0" w:line="264" w:lineRule="auto"/>
              <w:jc w:val="right"/>
              <w:rPr>
                <w:rFonts w:cs="Arial"/>
                <w:sz w:val="16"/>
                <w:szCs w:val="16"/>
              </w:rPr>
            </w:pPr>
            <w:r w:rsidRPr="002679D8">
              <w:rPr>
                <w:rFonts w:cs="Arial"/>
                <w:sz w:val="16"/>
                <w:szCs w:val="16"/>
              </w:rPr>
              <w:t>58</w:t>
            </w:r>
          </w:p>
        </w:tc>
        <w:tc>
          <w:tcPr>
            <w:tcW w:w="1043" w:type="dxa"/>
            <w:tcBorders>
              <w:top w:val="nil"/>
              <w:bottom w:val="nil"/>
              <w:right w:val="single" w:sz="2" w:space="0" w:color="A6A6A6" w:themeColor="background1" w:themeShade="A6"/>
            </w:tcBorders>
            <w:vAlign w:val="center"/>
          </w:tcPr>
          <w:p w14:paraId="6CE34451" w14:textId="51489534" w:rsidR="00E54B1A" w:rsidRPr="002679D8" w:rsidRDefault="00E54B1A" w:rsidP="009D02E9">
            <w:pPr>
              <w:spacing w:after="0" w:line="264" w:lineRule="auto"/>
              <w:jc w:val="right"/>
              <w:rPr>
                <w:rFonts w:cs="Arial"/>
                <w:sz w:val="16"/>
                <w:szCs w:val="16"/>
              </w:rPr>
            </w:pPr>
            <w:r w:rsidRPr="002679D8">
              <w:rPr>
                <w:rFonts w:cs="Arial"/>
                <w:sz w:val="16"/>
                <w:szCs w:val="16"/>
              </w:rPr>
              <w:t>58</w:t>
            </w:r>
          </w:p>
        </w:tc>
      </w:tr>
      <w:tr w:rsidR="008C0A0E" w:rsidRPr="00372745" w14:paraId="0B6C646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D0F876F" w14:textId="7D8A8026"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γ.</w:t>
            </w:r>
            <w:r>
              <w:rPr>
                <w:rFonts w:cs="Arial"/>
                <w:b/>
                <w:bCs/>
                <w:sz w:val="16"/>
                <w:szCs w:val="16"/>
              </w:rPr>
              <w:tab/>
            </w:r>
            <w:r w:rsidRPr="00372745">
              <w:rPr>
                <w:rFonts w:cs="Arial"/>
                <w:b/>
                <w:bCs/>
                <w:sz w:val="16"/>
                <w:szCs w:val="16"/>
              </w:rPr>
              <w:t>Μεταβιβάσεις</w:t>
            </w:r>
          </w:p>
        </w:tc>
        <w:tc>
          <w:tcPr>
            <w:tcW w:w="1034" w:type="dxa"/>
            <w:tcBorders>
              <w:top w:val="nil"/>
              <w:bottom w:val="nil"/>
            </w:tcBorders>
            <w:vAlign w:val="center"/>
          </w:tcPr>
          <w:p w14:paraId="47CB745B" w14:textId="6890BF5C" w:rsidR="00E54B1A" w:rsidRPr="002679D8" w:rsidRDefault="00E54B1A" w:rsidP="009D02E9">
            <w:pPr>
              <w:spacing w:after="0" w:line="264" w:lineRule="auto"/>
              <w:jc w:val="right"/>
              <w:rPr>
                <w:rFonts w:cs="Arial"/>
                <w:sz w:val="16"/>
                <w:szCs w:val="16"/>
              </w:rPr>
            </w:pPr>
            <w:r w:rsidRPr="002679D8">
              <w:rPr>
                <w:rFonts w:cs="Arial"/>
                <w:sz w:val="16"/>
                <w:szCs w:val="16"/>
              </w:rPr>
              <w:t>8.781</w:t>
            </w:r>
          </w:p>
        </w:tc>
        <w:tc>
          <w:tcPr>
            <w:tcW w:w="1551" w:type="dxa"/>
            <w:tcBorders>
              <w:top w:val="nil"/>
              <w:bottom w:val="nil"/>
            </w:tcBorders>
            <w:vAlign w:val="center"/>
          </w:tcPr>
          <w:p w14:paraId="633BA863" w14:textId="140A139A" w:rsidR="00E54B1A" w:rsidRPr="002679D8" w:rsidRDefault="00E54B1A" w:rsidP="009D02E9">
            <w:pPr>
              <w:spacing w:after="0" w:line="264" w:lineRule="auto"/>
              <w:jc w:val="right"/>
              <w:rPr>
                <w:rFonts w:cs="Arial"/>
                <w:sz w:val="16"/>
                <w:szCs w:val="16"/>
              </w:rPr>
            </w:pPr>
            <w:r w:rsidRPr="002679D8">
              <w:rPr>
                <w:rFonts w:cs="Arial"/>
                <w:sz w:val="16"/>
                <w:szCs w:val="16"/>
              </w:rPr>
              <w:t>10.930</w:t>
            </w:r>
          </w:p>
        </w:tc>
        <w:tc>
          <w:tcPr>
            <w:tcW w:w="1037" w:type="dxa"/>
            <w:tcBorders>
              <w:top w:val="nil"/>
              <w:bottom w:val="nil"/>
            </w:tcBorders>
            <w:vAlign w:val="center"/>
          </w:tcPr>
          <w:p w14:paraId="02B7DC4C" w14:textId="619EB2FD" w:rsidR="00E54B1A" w:rsidRPr="002679D8" w:rsidRDefault="00E54B1A" w:rsidP="009D02E9">
            <w:pPr>
              <w:spacing w:after="0" w:line="264" w:lineRule="auto"/>
              <w:jc w:val="right"/>
              <w:rPr>
                <w:rFonts w:cs="Arial"/>
                <w:sz w:val="16"/>
                <w:szCs w:val="16"/>
              </w:rPr>
            </w:pPr>
            <w:r w:rsidRPr="002679D8">
              <w:rPr>
                <w:rFonts w:cs="Arial"/>
                <w:sz w:val="16"/>
                <w:szCs w:val="16"/>
              </w:rPr>
              <w:t>11.027</w:t>
            </w:r>
          </w:p>
        </w:tc>
        <w:tc>
          <w:tcPr>
            <w:tcW w:w="1043" w:type="dxa"/>
            <w:tcBorders>
              <w:top w:val="nil"/>
              <w:bottom w:val="nil"/>
              <w:right w:val="single" w:sz="2" w:space="0" w:color="A6A6A6" w:themeColor="background1" w:themeShade="A6"/>
            </w:tcBorders>
            <w:vAlign w:val="center"/>
          </w:tcPr>
          <w:p w14:paraId="628B0C86" w14:textId="20458F05" w:rsidR="00E54B1A" w:rsidRPr="002679D8" w:rsidRDefault="00E54B1A" w:rsidP="009D02E9">
            <w:pPr>
              <w:spacing w:after="0" w:line="264" w:lineRule="auto"/>
              <w:jc w:val="right"/>
              <w:rPr>
                <w:rFonts w:cs="Arial"/>
                <w:sz w:val="16"/>
                <w:szCs w:val="16"/>
              </w:rPr>
            </w:pPr>
            <w:r w:rsidRPr="002679D8">
              <w:rPr>
                <w:rFonts w:cs="Arial"/>
                <w:sz w:val="16"/>
                <w:szCs w:val="16"/>
              </w:rPr>
              <w:t>4.939</w:t>
            </w:r>
          </w:p>
        </w:tc>
      </w:tr>
      <w:tr w:rsidR="008C0A0E" w:rsidRPr="00372745" w14:paraId="2AA49C5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8536C5F" w14:textId="456326EB"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δ.</w:t>
            </w:r>
            <w:r>
              <w:rPr>
                <w:rFonts w:cs="Arial"/>
                <w:b/>
                <w:bCs/>
                <w:sz w:val="16"/>
                <w:szCs w:val="16"/>
              </w:rPr>
              <w:tab/>
            </w:r>
            <w:r w:rsidRPr="00372745">
              <w:rPr>
                <w:rFonts w:cs="Arial"/>
                <w:b/>
                <w:bCs/>
                <w:sz w:val="16"/>
                <w:szCs w:val="16"/>
              </w:rPr>
              <w:t>Πωλήσεις αγαθών και υπηρεσιών</w:t>
            </w:r>
          </w:p>
        </w:tc>
        <w:tc>
          <w:tcPr>
            <w:tcW w:w="1034" w:type="dxa"/>
            <w:tcBorders>
              <w:top w:val="nil"/>
              <w:bottom w:val="nil"/>
            </w:tcBorders>
            <w:vAlign w:val="center"/>
          </w:tcPr>
          <w:p w14:paraId="13716CE1" w14:textId="278C7701" w:rsidR="00E54B1A" w:rsidRPr="002679D8" w:rsidRDefault="00E54B1A" w:rsidP="009D02E9">
            <w:pPr>
              <w:spacing w:after="0" w:line="264" w:lineRule="auto"/>
              <w:jc w:val="right"/>
              <w:rPr>
                <w:rFonts w:cs="Arial"/>
                <w:sz w:val="16"/>
                <w:szCs w:val="16"/>
              </w:rPr>
            </w:pPr>
            <w:r w:rsidRPr="002679D8">
              <w:rPr>
                <w:rFonts w:cs="Arial"/>
                <w:sz w:val="16"/>
                <w:szCs w:val="16"/>
              </w:rPr>
              <w:t>1.171</w:t>
            </w:r>
          </w:p>
        </w:tc>
        <w:tc>
          <w:tcPr>
            <w:tcW w:w="1551" w:type="dxa"/>
            <w:tcBorders>
              <w:top w:val="nil"/>
              <w:bottom w:val="nil"/>
            </w:tcBorders>
            <w:vAlign w:val="center"/>
          </w:tcPr>
          <w:p w14:paraId="016AAA97" w14:textId="52BE2014" w:rsidR="00E54B1A" w:rsidRPr="002679D8" w:rsidRDefault="00E54B1A" w:rsidP="009D02E9">
            <w:pPr>
              <w:spacing w:after="0" w:line="264" w:lineRule="auto"/>
              <w:jc w:val="right"/>
              <w:rPr>
                <w:rFonts w:cs="Arial"/>
                <w:sz w:val="16"/>
                <w:szCs w:val="16"/>
              </w:rPr>
            </w:pPr>
            <w:r w:rsidRPr="002679D8">
              <w:rPr>
                <w:rFonts w:cs="Arial"/>
                <w:sz w:val="16"/>
                <w:szCs w:val="16"/>
              </w:rPr>
              <w:t>1.061</w:t>
            </w:r>
          </w:p>
        </w:tc>
        <w:tc>
          <w:tcPr>
            <w:tcW w:w="1037" w:type="dxa"/>
            <w:tcBorders>
              <w:top w:val="nil"/>
              <w:bottom w:val="nil"/>
            </w:tcBorders>
            <w:vAlign w:val="center"/>
          </w:tcPr>
          <w:p w14:paraId="741F14D4" w14:textId="62E17A60" w:rsidR="00E54B1A" w:rsidRPr="002679D8" w:rsidRDefault="00E54B1A" w:rsidP="009D02E9">
            <w:pPr>
              <w:spacing w:after="0" w:line="264" w:lineRule="auto"/>
              <w:jc w:val="right"/>
              <w:rPr>
                <w:rFonts w:cs="Arial"/>
                <w:sz w:val="16"/>
                <w:szCs w:val="16"/>
              </w:rPr>
            </w:pPr>
            <w:r w:rsidRPr="002679D8">
              <w:rPr>
                <w:rFonts w:cs="Arial"/>
                <w:sz w:val="16"/>
                <w:szCs w:val="16"/>
              </w:rPr>
              <w:t>1.340</w:t>
            </w:r>
          </w:p>
        </w:tc>
        <w:tc>
          <w:tcPr>
            <w:tcW w:w="1043" w:type="dxa"/>
            <w:tcBorders>
              <w:top w:val="nil"/>
              <w:bottom w:val="nil"/>
              <w:right w:val="single" w:sz="2" w:space="0" w:color="A6A6A6" w:themeColor="background1" w:themeShade="A6"/>
            </w:tcBorders>
            <w:vAlign w:val="center"/>
          </w:tcPr>
          <w:p w14:paraId="676F0F23" w14:textId="7F20B047" w:rsidR="00E54B1A" w:rsidRPr="002679D8" w:rsidRDefault="00E54B1A" w:rsidP="009D02E9">
            <w:pPr>
              <w:spacing w:after="0" w:line="264" w:lineRule="auto"/>
              <w:jc w:val="right"/>
              <w:rPr>
                <w:rFonts w:cs="Arial"/>
                <w:sz w:val="16"/>
                <w:szCs w:val="16"/>
              </w:rPr>
            </w:pPr>
            <w:r w:rsidRPr="002679D8">
              <w:rPr>
                <w:rFonts w:cs="Arial"/>
                <w:sz w:val="16"/>
                <w:szCs w:val="16"/>
              </w:rPr>
              <w:t>1.217</w:t>
            </w:r>
          </w:p>
        </w:tc>
      </w:tr>
      <w:tr w:rsidR="008C0A0E" w:rsidRPr="00372745" w14:paraId="62362BDC"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080E7B4B" w14:textId="07D8DB9E"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ε.</w:t>
            </w:r>
            <w:r>
              <w:rPr>
                <w:rFonts w:cs="Arial"/>
                <w:b/>
                <w:bCs/>
                <w:sz w:val="16"/>
                <w:szCs w:val="16"/>
              </w:rPr>
              <w:tab/>
            </w:r>
            <w:r w:rsidRPr="00372745">
              <w:rPr>
                <w:rFonts w:cs="Arial"/>
                <w:b/>
                <w:bCs/>
                <w:sz w:val="16"/>
                <w:szCs w:val="16"/>
              </w:rPr>
              <w:t>Λοιπά τρέχοντα έσοδα</w:t>
            </w:r>
          </w:p>
        </w:tc>
        <w:tc>
          <w:tcPr>
            <w:tcW w:w="1034" w:type="dxa"/>
            <w:tcBorders>
              <w:top w:val="nil"/>
              <w:bottom w:val="nil"/>
            </w:tcBorders>
            <w:vAlign w:val="center"/>
          </w:tcPr>
          <w:p w14:paraId="2E9C9CE0" w14:textId="24179A37" w:rsidR="00E54B1A" w:rsidRPr="002679D8" w:rsidRDefault="00E54B1A" w:rsidP="009D02E9">
            <w:pPr>
              <w:spacing w:after="0" w:line="264" w:lineRule="auto"/>
              <w:jc w:val="right"/>
              <w:rPr>
                <w:rFonts w:cs="Arial"/>
                <w:sz w:val="16"/>
                <w:szCs w:val="16"/>
              </w:rPr>
            </w:pPr>
            <w:r w:rsidRPr="002679D8">
              <w:rPr>
                <w:rFonts w:cs="Arial"/>
                <w:sz w:val="16"/>
                <w:szCs w:val="16"/>
              </w:rPr>
              <w:t>2.837</w:t>
            </w:r>
          </w:p>
        </w:tc>
        <w:tc>
          <w:tcPr>
            <w:tcW w:w="1551" w:type="dxa"/>
            <w:tcBorders>
              <w:top w:val="nil"/>
              <w:bottom w:val="nil"/>
            </w:tcBorders>
            <w:vAlign w:val="center"/>
          </w:tcPr>
          <w:p w14:paraId="493B12CB" w14:textId="388404BA" w:rsidR="00E54B1A" w:rsidRPr="002679D8" w:rsidRDefault="00E54B1A" w:rsidP="009D02E9">
            <w:pPr>
              <w:spacing w:after="0" w:line="264" w:lineRule="auto"/>
              <w:jc w:val="right"/>
              <w:rPr>
                <w:rFonts w:cs="Arial"/>
                <w:sz w:val="16"/>
                <w:szCs w:val="16"/>
              </w:rPr>
            </w:pPr>
            <w:r w:rsidRPr="002679D8">
              <w:rPr>
                <w:rFonts w:cs="Arial"/>
                <w:sz w:val="16"/>
                <w:szCs w:val="16"/>
              </w:rPr>
              <w:t>2.274</w:t>
            </w:r>
          </w:p>
        </w:tc>
        <w:tc>
          <w:tcPr>
            <w:tcW w:w="1037" w:type="dxa"/>
            <w:tcBorders>
              <w:top w:val="nil"/>
              <w:bottom w:val="nil"/>
            </w:tcBorders>
            <w:vAlign w:val="center"/>
          </w:tcPr>
          <w:p w14:paraId="7A4CD248" w14:textId="3BB617C1" w:rsidR="00E54B1A" w:rsidRPr="002679D8" w:rsidRDefault="00E54B1A" w:rsidP="009D02E9">
            <w:pPr>
              <w:spacing w:after="0" w:line="264" w:lineRule="auto"/>
              <w:jc w:val="right"/>
              <w:rPr>
                <w:rFonts w:cs="Arial"/>
                <w:sz w:val="16"/>
                <w:szCs w:val="16"/>
              </w:rPr>
            </w:pPr>
            <w:r w:rsidRPr="002679D8">
              <w:rPr>
                <w:rFonts w:cs="Arial"/>
                <w:sz w:val="16"/>
                <w:szCs w:val="16"/>
              </w:rPr>
              <w:t>3.150</w:t>
            </w:r>
          </w:p>
        </w:tc>
        <w:tc>
          <w:tcPr>
            <w:tcW w:w="1043" w:type="dxa"/>
            <w:tcBorders>
              <w:top w:val="nil"/>
              <w:bottom w:val="nil"/>
              <w:right w:val="single" w:sz="2" w:space="0" w:color="A6A6A6" w:themeColor="background1" w:themeShade="A6"/>
            </w:tcBorders>
            <w:vAlign w:val="center"/>
          </w:tcPr>
          <w:p w14:paraId="702BFA81" w14:textId="53BA2C31" w:rsidR="00E54B1A" w:rsidRPr="002679D8" w:rsidRDefault="00E54B1A" w:rsidP="009D02E9">
            <w:pPr>
              <w:spacing w:after="0" w:line="264" w:lineRule="auto"/>
              <w:jc w:val="right"/>
              <w:rPr>
                <w:rFonts w:cs="Arial"/>
                <w:sz w:val="16"/>
                <w:szCs w:val="16"/>
              </w:rPr>
            </w:pPr>
            <w:r w:rsidRPr="002679D8">
              <w:rPr>
                <w:rFonts w:cs="Arial"/>
                <w:sz w:val="16"/>
                <w:szCs w:val="16"/>
              </w:rPr>
              <w:t>3.039</w:t>
            </w:r>
          </w:p>
        </w:tc>
      </w:tr>
      <w:tr w:rsidR="008C0A0E" w:rsidRPr="00056014" w14:paraId="168C5F9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33D80A5" w14:textId="7A5A5E03" w:rsidR="00E54B1A" w:rsidRPr="00056014" w:rsidRDefault="00CD7673" w:rsidP="009D02E9">
            <w:pPr>
              <w:tabs>
                <w:tab w:val="left" w:pos="340"/>
              </w:tabs>
              <w:spacing w:after="0" w:line="264" w:lineRule="auto"/>
              <w:jc w:val="left"/>
              <w:rPr>
                <w:rFonts w:cs="Arial"/>
                <w:bCs/>
                <w:sz w:val="16"/>
                <w:szCs w:val="16"/>
              </w:rPr>
            </w:pPr>
            <w:r>
              <w:rPr>
                <w:rFonts w:cs="Arial"/>
                <w:sz w:val="16"/>
                <w:szCs w:val="16"/>
              </w:rPr>
              <w:tab/>
            </w:r>
            <w:r w:rsidR="00E54B1A" w:rsidRPr="00CD7673">
              <w:rPr>
                <w:rFonts w:cs="Arial"/>
                <w:sz w:val="16"/>
                <w:szCs w:val="16"/>
              </w:rPr>
              <w:t>εκ</w:t>
            </w:r>
            <w:r w:rsidR="00E54B1A" w:rsidRPr="00056014">
              <w:rPr>
                <w:rFonts w:cs="Arial"/>
                <w:bCs/>
                <w:sz w:val="16"/>
                <w:szCs w:val="16"/>
              </w:rPr>
              <w:t xml:space="preserve"> των οποίων: ε1. Επιστροφές δαπανών για τόκους</w:t>
            </w:r>
          </w:p>
        </w:tc>
        <w:tc>
          <w:tcPr>
            <w:tcW w:w="1034" w:type="dxa"/>
            <w:tcBorders>
              <w:top w:val="nil"/>
              <w:bottom w:val="nil"/>
            </w:tcBorders>
            <w:vAlign w:val="center"/>
          </w:tcPr>
          <w:p w14:paraId="797D1F17" w14:textId="283E2EEA" w:rsidR="00E54B1A" w:rsidRPr="002679D8" w:rsidRDefault="00E54B1A" w:rsidP="009D02E9">
            <w:pPr>
              <w:spacing w:after="0" w:line="264" w:lineRule="auto"/>
              <w:jc w:val="right"/>
              <w:rPr>
                <w:rFonts w:cs="Arial"/>
                <w:sz w:val="16"/>
                <w:szCs w:val="16"/>
              </w:rPr>
            </w:pPr>
            <w:r w:rsidRPr="002679D8">
              <w:rPr>
                <w:rFonts w:cs="Arial"/>
                <w:sz w:val="16"/>
                <w:szCs w:val="16"/>
              </w:rPr>
              <w:t>96</w:t>
            </w:r>
          </w:p>
        </w:tc>
        <w:tc>
          <w:tcPr>
            <w:tcW w:w="1551" w:type="dxa"/>
            <w:tcBorders>
              <w:top w:val="nil"/>
              <w:bottom w:val="nil"/>
            </w:tcBorders>
            <w:vAlign w:val="center"/>
          </w:tcPr>
          <w:p w14:paraId="501EBDCD" w14:textId="749A9C0C" w:rsidR="00E54B1A" w:rsidRPr="002679D8" w:rsidRDefault="00E54B1A" w:rsidP="009D02E9">
            <w:pPr>
              <w:spacing w:after="0" w:line="264" w:lineRule="auto"/>
              <w:jc w:val="right"/>
              <w:rPr>
                <w:rFonts w:cs="Arial"/>
                <w:sz w:val="16"/>
                <w:szCs w:val="16"/>
              </w:rPr>
            </w:pPr>
            <w:r w:rsidRPr="002679D8">
              <w:rPr>
                <w:rFonts w:cs="Arial"/>
                <w:sz w:val="16"/>
                <w:szCs w:val="16"/>
              </w:rPr>
              <w:t>0</w:t>
            </w:r>
          </w:p>
        </w:tc>
        <w:tc>
          <w:tcPr>
            <w:tcW w:w="1037" w:type="dxa"/>
            <w:tcBorders>
              <w:top w:val="nil"/>
              <w:bottom w:val="nil"/>
            </w:tcBorders>
            <w:vAlign w:val="center"/>
          </w:tcPr>
          <w:p w14:paraId="46643278" w14:textId="6A617EC7" w:rsidR="00E54B1A" w:rsidRPr="002679D8" w:rsidRDefault="00E54B1A" w:rsidP="009D02E9">
            <w:pPr>
              <w:spacing w:after="0" w:line="264" w:lineRule="auto"/>
              <w:jc w:val="right"/>
              <w:rPr>
                <w:rFonts w:cs="Arial"/>
                <w:sz w:val="16"/>
                <w:szCs w:val="16"/>
              </w:rPr>
            </w:pPr>
            <w:r w:rsidRPr="002679D8">
              <w:rPr>
                <w:rFonts w:cs="Arial"/>
                <w:sz w:val="16"/>
                <w:szCs w:val="16"/>
              </w:rPr>
              <w:t>3</w:t>
            </w:r>
          </w:p>
        </w:tc>
        <w:tc>
          <w:tcPr>
            <w:tcW w:w="1043" w:type="dxa"/>
            <w:tcBorders>
              <w:top w:val="nil"/>
              <w:bottom w:val="nil"/>
              <w:right w:val="single" w:sz="2" w:space="0" w:color="A6A6A6" w:themeColor="background1" w:themeShade="A6"/>
            </w:tcBorders>
            <w:vAlign w:val="center"/>
          </w:tcPr>
          <w:p w14:paraId="0CF10D00" w14:textId="39499367" w:rsidR="00E54B1A" w:rsidRPr="002679D8" w:rsidRDefault="00E54B1A" w:rsidP="009D02E9">
            <w:pPr>
              <w:spacing w:after="0" w:line="264" w:lineRule="auto"/>
              <w:jc w:val="right"/>
              <w:rPr>
                <w:rFonts w:cs="Arial"/>
                <w:sz w:val="16"/>
                <w:szCs w:val="16"/>
              </w:rPr>
            </w:pPr>
            <w:r w:rsidRPr="002679D8">
              <w:rPr>
                <w:rFonts w:cs="Arial"/>
                <w:sz w:val="16"/>
                <w:szCs w:val="16"/>
              </w:rPr>
              <w:t>0</w:t>
            </w:r>
          </w:p>
        </w:tc>
      </w:tr>
      <w:tr w:rsidR="008C0A0E" w:rsidRPr="00372745" w14:paraId="591DA598"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23BEC3D" w14:textId="7F9D2C37"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στ.</w:t>
            </w:r>
            <w:r>
              <w:rPr>
                <w:rFonts w:cs="Arial"/>
                <w:b/>
                <w:bCs/>
                <w:sz w:val="16"/>
                <w:szCs w:val="16"/>
              </w:rPr>
              <w:tab/>
            </w:r>
            <w:r w:rsidRPr="00372745">
              <w:rPr>
                <w:rFonts w:cs="Arial"/>
                <w:b/>
                <w:bCs/>
                <w:sz w:val="16"/>
                <w:szCs w:val="16"/>
              </w:rPr>
              <w:t>Πωλήσεις παγίων περιουσιακών στοιχείων</w:t>
            </w:r>
          </w:p>
        </w:tc>
        <w:tc>
          <w:tcPr>
            <w:tcW w:w="1034" w:type="dxa"/>
            <w:tcBorders>
              <w:top w:val="nil"/>
              <w:bottom w:val="nil"/>
            </w:tcBorders>
            <w:vAlign w:val="center"/>
          </w:tcPr>
          <w:p w14:paraId="6FE2A577" w14:textId="56A89A9A" w:rsidR="00E54B1A" w:rsidRPr="002679D8" w:rsidRDefault="00E54B1A" w:rsidP="009D02E9">
            <w:pPr>
              <w:spacing w:after="0" w:line="264" w:lineRule="auto"/>
              <w:jc w:val="right"/>
              <w:rPr>
                <w:rFonts w:cs="Arial"/>
                <w:sz w:val="16"/>
                <w:szCs w:val="16"/>
              </w:rPr>
            </w:pPr>
            <w:r w:rsidRPr="002679D8">
              <w:rPr>
                <w:rFonts w:cs="Arial"/>
                <w:sz w:val="16"/>
                <w:szCs w:val="16"/>
              </w:rPr>
              <w:t>26</w:t>
            </w:r>
          </w:p>
        </w:tc>
        <w:tc>
          <w:tcPr>
            <w:tcW w:w="1551" w:type="dxa"/>
            <w:tcBorders>
              <w:top w:val="nil"/>
              <w:bottom w:val="nil"/>
            </w:tcBorders>
            <w:vAlign w:val="center"/>
          </w:tcPr>
          <w:p w14:paraId="64F2C71B" w14:textId="1D3FEB07" w:rsidR="00E54B1A" w:rsidRPr="002679D8" w:rsidRDefault="00E54B1A" w:rsidP="009D02E9">
            <w:pPr>
              <w:spacing w:after="0" w:line="264" w:lineRule="auto"/>
              <w:jc w:val="right"/>
              <w:rPr>
                <w:rFonts w:cs="Arial"/>
                <w:sz w:val="16"/>
                <w:szCs w:val="16"/>
              </w:rPr>
            </w:pPr>
            <w:r w:rsidRPr="002679D8">
              <w:rPr>
                <w:rFonts w:cs="Arial"/>
                <w:sz w:val="16"/>
                <w:szCs w:val="16"/>
              </w:rPr>
              <w:t>51</w:t>
            </w:r>
          </w:p>
        </w:tc>
        <w:tc>
          <w:tcPr>
            <w:tcW w:w="1037" w:type="dxa"/>
            <w:tcBorders>
              <w:top w:val="nil"/>
              <w:bottom w:val="nil"/>
            </w:tcBorders>
            <w:vAlign w:val="center"/>
          </w:tcPr>
          <w:p w14:paraId="50CD40D5" w14:textId="3828204B" w:rsidR="00E54B1A" w:rsidRPr="002679D8" w:rsidRDefault="00E54B1A" w:rsidP="009D02E9">
            <w:pPr>
              <w:spacing w:after="0" w:line="264" w:lineRule="auto"/>
              <w:jc w:val="right"/>
              <w:rPr>
                <w:rFonts w:cs="Arial"/>
                <w:sz w:val="16"/>
                <w:szCs w:val="16"/>
              </w:rPr>
            </w:pPr>
            <w:r w:rsidRPr="002679D8">
              <w:rPr>
                <w:rFonts w:cs="Arial"/>
                <w:sz w:val="16"/>
                <w:szCs w:val="16"/>
              </w:rPr>
              <w:t>1</w:t>
            </w:r>
          </w:p>
        </w:tc>
        <w:tc>
          <w:tcPr>
            <w:tcW w:w="1043" w:type="dxa"/>
            <w:tcBorders>
              <w:top w:val="nil"/>
              <w:bottom w:val="nil"/>
              <w:right w:val="single" w:sz="2" w:space="0" w:color="A6A6A6" w:themeColor="background1" w:themeShade="A6"/>
            </w:tcBorders>
            <w:vAlign w:val="center"/>
          </w:tcPr>
          <w:p w14:paraId="6D3D060A" w14:textId="766BB249" w:rsidR="00E54B1A" w:rsidRPr="002679D8" w:rsidRDefault="00E54B1A" w:rsidP="009D02E9">
            <w:pPr>
              <w:spacing w:after="0" w:line="264" w:lineRule="auto"/>
              <w:jc w:val="right"/>
              <w:rPr>
                <w:rFonts w:cs="Arial"/>
                <w:sz w:val="16"/>
                <w:szCs w:val="16"/>
              </w:rPr>
            </w:pPr>
            <w:r w:rsidRPr="002679D8">
              <w:rPr>
                <w:rFonts w:cs="Arial"/>
                <w:sz w:val="16"/>
                <w:szCs w:val="16"/>
              </w:rPr>
              <w:t>1</w:t>
            </w:r>
          </w:p>
        </w:tc>
      </w:tr>
      <w:tr w:rsidR="008C0A0E" w:rsidRPr="00372745" w14:paraId="3AA0941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1668AB7" w14:textId="5F73D2FF"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ζ.</w:t>
            </w:r>
            <w:r>
              <w:rPr>
                <w:rFonts w:cs="Arial"/>
                <w:b/>
                <w:bCs/>
                <w:sz w:val="16"/>
                <w:szCs w:val="16"/>
              </w:rPr>
              <w:tab/>
            </w:r>
            <w:r w:rsidRPr="00372745">
              <w:rPr>
                <w:rFonts w:cs="Arial"/>
                <w:b/>
                <w:bCs/>
                <w:sz w:val="16"/>
                <w:szCs w:val="16"/>
              </w:rPr>
              <w:t>Επιστροφές εσόδων</w:t>
            </w:r>
          </w:p>
        </w:tc>
        <w:tc>
          <w:tcPr>
            <w:tcW w:w="1034" w:type="dxa"/>
            <w:tcBorders>
              <w:top w:val="nil"/>
              <w:bottom w:val="nil"/>
            </w:tcBorders>
            <w:vAlign w:val="center"/>
          </w:tcPr>
          <w:p w14:paraId="35E467CC" w14:textId="1CA3A0F2" w:rsidR="00E54B1A" w:rsidRPr="002679D8" w:rsidRDefault="00E54B1A" w:rsidP="009D02E9">
            <w:pPr>
              <w:spacing w:after="0" w:line="264" w:lineRule="auto"/>
              <w:jc w:val="right"/>
              <w:rPr>
                <w:rFonts w:cs="Arial"/>
                <w:sz w:val="16"/>
                <w:szCs w:val="16"/>
              </w:rPr>
            </w:pPr>
            <w:r w:rsidRPr="002679D8">
              <w:rPr>
                <w:rFonts w:cs="Arial"/>
                <w:sz w:val="16"/>
                <w:szCs w:val="16"/>
              </w:rPr>
              <w:t>8.410</w:t>
            </w:r>
          </w:p>
        </w:tc>
        <w:tc>
          <w:tcPr>
            <w:tcW w:w="1551" w:type="dxa"/>
            <w:tcBorders>
              <w:top w:val="nil"/>
              <w:bottom w:val="nil"/>
            </w:tcBorders>
            <w:vAlign w:val="center"/>
          </w:tcPr>
          <w:p w14:paraId="166EC45E" w14:textId="4C62124B" w:rsidR="00E54B1A" w:rsidRPr="002679D8" w:rsidRDefault="00E54B1A" w:rsidP="009D02E9">
            <w:pPr>
              <w:spacing w:after="0" w:line="264" w:lineRule="auto"/>
              <w:jc w:val="right"/>
              <w:rPr>
                <w:rFonts w:cs="Arial"/>
                <w:sz w:val="16"/>
                <w:szCs w:val="16"/>
              </w:rPr>
            </w:pPr>
            <w:r w:rsidRPr="002679D8">
              <w:rPr>
                <w:rFonts w:cs="Arial"/>
                <w:sz w:val="16"/>
                <w:szCs w:val="16"/>
              </w:rPr>
              <w:t>8.038</w:t>
            </w:r>
          </w:p>
        </w:tc>
        <w:tc>
          <w:tcPr>
            <w:tcW w:w="1037" w:type="dxa"/>
            <w:tcBorders>
              <w:top w:val="nil"/>
              <w:bottom w:val="nil"/>
            </w:tcBorders>
            <w:vAlign w:val="center"/>
          </w:tcPr>
          <w:p w14:paraId="32701A06" w14:textId="6964B1CB" w:rsidR="00E54B1A" w:rsidRPr="002679D8" w:rsidRDefault="00E54B1A" w:rsidP="009D02E9">
            <w:pPr>
              <w:spacing w:after="0" w:line="264" w:lineRule="auto"/>
              <w:jc w:val="right"/>
              <w:rPr>
                <w:rFonts w:cs="Arial"/>
                <w:sz w:val="16"/>
                <w:szCs w:val="16"/>
              </w:rPr>
            </w:pPr>
            <w:r w:rsidRPr="002679D8">
              <w:rPr>
                <w:rFonts w:cs="Arial"/>
                <w:sz w:val="16"/>
                <w:szCs w:val="16"/>
              </w:rPr>
              <w:t>8.434</w:t>
            </w:r>
          </w:p>
        </w:tc>
        <w:tc>
          <w:tcPr>
            <w:tcW w:w="1043" w:type="dxa"/>
            <w:tcBorders>
              <w:top w:val="nil"/>
              <w:bottom w:val="nil"/>
              <w:right w:val="single" w:sz="2" w:space="0" w:color="A6A6A6" w:themeColor="background1" w:themeShade="A6"/>
            </w:tcBorders>
            <w:vAlign w:val="center"/>
          </w:tcPr>
          <w:p w14:paraId="11A323C9" w14:textId="57059DD3" w:rsidR="00E54B1A" w:rsidRPr="002679D8" w:rsidRDefault="00E54B1A" w:rsidP="009D02E9">
            <w:pPr>
              <w:spacing w:after="0" w:line="264" w:lineRule="auto"/>
              <w:jc w:val="right"/>
              <w:rPr>
                <w:rFonts w:cs="Arial"/>
                <w:sz w:val="16"/>
                <w:szCs w:val="16"/>
              </w:rPr>
            </w:pPr>
            <w:r w:rsidRPr="002679D8">
              <w:rPr>
                <w:rFonts w:cs="Arial"/>
                <w:sz w:val="16"/>
                <w:szCs w:val="16"/>
              </w:rPr>
              <w:t>8.448</w:t>
            </w:r>
          </w:p>
        </w:tc>
      </w:tr>
      <w:tr w:rsidR="008C0A0E" w:rsidRPr="00372745" w14:paraId="4E8279C5"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1ABE3FC" w14:textId="77777777" w:rsidR="00EE405C" w:rsidRPr="00372745" w:rsidRDefault="00EE405C" w:rsidP="00DA5631">
            <w:pPr>
              <w:tabs>
                <w:tab w:val="left" w:pos="340"/>
              </w:tabs>
              <w:spacing w:before="60" w:after="0" w:line="264" w:lineRule="auto"/>
              <w:jc w:val="left"/>
              <w:rPr>
                <w:rFonts w:cs="Arial"/>
                <w:sz w:val="16"/>
                <w:szCs w:val="16"/>
              </w:rPr>
            </w:pPr>
            <w:r w:rsidRPr="00372745">
              <w:rPr>
                <w:rFonts w:cs="Arial"/>
                <w:sz w:val="16"/>
                <w:szCs w:val="16"/>
              </w:rPr>
              <w:t>Πληροφοριακά στοιχεία:</w:t>
            </w:r>
          </w:p>
        </w:tc>
        <w:tc>
          <w:tcPr>
            <w:tcW w:w="1034" w:type="dxa"/>
            <w:tcBorders>
              <w:top w:val="nil"/>
              <w:bottom w:val="nil"/>
            </w:tcBorders>
            <w:vAlign w:val="center"/>
            <w:hideMark/>
          </w:tcPr>
          <w:p w14:paraId="5A55F6CA" w14:textId="77777777" w:rsidR="00EE405C" w:rsidRPr="002679D8" w:rsidRDefault="00EE405C" w:rsidP="009D02E9">
            <w:pPr>
              <w:spacing w:after="0" w:line="264" w:lineRule="auto"/>
              <w:jc w:val="right"/>
              <w:rPr>
                <w:rFonts w:cs="Arial"/>
                <w:sz w:val="16"/>
                <w:szCs w:val="16"/>
              </w:rPr>
            </w:pPr>
          </w:p>
        </w:tc>
        <w:tc>
          <w:tcPr>
            <w:tcW w:w="1551" w:type="dxa"/>
            <w:tcBorders>
              <w:top w:val="nil"/>
              <w:bottom w:val="nil"/>
            </w:tcBorders>
            <w:vAlign w:val="center"/>
            <w:hideMark/>
          </w:tcPr>
          <w:p w14:paraId="2EE97EB9" w14:textId="77777777" w:rsidR="00EE405C" w:rsidRPr="002679D8" w:rsidRDefault="00EE405C" w:rsidP="009D02E9">
            <w:pPr>
              <w:spacing w:after="0" w:line="264" w:lineRule="auto"/>
              <w:jc w:val="right"/>
              <w:rPr>
                <w:rFonts w:cs="Arial"/>
                <w:sz w:val="16"/>
                <w:szCs w:val="16"/>
              </w:rPr>
            </w:pPr>
          </w:p>
        </w:tc>
        <w:tc>
          <w:tcPr>
            <w:tcW w:w="1037" w:type="dxa"/>
            <w:tcBorders>
              <w:top w:val="nil"/>
              <w:bottom w:val="nil"/>
            </w:tcBorders>
            <w:vAlign w:val="center"/>
            <w:hideMark/>
          </w:tcPr>
          <w:p w14:paraId="4EAF42CB" w14:textId="77777777" w:rsidR="00EE405C" w:rsidRPr="002679D8" w:rsidRDefault="00EE405C" w:rsidP="009D02E9">
            <w:pPr>
              <w:spacing w:after="0" w:line="264" w:lineRule="auto"/>
              <w:jc w:val="right"/>
              <w:rPr>
                <w:rFonts w:cs="Arial"/>
                <w:sz w:val="16"/>
                <w:szCs w:val="16"/>
              </w:rPr>
            </w:pPr>
          </w:p>
        </w:tc>
        <w:tc>
          <w:tcPr>
            <w:tcW w:w="1043" w:type="dxa"/>
            <w:tcBorders>
              <w:top w:val="nil"/>
              <w:bottom w:val="nil"/>
              <w:right w:val="single" w:sz="2" w:space="0" w:color="A6A6A6" w:themeColor="background1" w:themeShade="A6"/>
            </w:tcBorders>
            <w:vAlign w:val="center"/>
            <w:hideMark/>
          </w:tcPr>
          <w:p w14:paraId="34A23971" w14:textId="77777777" w:rsidR="00EE405C" w:rsidRPr="002679D8" w:rsidRDefault="00EE405C" w:rsidP="009D02E9">
            <w:pPr>
              <w:spacing w:after="0" w:line="264" w:lineRule="auto"/>
              <w:jc w:val="right"/>
              <w:rPr>
                <w:rFonts w:cs="Arial"/>
                <w:sz w:val="16"/>
                <w:szCs w:val="16"/>
              </w:rPr>
            </w:pPr>
          </w:p>
        </w:tc>
      </w:tr>
      <w:tr w:rsidR="008C0A0E" w:rsidRPr="00372745" w14:paraId="0B2B279C"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E864C9C" w14:textId="6F5B81AE" w:rsidR="002679D8" w:rsidRPr="00372745" w:rsidRDefault="002679D8" w:rsidP="009D02E9">
            <w:pPr>
              <w:spacing w:after="0" w:line="264" w:lineRule="auto"/>
              <w:jc w:val="left"/>
              <w:rPr>
                <w:rFonts w:cs="Arial"/>
                <w:i/>
                <w:iCs/>
                <w:sz w:val="16"/>
                <w:szCs w:val="16"/>
              </w:rPr>
            </w:pPr>
            <w:r w:rsidRPr="00372745">
              <w:rPr>
                <w:rFonts w:cs="Arial"/>
                <w:i/>
                <w:iCs/>
                <w:sz w:val="16"/>
                <w:szCs w:val="16"/>
              </w:rPr>
              <w:t>Πρ</w:t>
            </w:r>
            <w:r>
              <w:rPr>
                <w:rFonts w:cs="Arial"/>
                <w:i/>
                <w:iCs/>
                <w:sz w:val="16"/>
                <w:szCs w:val="16"/>
              </w:rPr>
              <w:t>οϋπολογισμός δ</w:t>
            </w:r>
            <w:r w:rsidRPr="00372745">
              <w:rPr>
                <w:rFonts w:cs="Arial"/>
                <w:i/>
                <w:iCs/>
                <w:sz w:val="16"/>
                <w:szCs w:val="16"/>
              </w:rPr>
              <w:t xml:space="preserve">ημοσίων </w:t>
            </w:r>
            <w:r>
              <w:rPr>
                <w:rFonts w:cs="Arial"/>
                <w:i/>
                <w:iCs/>
                <w:sz w:val="16"/>
                <w:szCs w:val="16"/>
              </w:rPr>
              <w:t>ε</w:t>
            </w:r>
            <w:r w:rsidRPr="00372745">
              <w:rPr>
                <w:rFonts w:cs="Arial"/>
                <w:i/>
                <w:iCs/>
                <w:sz w:val="16"/>
                <w:szCs w:val="16"/>
              </w:rPr>
              <w:t>πενδύσεων</w:t>
            </w:r>
            <w:r w:rsidRPr="00606317">
              <w:rPr>
                <w:rFonts w:cs="Arial"/>
                <w:i/>
                <w:iCs/>
                <w:sz w:val="16"/>
                <w:szCs w:val="16"/>
                <w:vertAlign w:val="superscript"/>
              </w:rPr>
              <w:t>1</w:t>
            </w:r>
          </w:p>
        </w:tc>
        <w:tc>
          <w:tcPr>
            <w:tcW w:w="1034" w:type="dxa"/>
            <w:tcBorders>
              <w:top w:val="nil"/>
              <w:bottom w:val="nil"/>
            </w:tcBorders>
            <w:vAlign w:val="center"/>
            <w:hideMark/>
          </w:tcPr>
          <w:p w14:paraId="0135F8E8" w14:textId="0B6A9BC8" w:rsidR="002679D8" w:rsidRPr="002679D8" w:rsidRDefault="002679D8" w:rsidP="009D02E9">
            <w:pPr>
              <w:spacing w:after="0" w:line="264" w:lineRule="auto"/>
              <w:jc w:val="right"/>
              <w:rPr>
                <w:rFonts w:cs="Arial"/>
                <w:i/>
                <w:iCs/>
                <w:sz w:val="16"/>
                <w:szCs w:val="16"/>
              </w:rPr>
            </w:pPr>
            <w:r w:rsidRPr="002679D8">
              <w:rPr>
                <w:rFonts w:cs="Arial"/>
                <w:i/>
                <w:iCs/>
                <w:sz w:val="16"/>
                <w:szCs w:val="16"/>
              </w:rPr>
              <w:t>4.103</w:t>
            </w:r>
          </w:p>
        </w:tc>
        <w:tc>
          <w:tcPr>
            <w:tcW w:w="1551" w:type="dxa"/>
            <w:tcBorders>
              <w:top w:val="nil"/>
              <w:bottom w:val="nil"/>
            </w:tcBorders>
            <w:vAlign w:val="center"/>
            <w:hideMark/>
          </w:tcPr>
          <w:p w14:paraId="0E9A960E" w14:textId="2239B6A0" w:rsidR="002679D8" w:rsidRPr="002679D8" w:rsidRDefault="002679D8" w:rsidP="009D02E9">
            <w:pPr>
              <w:spacing w:after="0" w:line="264" w:lineRule="auto"/>
              <w:jc w:val="right"/>
              <w:rPr>
                <w:rFonts w:cs="Arial"/>
                <w:i/>
                <w:iCs/>
                <w:sz w:val="16"/>
                <w:szCs w:val="16"/>
              </w:rPr>
            </w:pPr>
            <w:r w:rsidRPr="002679D8">
              <w:rPr>
                <w:rFonts w:cs="Arial"/>
                <w:i/>
                <w:iCs/>
                <w:sz w:val="16"/>
                <w:szCs w:val="16"/>
              </w:rPr>
              <w:t>4.350</w:t>
            </w:r>
          </w:p>
        </w:tc>
        <w:tc>
          <w:tcPr>
            <w:tcW w:w="1037" w:type="dxa"/>
            <w:tcBorders>
              <w:top w:val="nil"/>
              <w:bottom w:val="nil"/>
            </w:tcBorders>
            <w:vAlign w:val="center"/>
            <w:hideMark/>
          </w:tcPr>
          <w:p w14:paraId="5B7B4C49" w14:textId="30340934" w:rsidR="002679D8" w:rsidRPr="002679D8" w:rsidRDefault="002679D8" w:rsidP="009D02E9">
            <w:pPr>
              <w:spacing w:after="0" w:line="264" w:lineRule="auto"/>
              <w:jc w:val="right"/>
              <w:rPr>
                <w:rFonts w:cs="Arial"/>
                <w:i/>
                <w:iCs/>
                <w:sz w:val="16"/>
                <w:szCs w:val="16"/>
              </w:rPr>
            </w:pPr>
            <w:r w:rsidRPr="002679D8">
              <w:rPr>
                <w:rFonts w:cs="Arial"/>
                <w:i/>
                <w:iCs/>
                <w:sz w:val="16"/>
                <w:szCs w:val="16"/>
              </w:rPr>
              <w:t>4.350</w:t>
            </w:r>
          </w:p>
        </w:tc>
        <w:tc>
          <w:tcPr>
            <w:tcW w:w="1043" w:type="dxa"/>
            <w:tcBorders>
              <w:top w:val="nil"/>
              <w:bottom w:val="nil"/>
              <w:right w:val="single" w:sz="2" w:space="0" w:color="A6A6A6" w:themeColor="background1" w:themeShade="A6"/>
            </w:tcBorders>
            <w:vAlign w:val="center"/>
            <w:hideMark/>
          </w:tcPr>
          <w:p w14:paraId="242A7083" w14:textId="77FCF097" w:rsidR="002679D8" w:rsidRPr="002679D8" w:rsidRDefault="002679D8" w:rsidP="009D02E9">
            <w:pPr>
              <w:spacing w:after="0" w:line="264" w:lineRule="auto"/>
              <w:jc w:val="right"/>
              <w:rPr>
                <w:rFonts w:cs="Arial"/>
                <w:i/>
                <w:iCs/>
                <w:sz w:val="16"/>
                <w:szCs w:val="16"/>
              </w:rPr>
            </w:pPr>
            <w:r w:rsidRPr="002679D8">
              <w:rPr>
                <w:rFonts w:cs="Arial"/>
                <w:i/>
                <w:iCs/>
                <w:sz w:val="16"/>
                <w:szCs w:val="16"/>
              </w:rPr>
              <w:t>4.904</w:t>
            </w:r>
          </w:p>
        </w:tc>
      </w:tr>
      <w:tr w:rsidR="008C0A0E" w:rsidRPr="00372745" w14:paraId="09575E1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19B533B" w14:textId="7D2323EE" w:rsidR="002679D8" w:rsidRPr="00372745" w:rsidRDefault="002679D8" w:rsidP="009D02E9">
            <w:pPr>
              <w:spacing w:after="0" w:line="264" w:lineRule="auto"/>
              <w:jc w:val="left"/>
              <w:rPr>
                <w:rFonts w:cs="Arial"/>
                <w:i/>
                <w:iCs/>
                <w:sz w:val="16"/>
                <w:szCs w:val="16"/>
              </w:rPr>
            </w:pPr>
            <w:r w:rsidRPr="00372745">
              <w:rPr>
                <w:rFonts w:cs="Arial"/>
                <w:i/>
                <w:iCs/>
                <w:sz w:val="16"/>
                <w:szCs w:val="16"/>
              </w:rPr>
              <w:t>Τ</w:t>
            </w:r>
            <w:r>
              <w:rPr>
                <w:rFonts w:cs="Arial"/>
                <w:i/>
                <w:iCs/>
                <w:sz w:val="16"/>
                <w:szCs w:val="16"/>
              </w:rPr>
              <w:t>ΑΑ</w:t>
            </w:r>
            <w:r w:rsidRPr="00606317">
              <w:rPr>
                <w:rFonts w:cs="Arial"/>
                <w:i/>
                <w:iCs/>
                <w:sz w:val="16"/>
                <w:szCs w:val="16"/>
                <w:vertAlign w:val="superscript"/>
              </w:rPr>
              <w:t>2</w:t>
            </w:r>
          </w:p>
        </w:tc>
        <w:tc>
          <w:tcPr>
            <w:tcW w:w="1034" w:type="dxa"/>
            <w:tcBorders>
              <w:top w:val="nil"/>
              <w:bottom w:val="nil"/>
            </w:tcBorders>
            <w:vAlign w:val="center"/>
            <w:hideMark/>
          </w:tcPr>
          <w:p w14:paraId="0ED4C3D2" w14:textId="44ABF2D1" w:rsidR="002679D8" w:rsidRPr="002679D8" w:rsidRDefault="002679D8" w:rsidP="009D02E9">
            <w:pPr>
              <w:spacing w:after="0" w:line="264" w:lineRule="auto"/>
              <w:jc w:val="right"/>
              <w:rPr>
                <w:rFonts w:cs="Arial"/>
                <w:i/>
                <w:iCs/>
                <w:sz w:val="16"/>
                <w:szCs w:val="16"/>
              </w:rPr>
            </w:pPr>
            <w:r w:rsidRPr="002679D8">
              <w:rPr>
                <w:rFonts w:cs="Arial"/>
                <w:i/>
                <w:iCs/>
                <w:sz w:val="16"/>
                <w:szCs w:val="16"/>
              </w:rPr>
              <w:t>4.372</w:t>
            </w:r>
          </w:p>
        </w:tc>
        <w:tc>
          <w:tcPr>
            <w:tcW w:w="1551" w:type="dxa"/>
            <w:tcBorders>
              <w:top w:val="nil"/>
              <w:bottom w:val="nil"/>
            </w:tcBorders>
            <w:vAlign w:val="center"/>
            <w:hideMark/>
          </w:tcPr>
          <w:p w14:paraId="13690A69" w14:textId="71A204A0" w:rsidR="002679D8" w:rsidRPr="002679D8" w:rsidRDefault="002679D8" w:rsidP="009D02E9">
            <w:pPr>
              <w:spacing w:after="0" w:line="264" w:lineRule="auto"/>
              <w:jc w:val="right"/>
              <w:rPr>
                <w:rFonts w:cs="Arial"/>
                <w:i/>
                <w:iCs/>
                <w:sz w:val="16"/>
                <w:szCs w:val="16"/>
              </w:rPr>
            </w:pPr>
            <w:r w:rsidRPr="002679D8">
              <w:rPr>
                <w:rFonts w:cs="Arial"/>
                <w:i/>
                <w:iCs/>
                <w:sz w:val="16"/>
                <w:szCs w:val="16"/>
              </w:rPr>
              <w:t>5.950</w:t>
            </w:r>
          </w:p>
        </w:tc>
        <w:tc>
          <w:tcPr>
            <w:tcW w:w="1037" w:type="dxa"/>
            <w:tcBorders>
              <w:top w:val="nil"/>
              <w:bottom w:val="nil"/>
            </w:tcBorders>
            <w:vAlign w:val="center"/>
            <w:hideMark/>
          </w:tcPr>
          <w:p w14:paraId="3FC11DAF" w14:textId="434C5B07" w:rsidR="002679D8" w:rsidRPr="002679D8" w:rsidRDefault="002679D8" w:rsidP="009D02E9">
            <w:pPr>
              <w:spacing w:after="0" w:line="264" w:lineRule="auto"/>
              <w:jc w:val="right"/>
              <w:rPr>
                <w:rFonts w:cs="Arial"/>
                <w:i/>
                <w:iCs/>
                <w:sz w:val="16"/>
                <w:szCs w:val="16"/>
              </w:rPr>
            </w:pPr>
            <w:r w:rsidRPr="002679D8">
              <w:rPr>
                <w:rFonts w:cs="Arial"/>
                <w:i/>
                <w:iCs/>
                <w:sz w:val="16"/>
                <w:szCs w:val="16"/>
              </w:rPr>
              <w:t>6.114</w:t>
            </w:r>
          </w:p>
        </w:tc>
        <w:tc>
          <w:tcPr>
            <w:tcW w:w="1043" w:type="dxa"/>
            <w:tcBorders>
              <w:top w:val="nil"/>
              <w:bottom w:val="nil"/>
              <w:right w:val="single" w:sz="2" w:space="0" w:color="A6A6A6" w:themeColor="background1" w:themeShade="A6"/>
            </w:tcBorders>
            <w:vAlign w:val="center"/>
            <w:hideMark/>
          </w:tcPr>
          <w:p w14:paraId="6E9C9D9C" w14:textId="1A1E05E6" w:rsidR="002679D8" w:rsidRPr="002679D8" w:rsidRDefault="002679D8" w:rsidP="009D02E9">
            <w:pPr>
              <w:spacing w:after="0" w:line="264" w:lineRule="auto"/>
              <w:jc w:val="right"/>
              <w:rPr>
                <w:rFonts w:cs="Arial"/>
                <w:i/>
                <w:iCs/>
                <w:sz w:val="16"/>
                <w:szCs w:val="16"/>
              </w:rPr>
            </w:pPr>
            <w:r w:rsidRPr="002679D8">
              <w:rPr>
                <w:rFonts w:cs="Arial"/>
                <w:i/>
                <w:iCs/>
                <w:sz w:val="16"/>
                <w:szCs w:val="16"/>
              </w:rPr>
              <w:t>-168</w:t>
            </w:r>
          </w:p>
        </w:tc>
      </w:tr>
      <w:tr w:rsidR="008C0A0E" w:rsidRPr="00372745" w14:paraId="367AEDE6" w14:textId="77777777" w:rsidTr="00596BB1">
        <w:trPr>
          <w:cantSplit/>
          <w:jc w:val="center"/>
        </w:trPr>
        <w:tc>
          <w:tcPr>
            <w:tcW w:w="4587" w:type="dxa"/>
            <w:tcBorders>
              <w:top w:val="nil"/>
              <w:left w:val="single" w:sz="2" w:space="0" w:color="A6A6A6" w:themeColor="background1" w:themeShade="A6"/>
              <w:bottom w:val="nil"/>
            </w:tcBorders>
            <w:shd w:val="clear" w:color="auto" w:fill="D5DCE4"/>
            <w:vAlign w:val="center"/>
            <w:hideMark/>
          </w:tcPr>
          <w:p w14:paraId="65E26F1A" w14:textId="0FBBC9A3"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II.</w:t>
            </w:r>
            <w:r w:rsidR="005100A7">
              <w:rPr>
                <w:rFonts w:cs="Arial"/>
                <w:b/>
                <w:bCs/>
                <w:sz w:val="16"/>
                <w:szCs w:val="16"/>
              </w:rPr>
              <w:tab/>
            </w:r>
            <w:r w:rsidRPr="00372745">
              <w:rPr>
                <w:rFonts w:cs="Arial"/>
                <w:b/>
                <w:bCs/>
                <w:sz w:val="16"/>
                <w:szCs w:val="16"/>
              </w:rPr>
              <w:t>Δαπάνες κρατικού προϋπολογισμού κατά ESA</w:t>
            </w:r>
            <w:r w:rsidRPr="00606317">
              <w:rPr>
                <w:rFonts w:cs="Arial"/>
                <w:b/>
                <w:bCs/>
                <w:sz w:val="16"/>
                <w:szCs w:val="16"/>
                <w:vertAlign w:val="superscript"/>
              </w:rPr>
              <w:t>3</w:t>
            </w:r>
            <w:r w:rsidR="005100A7">
              <w:rPr>
                <w:rFonts w:cs="Arial"/>
                <w:b/>
                <w:bCs/>
                <w:sz w:val="16"/>
                <w:szCs w:val="16"/>
              </w:rPr>
              <w:tab/>
            </w:r>
            <w:r w:rsidRPr="00372745">
              <w:rPr>
                <w:rFonts w:cs="Arial"/>
                <w:b/>
                <w:bCs/>
                <w:sz w:val="16"/>
                <w:szCs w:val="16"/>
              </w:rPr>
              <w:t>(</w:t>
            </w:r>
            <w:proofErr w:type="spellStart"/>
            <w:r w:rsidRPr="00372745">
              <w:rPr>
                <w:rFonts w:cs="Arial"/>
                <w:b/>
                <w:bCs/>
                <w:sz w:val="16"/>
                <w:szCs w:val="16"/>
              </w:rPr>
              <w:t>α+β+γ+δ+ε+στ+ζ+η+θ+ι</w:t>
            </w:r>
            <w:r>
              <w:rPr>
                <w:rFonts w:cs="Arial"/>
                <w:b/>
                <w:bCs/>
                <w:sz w:val="16"/>
                <w:szCs w:val="16"/>
              </w:rPr>
              <w:t>+ια</w:t>
            </w:r>
            <w:proofErr w:type="spellEnd"/>
            <w:r w:rsidRPr="00372745">
              <w:rPr>
                <w:rFonts w:cs="Arial"/>
                <w:b/>
                <w:bCs/>
                <w:sz w:val="16"/>
                <w:szCs w:val="16"/>
              </w:rPr>
              <w:t>)</w:t>
            </w:r>
          </w:p>
        </w:tc>
        <w:tc>
          <w:tcPr>
            <w:tcW w:w="1034" w:type="dxa"/>
            <w:tcBorders>
              <w:top w:val="nil"/>
              <w:bottom w:val="nil"/>
            </w:tcBorders>
            <w:shd w:val="clear" w:color="auto" w:fill="D5DCE4"/>
            <w:vAlign w:val="center"/>
            <w:hideMark/>
          </w:tcPr>
          <w:p w14:paraId="3ACD2312" w14:textId="242B99ED" w:rsidR="001B5005" w:rsidRPr="001B5005" w:rsidRDefault="001B5005" w:rsidP="009D02E9">
            <w:pPr>
              <w:spacing w:after="0" w:line="264" w:lineRule="auto"/>
              <w:jc w:val="right"/>
              <w:rPr>
                <w:rFonts w:cs="Arial"/>
                <w:b/>
                <w:bCs/>
                <w:sz w:val="16"/>
                <w:szCs w:val="16"/>
              </w:rPr>
            </w:pPr>
            <w:r w:rsidRPr="001B5005">
              <w:rPr>
                <w:rFonts w:cs="Arial"/>
                <w:b/>
                <w:bCs/>
                <w:sz w:val="16"/>
                <w:szCs w:val="16"/>
              </w:rPr>
              <w:t>78.747</w:t>
            </w:r>
          </w:p>
        </w:tc>
        <w:tc>
          <w:tcPr>
            <w:tcW w:w="1551" w:type="dxa"/>
            <w:tcBorders>
              <w:top w:val="nil"/>
              <w:bottom w:val="nil"/>
            </w:tcBorders>
            <w:shd w:val="clear" w:color="auto" w:fill="D5DCE4"/>
            <w:vAlign w:val="center"/>
            <w:hideMark/>
          </w:tcPr>
          <w:p w14:paraId="6AC72F38" w14:textId="6398F733" w:rsidR="001B5005" w:rsidRPr="001B5005" w:rsidRDefault="001B5005" w:rsidP="009D02E9">
            <w:pPr>
              <w:spacing w:after="0" w:line="264" w:lineRule="auto"/>
              <w:jc w:val="right"/>
              <w:rPr>
                <w:rFonts w:cs="Arial"/>
                <w:b/>
                <w:bCs/>
                <w:sz w:val="16"/>
                <w:szCs w:val="16"/>
              </w:rPr>
            </w:pPr>
            <w:r w:rsidRPr="001B5005">
              <w:rPr>
                <w:rFonts w:cs="Arial"/>
                <w:b/>
                <w:bCs/>
                <w:sz w:val="16"/>
                <w:szCs w:val="16"/>
              </w:rPr>
              <w:t>86.793</w:t>
            </w:r>
          </w:p>
        </w:tc>
        <w:tc>
          <w:tcPr>
            <w:tcW w:w="1037" w:type="dxa"/>
            <w:tcBorders>
              <w:top w:val="nil"/>
              <w:bottom w:val="nil"/>
            </w:tcBorders>
            <w:shd w:val="clear" w:color="auto" w:fill="D5DCE4"/>
            <w:vAlign w:val="center"/>
            <w:hideMark/>
          </w:tcPr>
          <w:p w14:paraId="766B74B2" w14:textId="67B5714F" w:rsidR="001B5005" w:rsidRPr="001B5005" w:rsidRDefault="001B5005" w:rsidP="009D02E9">
            <w:pPr>
              <w:spacing w:after="0" w:line="264" w:lineRule="auto"/>
              <w:jc w:val="right"/>
              <w:rPr>
                <w:rFonts w:cs="Arial"/>
                <w:b/>
                <w:bCs/>
                <w:sz w:val="16"/>
                <w:szCs w:val="16"/>
              </w:rPr>
            </w:pPr>
            <w:r w:rsidRPr="001B5005">
              <w:rPr>
                <w:rFonts w:cs="Arial"/>
                <w:b/>
                <w:bCs/>
                <w:sz w:val="16"/>
                <w:szCs w:val="16"/>
              </w:rPr>
              <w:t>87.971</w:t>
            </w:r>
          </w:p>
        </w:tc>
        <w:tc>
          <w:tcPr>
            <w:tcW w:w="1043" w:type="dxa"/>
            <w:tcBorders>
              <w:top w:val="nil"/>
              <w:bottom w:val="nil"/>
              <w:right w:val="single" w:sz="2" w:space="0" w:color="A6A6A6" w:themeColor="background1" w:themeShade="A6"/>
            </w:tcBorders>
            <w:shd w:val="clear" w:color="auto" w:fill="D5DCE4"/>
            <w:vAlign w:val="center"/>
            <w:hideMark/>
          </w:tcPr>
          <w:p w14:paraId="1368CC86" w14:textId="50948C5A" w:rsidR="001B5005" w:rsidRPr="001B5005" w:rsidRDefault="001B5005" w:rsidP="009D02E9">
            <w:pPr>
              <w:spacing w:after="0" w:line="264" w:lineRule="auto"/>
              <w:jc w:val="right"/>
              <w:rPr>
                <w:rFonts w:cs="Arial"/>
                <w:b/>
                <w:bCs/>
                <w:sz w:val="16"/>
                <w:szCs w:val="16"/>
              </w:rPr>
            </w:pPr>
            <w:r w:rsidRPr="001B5005">
              <w:rPr>
                <w:rFonts w:cs="Arial"/>
                <w:b/>
                <w:bCs/>
                <w:sz w:val="16"/>
                <w:szCs w:val="16"/>
              </w:rPr>
              <w:t>85.046</w:t>
            </w:r>
          </w:p>
        </w:tc>
      </w:tr>
      <w:tr w:rsidR="008C0A0E" w:rsidRPr="00372745" w14:paraId="40857B3C"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5055365" w14:textId="76943752" w:rsidR="001B5005" w:rsidRPr="00372745" w:rsidRDefault="001B5005" w:rsidP="00F63D0C">
            <w:pPr>
              <w:tabs>
                <w:tab w:val="left" w:pos="340"/>
              </w:tabs>
              <w:spacing w:after="0" w:line="264" w:lineRule="auto"/>
              <w:jc w:val="left"/>
              <w:rPr>
                <w:rFonts w:cs="Arial"/>
                <w:b/>
                <w:bCs/>
                <w:sz w:val="16"/>
                <w:szCs w:val="16"/>
              </w:rPr>
            </w:pPr>
            <w:r w:rsidRPr="00372745">
              <w:rPr>
                <w:rFonts w:cs="Arial"/>
                <w:b/>
                <w:bCs/>
                <w:sz w:val="16"/>
                <w:szCs w:val="16"/>
              </w:rPr>
              <w:t>α.</w:t>
            </w:r>
            <w:r>
              <w:rPr>
                <w:rFonts w:cs="Arial"/>
                <w:b/>
                <w:bCs/>
                <w:sz w:val="16"/>
                <w:szCs w:val="16"/>
              </w:rPr>
              <w:tab/>
            </w:r>
            <w:r w:rsidRPr="00372745">
              <w:rPr>
                <w:rFonts w:cs="Arial"/>
                <w:b/>
                <w:bCs/>
                <w:sz w:val="16"/>
                <w:szCs w:val="16"/>
              </w:rPr>
              <w:t xml:space="preserve">Παροχές σε </w:t>
            </w:r>
            <w:r>
              <w:rPr>
                <w:rFonts w:cs="Arial"/>
                <w:b/>
                <w:bCs/>
                <w:sz w:val="16"/>
                <w:szCs w:val="16"/>
              </w:rPr>
              <w:t>ε</w:t>
            </w:r>
            <w:r w:rsidRPr="00372745">
              <w:rPr>
                <w:rFonts w:cs="Arial"/>
                <w:b/>
                <w:bCs/>
                <w:sz w:val="16"/>
                <w:szCs w:val="16"/>
              </w:rPr>
              <w:t>ργαζόμενους</w:t>
            </w:r>
          </w:p>
        </w:tc>
        <w:tc>
          <w:tcPr>
            <w:tcW w:w="1034" w:type="dxa"/>
            <w:tcBorders>
              <w:top w:val="nil"/>
              <w:bottom w:val="nil"/>
            </w:tcBorders>
            <w:vAlign w:val="center"/>
            <w:hideMark/>
          </w:tcPr>
          <w:p w14:paraId="585CFE11" w14:textId="427FABE7" w:rsidR="001B5005" w:rsidRPr="001B5005" w:rsidRDefault="001B5005" w:rsidP="009D02E9">
            <w:pPr>
              <w:spacing w:after="0" w:line="264" w:lineRule="auto"/>
              <w:jc w:val="right"/>
              <w:rPr>
                <w:rFonts w:cs="Arial"/>
                <w:b/>
                <w:bCs/>
                <w:sz w:val="16"/>
                <w:szCs w:val="16"/>
              </w:rPr>
            </w:pPr>
            <w:r w:rsidRPr="001B5005">
              <w:rPr>
                <w:rFonts w:cs="Arial"/>
                <w:b/>
                <w:bCs/>
                <w:sz w:val="16"/>
                <w:szCs w:val="16"/>
              </w:rPr>
              <w:t>15.343</w:t>
            </w:r>
          </w:p>
        </w:tc>
        <w:tc>
          <w:tcPr>
            <w:tcW w:w="1551" w:type="dxa"/>
            <w:tcBorders>
              <w:top w:val="nil"/>
              <w:bottom w:val="nil"/>
            </w:tcBorders>
            <w:vAlign w:val="center"/>
            <w:hideMark/>
          </w:tcPr>
          <w:p w14:paraId="028BAABF" w14:textId="1612452F" w:rsidR="001B5005" w:rsidRPr="001B5005" w:rsidRDefault="001B5005" w:rsidP="009D02E9">
            <w:pPr>
              <w:spacing w:after="0" w:line="264" w:lineRule="auto"/>
              <w:jc w:val="right"/>
              <w:rPr>
                <w:rFonts w:cs="Arial"/>
                <w:b/>
                <w:bCs/>
                <w:sz w:val="16"/>
                <w:szCs w:val="16"/>
              </w:rPr>
            </w:pPr>
            <w:r w:rsidRPr="001B5005">
              <w:rPr>
                <w:rFonts w:cs="Arial"/>
                <w:b/>
                <w:bCs/>
                <w:sz w:val="16"/>
                <w:szCs w:val="16"/>
              </w:rPr>
              <w:t>15.589</w:t>
            </w:r>
          </w:p>
        </w:tc>
        <w:tc>
          <w:tcPr>
            <w:tcW w:w="1037" w:type="dxa"/>
            <w:tcBorders>
              <w:top w:val="nil"/>
              <w:bottom w:val="nil"/>
            </w:tcBorders>
            <w:vAlign w:val="center"/>
            <w:hideMark/>
          </w:tcPr>
          <w:p w14:paraId="43220953" w14:textId="2B5DEACF" w:rsidR="001B5005" w:rsidRPr="001B5005" w:rsidRDefault="001B5005" w:rsidP="009D02E9">
            <w:pPr>
              <w:spacing w:after="0" w:line="264" w:lineRule="auto"/>
              <w:jc w:val="right"/>
              <w:rPr>
                <w:rFonts w:cs="Arial"/>
                <w:b/>
                <w:bCs/>
                <w:sz w:val="16"/>
                <w:szCs w:val="16"/>
              </w:rPr>
            </w:pPr>
            <w:r w:rsidRPr="001B5005">
              <w:rPr>
                <w:rFonts w:cs="Arial"/>
                <w:b/>
                <w:bCs/>
                <w:sz w:val="16"/>
                <w:szCs w:val="16"/>
              </w:rPr>
              <w:t>16.194</w:t>
            </w:r>
          </w:p>
        </w:tc>
        <w:tc>
          <w:tcPr>
            <w:tcW w:w="1043" w:type="dxa"/>
            <w:tcBorders>
              <w:top w:val="nil"/>
              <w:bottom w:val="nil"/>
              <w:right w:val="single" w:sz="2" w:space="0" w:color="A6A6A6" w:themeColor="background1" w:themeShade="A6"/>
            </w:tcBorders>
            <w:vAlign w:val="center"/>
            <w:hideMark/>
          </w:tcPr>
          <w:p w14:paraId="0BCC87E1" w14:textId="75FE89A5" w:rsidR="001B5005" w:rsidRPr="001B5005" w:rsidRDefault="001B5005" w:rsidP="009D02E9">
            <w:pPr>
              <w:spacing w:after="0" w:line="264" w:lineRule="auto"/>
              <w:jc w:val="right"/>
              <w:rPr>
                <w:rFonts w:cs="Arial"/>
                <w:b/>
                <w:bCs/>
                <w:sz w:val="16"/>
                <w:szCs w:val="16"/>
              </w:rPr>
            </w:pPr>
            <w:r w:rsidRPr="001B5005">
              <w:rPr>
                <w:rFonts w:cs="Arial"/>
                <w:b/>
                <w:bCs/>
                <w:sz w:val="16"/>
                <w:szCs w:val="16"/>
              </w:rPr>
              <w:t>16.061</w:t>
            </w:r>
          </w:p>
        </w:tc>
      </w:tr>
      <w:tr w:rsidR="008C0A0E" w:rsidRPr="00372745" w14:paraId="5DE98DF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BD584FC" w14:textId="445234AC"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β.</w:t>
            </w:r>
            <w:r>
              <w:rPr>
                <w:rFonts w:cs="Arial"/>
                <w:b/>
                <w:bCs/>
                <w:sz w:val="16"/>
                <w:szCs w:val="16"/>
              </w:rPr>
              <w:tab/>
            </w:r>
            <w:r w:rsidRPr="00372745">
              <w:rPr>
                <w:rFonts w:cs="Arial"/>
                <w:b/>
                <w:bCs/>
                <w:sz w:val="16"/>
                <w:szCs w:val="16"/>
              </w:rPr>
              <w:t xml:space="preserve">Κοινωνικές </w:t>
            </w:r>
            <w:r>
              <w:rPr>
                <w:rFonts w:cs="Arial"/>
                <w:b/>
                <w:bCs/>
                <w:sz w:val="16"/>
                <w:szCs w:val="16"/>
              </w:rPr>
              <w:t>π</w:t>
            </w:r>
            <w:r w:rsidRPr="00372745">
              <w:rPr>
                <w:rFonts w:cs="Arial"/>
                <w:b/>
                <w:bCs/>
                <w:sz w:val="16"/>
                <w:szCs w:val="16"/>
              </w:rPr>
              <w:t>αροχές</w:t>
            </w:r>
          </w:p>
        </w:tc>
        <w:tc>
          <w:tcPr>
            <w:tcW w:w="1034" w:type="dxa"/>
            <w:tcBorders>
              <w:top w:val="nil"/>
              <w:bottom w:val="nil"/>
            </w:tcBorders>
            <w:vAlign w:val="center"/>
            <w:hideMark/>
          </w:tcPr>
          <w:p w14:paraId="295BAFBC" w14:textId="5913B82B" w:rsidR="001B5005" w:rsidRPr="001B5005" w:rsidRDefault="001B5005" w:rsidP="009D02E9">
            <w:pPr>
              <w:spacing w:after="0" w:line="264" w:lineRule="auto"/>
              <w:jc w:val="right"/>
              <w:rPr>
                <w:rFonts w:cs="Arial"/>
                <w:b/>
                <w:bCs/>
                <w:sz w:val="16"/>
                <w:szCs w:val="16"/>
              </w:rPr>
            </w:pPr>
            <w:r w:rsidRPr="001B5005">
              <w:rPr>
                <w:rFonts w:cs="Arial"/>
                <w:b/>
                <w:bCs/>
                <w:sz w:val="16"/>
                <w:szCs w:val="16"/>
              </w:rPr>
              <w:t>518</w:t>
            </w:r>
          </w:p>
        </w:tc>
        <w:tc>
          <w:tcPr>
            <w:tcW w:w="1551" w:type="dxa"/>
            <w:tcBorders>
              <w:top w:val="nil"/>
              <w:bottom w:val="nil"/>
            </w:tcBorders>
            <w:vAlign w:val="center"/>
            <w:hideMark/>
          </w:tcPr>
          <w:p w14:paraId="3D718043" w14:textId="188475CA" w:rsidR="001B5005" w:rsidRPr="001B5005" w:rsidRDefault="001B5005" w:rsidP="009D02E9">
            <w:pPr>
              <w:spacing w:after="0" w:line="264" w:lineRule="auto"/>
              <w:jc w:val="right"/>
              <w:rPr>
                <w:rFonts w:cs="Arial"/>
                <w:b/>
                <w:bCs/>
                <w:sz w:val="16"/>
                <w:szCs w:val="16"/>
              </w:rPr>
            </w:pPr>
            <w:r w:rsidRPr="001B5005">
              <w:rPr>
                <w:rFonts w:cs="Arial"/>
                <w:b/>
                <w:bCs/>
                <w:sz w:val="16"/>
                <w:szCs w:val="16"/>
              </w:rPr>
              <w:t>628</w:t>
            </w:r>
          </w:p>
        </w:tc>
        <w:tc>
          <w:tcPr>
            <w:tcW w:w="1037" w:type="dxa"/>
            <w:tcBorders>
              <w:top w:val="nil"/>
              <w:bottom w:val="nil"/>
            </w:tcBorders>
            <w:vAlign w:val="center"/>
            <w:hideMark/>
          </w:tcPr>
          <w:p w14:paraId="46525053" w14:textId="2FB2E1D4" w:rsidR="001B5005" w:rsidRPr="001B5005" w:rsidRDefault="001B5005" w:rsidP="009D02E9">
            <w:pPr>
              <w:spacing w:after="0" w:line="264" w:lineRule="auto"/>
              <w:jc w:val="right"/>
              <w:rPr>
                <w:rFonts w:cs="Arial"/>
                <w:b/>
                <w:bCs/>
                <w:sz w:val="16"/>
                <w:szCs w:val="16"/>
              </w:rPr>
            </w:pPr>
            <w:r w:rsidRPr="001B5005">
              <w:rPr>
                <w:rFonts w:cs="Arial"/>
                <w:b/>
                <w:bCs/>
                <w:sz w:val="16"/>
                <w:szCs w:val="16"/>
              </w:rPr>
              <w:t>608</w:t>
            </w:r>
          </w:p>
        </w:tc>
        <w:tc>
          <w:tcPr>
            <w:tcW w:w="1043" w:type="dxa"/>
            <w:tcBorders>
              <w:top w:val="nil"/>
              <w:bottom w:val="nil"/>
              <w:right w:val="single" w:sz="2" w:space="0" w:color="A6A6A6" w:themeColor="background1" w:themeShade="A6"/>
            </w:tcBorders>
            <w:vAlign w:val="center"/>
            <w:hideMark/>
          </w:tcPr>
          <w:p w14:paraId="5EE04CA7" w14:textId="7A86A7D3" w:rsidR="001B5005" w:rsidRPr="001B5005" w:rsidRDefault="001B5005" w:rsidP="009D02E9">
            <w:pPr>
              <w:spacing w:after="0" w:line="264" w:lineRule="auto"/>
              <w:jc w:val="right"/>
              <w:rPr>
                <w:rFonts w:cs="Arial"/>
                <w:b/>
                <w:bCs/>
                <w:sz w:val="16"/>
                <w:szCs w:val="16"/>
              </w:rPr>
            </w:pPr>
            <w:r w:rsidRPr="001B5005">
              <w:rPr>
                <w:rFonts w:cs="Arial"/>
                <w:b/>
                <w:bCs/>
                <w:sz w:val="16"/>
                <w:szCs w:val="16"/>
              </w:rPr>
              <w:t>756</w:t>
            </w:r>
          </w:p>
        </w:tc>
      </w:tr>
      <w:tr w:rsidR="008C0A0E" w:rsidRPr="00372745" w14:paraId="5A36B4E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3F81AC3" w14:textId="1DC8E213"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γ.</w:t>
            </w:r>
            <w:r>
              <w:rPr>
                <w:rFonts w:cs="Arial"/>
                <w:b/>
                <w:bCs/>
                <w:sz w:val="16"/>
                <w:szCs w:val="16"/>
              </w:rPr>
              <w:tab/>
            </w:r>
            <w:r w:rsidRPr="00372745">
              <w:rPr>
                <w:rFonts w:cs="Arial"/>
                <w:b/>
                <w:bCs/>
                <w:sz w:val="16"/>
                <w:szCs w:val="16"/>
              </w:rPr>
              <w:t>Μεταβιβάσεις</w:t>
            </w:r>
          </w:p>
        </w:tc>
        <w:tc>
          <w:tcPr>
            <w:tcW w:w="1034" w:type="dxa"/>
            <w:tcBorders>
              <w:top w:val="nil"/>
              <w:bottom w:val="nil"/>
            </w:tcBorders>
            <w:vAlign w:val="center"/>
            <w:hideMark/>
          </w:tcPr>
          <w:p w14:paraId="4027A978" w14:textId="4F73ACF6" w:rsidR="001B5005" w:rsidRPr="001B5005" w:rsidRDefault="001B5005" w:rsidP="009D02E9">
            <w:pPr>
              <w:spacing w:after="0" w:line="264" w:lineRule="auto"/>
              <w:jc w:val="right"/>
              <w:rPr>
                <w:rFonts w:cs="Arial"/>
                <w:b/>
                <w:bCs/>
                <w:sz w:val="16"/>
                <w:szCs w:val="16"/>
              </w:rPr>
            </w:pPr>
            <w:r w:rsidRPr="001B5005">
              <w:rPr>
                <w:rFonts w:cs="Arial"/>
                <w:b/>
                <w:bCs/>
                <w:sz w:val="16"/>
                <w:szCs w:val="16"/>
              </w:rPr>
              <w:t>33.753</w:t>
            </w:r>
          </w:p>
        </w:tc>
        <w:tc>
          <w:tcPr>
            <w:tcW w:w="1551" w:type="dxa"/>
            <w:tcBorders>
              <w:top w:val="nil"/>
              <w:bottom w:val="nil"/>
            </w:tcBorders>
            <w:vAlign w:val="center"/>
            <w:hideMark/>
          </w:tcPr>
          <w:p w14:paraId="4C9D3962" w14:textId="7952E777" w:rsidR="001B5005" w:rsidRPr="001B5005" w:rsidRDefault="001B5005" w:rsidP="009D02E9">
            <w:pPr>
              <w:spacing w:after="0" w:line="264" w:lineRule="auto"/>
              <w:jc w:val="right"/>
              <w:rPr>
                <w:rFonts w:cs="Arial"/>
                <w:b/>
                <w:bCs/>
                <w:sz w:val="16"/>
                <w:szCs w:val="16"/>
              </w:rPr>
            </w:pPr>
            <w:r w:rsidRPr="001B5005">
              <w:rPr>
                <w:rFonts w:cs="Arial"/>
                <w:b/>
                <w:bCs/>
                <w:sz w:val="16"/>
                <w:szCs w:val="16"/>
              </w:rPr>
              <w:t>35.567</w:t>
            </w:r>
          </w:p>
        </w:tc>
        <w:tc>
          <w:tcPr>
            <w:tcW w:w="1037" w:type="dxa"/>
            <w:tcBorders>
              <w:top w:val="nil"/>
              <w:bottom w:val="nil"/>
            </w:tcBorders>
            <w:vAlign w:val="center"/>
            <w:hideMark/>
          </w:tcPr>
          <w:p w14:paraId="46AF47CE" w14:textId="5843977D" w:rsidR="001B5005" w:rsidRPr="001B5005" w:rsidRDefault="001B5005" w:rsidP="009D02E9">
            <w:pPr>
              <w:spacing w:after="0" w:line="264" w:lineRule="auto"/>
              <w:jc w:val="right"/>
              <w:rPr>
                <w:rFonts w:cs="Arial"/>
                <w:b/>
                <w:bCs/>
                <w:sz w:val="16"/>
                <w:szCs w:val="16"/>
              </w:rPr>
            </w:pPr>
            <w:r w:rsidRPr="001B5005">
              <w:rPr>
                <w:rFonts w:cs="Arial"/>
                <w:b/>
                <w:bCs/>
                <w:sz w:val="16"/>
                <w:szCs w:val="16"/>
              </w:rPr>
              <w:t>36.374</w:t>
            </w:r>
          </w:p>
        </w:tc>
        <w:tc>
          <w:tcPr>
            <w:tcW w:w="1043" w:type="dxa"/>
            <w:tcBorders>
              <w:top w:val="nil"/>
              <w:bottom w:val="nil"/>
              <w:right w:val="single" w:sz="2" w:space="0" w:color="A6A6A6" w:themeColor="background1" w:themeShade="A6"/>
            </w:tcBorders>
            <w:vAlign w:val="center"/>
            <w:hideMark/>
          </w:tcPr>
          <w:p w14:paraId="4D62968E" w14:textId="0199202B" w:rsidR="001B5005" w:rsidRPr="001B5005" w:rsidRDefault="001B5005" w:rsidP="009D02E9">
            <w:pPr>
              <w:spacing w:after="0" w:line="264" w:lineRule="auto"/>
              <w:jc w:val="right"/>
              <w:rPr>
                <w:rFonts w:cs="Arial"/>
                <w:b/>
                <w:bCs/>
                <w:sz w:val="16"/>
                <w:szCs w:val="16"/>
              </w:rPr>
            </w:pPr>
            <w:r w:rsidRPr="001B5005">
              <w:rPr>
                <w:rFonts w:cs="Arial"/>
                <w:b/>
                <w:bCs/>
                <w:sz w:val="16"/>
                <w:szCs w:val="16"/>
              </w:rPr>
              <w:t>37.088</w:t>
            </w:r>
          </w:p>
        </w:tc>
      </w:tr>
      <w:tr w:rsidR="008C0A0E" w:rsidRPr="00372745" w14:paraId="089B55F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FC7E526" w14:textId="3E95B67D"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δ.</w:t>
            </w:r>
            <w:r>
              <w:rPr>
                <w:rFonts w:cs="Arial"/>
                <w:b/>
                <w:bCs/>
                <w:sz w:val="16"/>
                <w:szCs w:val="16"/>
              </w:rPr>
              <w:tab/>
            </w:r>
            <w:r w:rsidRPr="00372745">
              <w:rPr>
                <w:rFonts w:cs="Arial"/>
                <w:b/>
                <w:bCs/>
                <w:sz w:val="16"/>
                <w:szCs w:val="16"/>
              </w:rPr>
              <w:t>Αγορές αγαθών και υπηρεσιών</w:t>
            </w:r>
          </w:p>
        </w:tc>
        <w:tc>
          <w:tcPr>
            <w:tcW w:w="1034" w:type="dxa"/>
            <w:tcBorders>
              <w:top w:val="nil"/>
              <w:bottom w:val="nil"/>
            </w:tcBorders>
            <w:vAlign w:val="center"/>
            <w:hideMark/>
          </w:tcPr>
          <w:p w14:paraId="32AEE914" w14:textId="7662E17E" w:rsidR="001B5005" w:rsidRPr="001B5005" w:rsidRDefault="001B5005" w:rsidP="009D02E9">
            <w:pPr>
              <w:spacing w:after="0" w:line="264" w:lineRule="auto"/>
              <w:jc w:val="right"/>
              <w:rPr>
                <w:rFonts w:cs="Arial"/>
                <w:b/>
                <w:bCs/>
                <w:sz w:val="16"/>
                <w:szCs w:val="16"/>
              </w:rPr>
            </w:pPr>
            <w:r w:rsidRPr="001B5005">
              <w:rPr>
                <w:rFonts w:cs="Arial"/>
                <w:b/>
                <w:bCs/>
                <w:sz w:val="16"/>
                <w:szCs w:val="16"/>
              </w:rPr>
              <w:t>2.183</w:t>
            </w:r>
          </w:p>
        </w:tc>
        <w:tc>
          <w:tcPr>
            <w:tcW w:w="1551" w:type="dxa"/>
            <w:tcBorders>
              <w:top w:val="nil"/>
              <w:bottom w:val="nil"/>
            </w:tcBorders>
            <w:vAlign w:val="center"/>
            <w:hideMark/>
          </w:tcPr>
          <w:p w14:paraId="7B306AEB" w14:textId="045709B6" w:rsidR="001B5005" w:rsidRPr="001B5005" w:rsidRDefault="001B5005" w:rsidP="009D02E9">
            <w:pPr>
              <w:spacing w:after="0" w:line="264" w:lineRule="auto"/>
              <w:jc w:val="right"/>
              <w:rPr>
                <w:rFonts w:cs="Arial"/>
                <w:b/>
                <w:bCs/>
                <w:sz w:val="16"/>
                <w:szCs w:val="16"/>
              </w:rPr>
            </w:pPr>
            <w:r w:rsidRPr="001B5005">
              <w:rPr>
                <w:rFonts w:cs="Arial"/>
                <w:b/>
                <w:bCs/>
                <w:sz w:val="16"/>
                <w:szCs w:val="16"/>
              </w:rPr>
              <w:t>2.258</w:t>
            </w:r>
          </w:p>
        </w:tc>
        <w:tc>
          <w:tcPr>
            <w:tcW w:w="1037" w:type="dxa"/>
            <w:tcBorders>
              <w:top w:val="nil"/>
              <w:bottom w:val="nil"/>
            </w:tcBorders>
            <w:vAlign w:val="center"/>
            <w:hideMark/>
          </w:tcPr>
          <w:p w14:paraId="0B82C497" w14:textId="48AE3DFC" w:rsidR="001B5005" w:rsidRPr="001B5005" w:rsidRDefault="001B5005" w:rsidP="009D02E9">
            <w:pPr>
              <w:spacing w:after="0" w:line="264" w:lineRule="auto"/>
              <w:jc w:val="right"/>
              <w:rPr>
                <w:rFonts w:cs="Arial"/>
                <w:b/>
                <w:bCs/>
                <w:sz w:val="16"/>
                <w:szCs w:val="16"/>
              </w:rPr>
            </w:pPr>
            <w:r w:rsidRPr="001B5005">
              <w:rPr>
                <w:rFonts w:cs="Arial"/>
                <w:b/>
                <w:bCs/>
                <w:sz w:val="16"/>
                <w:szCs w:val="16"/>
              </w:rPr>
              <w:t>2.200</w:t>
            </w:r>
          </w:p>
        </w:tc>
        <w:tc>
          <w:tcPr>
            <w:tcW w:w="1043" w:type="dxa"/>
            <w:tcBorders>
              <w:top w:val="nil"/>
              <w:bottom w:val="nil"/>
              <w:right w:val="single" w:sz="2" w:space="0" w:color="A6A6A6" w:themeColor="background1" w:themeShade="A6"/>
            </w:tcBorders>
            <w:vAlign w:val="center"/>
            <w:hideMark/>
          </w:tcPr>
          <w:p w14:paraId="32BC9B37" w14:textId="37FF65FD" w:rsidR="001B5005" w:rsidRPr="001B5005" w:rsidRDefault="001B5005" w:rsidP="009D02E9">
            <w:pPr>
              <w:spacing w:after="0" w:line="264" w:lineRule="auto"/>
              <w:jc w:val="right"/>
              <w:rPr>
                <w:rFonts w:cs="Arial"/>
                <w:b/>
                <w:bCs/>
                <w:sz w:val="16"/>
                <w:szCs w:val="16"/>
              </w:rPr>
            </w:pPr>
            <w:r w:rsidRPr="001B5005">
              <w:rPr>
                <w:rFonts w:cs="Arial"/>
                <w:b/>
                <w:bCs/>
                <w:sz w:val="16"/>
                <w:szCs w:val="16"/>
              </w:rPr>
              <w:t>1.799</w:t>
            </w:r>
          </w:p>
        </w:tc>
      </w:tr>
      <w:tr w:rsidR="008C0A0E" w:rsidRPr="00372745" w14:paraId="5C67D00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A3D950F" w14:textId="1086AD1C"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ε.</w:t>
            </w:r>
            <w:r>
              <w:rPr>
                <w:rFonts w:cs="Arial"/>
                <w:b/>
                <w:bCs/>
                <w:sz w:val="16"/>
                <w:szCs w:val="16"/>
              </w:rPr>
              <w:tab/>
            </w:r>
            <w:r w:rsidRPr="00372745">
              <w:rPr>
                <w:rFonts w:cs="Arial"/>
                <w:b/>
                <w:bCs/>
                <w:sz w:val="16"/>
                <w:szCs w:val="16"/>
              </w:rPr>
              <w:t>Επιδοτήσεις</w:t>
            </w:r>
          </w:p>
        </w:tc>
        <w:tc>
          <w:tcPr>
            <w:tcW w:w="1034" w:type="dxa"/>
            <w:tcBorders>
              <w:top w:val="nil"/>
              <w:bottom w:val="nil"/>
            </w:tcBorders>
            <w:vAlign w:val="center"/>
            <w:hideMark/>
          </w:tcPr>
          <w:p w14:paraId="378C405C" w14:textId="65955C11" w:rsidR="001B5005" w:rsidRPr="001B5005" w:rsidRDefault="001B5005" w:rsidP="009D02E9">
            <w:pPr>
              <w:spacing w:after="0" w:line="264" w:lineRule="auto"/>
              <w:jc w:val="right"/>
              <w:rPr>
                <w:rFonts w:cs="Arial"/>
                <w:b/>
                <w:bCs/>
                <w:sz w:val="16"/>
                <w:szCs w:val="16"/>
              </w:rPr>
            </w:pPr>
            <w:r w:rsidRPr="001B5005">
              <w:rPr>
                <w:rFonts w:cs="Arial"/>
                <w:b/>
                <w:bCs/>
                <w:sz w:val="16"/>
                <w:szCs w:val="16"/>
              </w:rPr>
              <w:t>147</w:t>
            </w:r>
          </w:p>
        </w:tc>
        <w:tc>
          <w:tcPr>
            <w:tcW w:w="1551" w:type="dxa"/>
            <w:tcBorders>
              <w:top w:val="nil"/>
              <w:bottom w:val="nil"/>
            </w:tcBorders>
            <w:vAlign w:val="center"/>
            <w:hideMark/>
          </w:tcPr>
          <w:p w14:paraId="1A8DD015" w14:textId="66FFF256" w:rsidR="001B5005" w:rsidRPr="001B5005" w:rsidRDefault="001B5005" w:rsidP="009D02E9">
            <w:pPr>
              <w:spacing w:after="0" w:line="264" w:lineRule="auto"/>
              <w:jc w:val="right"/>
              <w:rPr>
                <w:rFonts w:cs="Arial"/>
                <w:b/>
                <w:bCs/>
                <w:sz w:val="16"/>
                <w:szCs w:val="16"/>
              </w:rPr>
            </w:pPr>
            <w:r w:rsidRPr="001B5005">
              <w:rPr>
                <w:rFonts w:cs="Arial"/>
                <w:b/>
                <w:bCs/>
                <w:sz w:val="16"/>
                <w:szCs w:val="16"/>
              </w:rPr>
              <w:t>80</w:t>
            </w:r>
          </w:p>
        </w:tc>
        <w:tc>
          <w:tcPr>
            <w:tcW w:w="1037" w:type="dxa"/>
            <w:tcBorders>
              <w:top w:val="nil"/>
              <w:bottom w:val="nil"/>
            </w:tcBorders>
            <w:vAlign w:val="center"/>
            <w:hideMark/>
          </w:tcPr>
          <w:p w14:paraId="4D74741E" w14:textId="289DBC39" w:rsidR="001B5005" w:rsidRPr="001B5005" w:rsidRDefault="001B5005" w:rsidP="009D02E9">
            <w:pPr>
              <w:spacing w:after="0" w:line="264" w:lineRule="auto"/>
              <w:jc w:val="right"/>
              <w:rPr>
                <w:rFonts w:cs="Arial"/>
                <w:b/>
                <w:bCs/>
                <w:sz w:val="16"/>
                <w:szCs w:val="16"/>
              </w:rPr>
            </w:pPr>
            <w:r w:rsidRPr="001B5005">
              <w:rPr>
                <w:rFonts w:cs="Arial"/>
                <w:b/>
                <w:bCs/>
                <w:sz w:val="16"/>
                <w:szCs w:val="16"/>
              </w:rPr>
              <w:t>296</w:t>
            </w:r>
          </w:p>
        </w:tc>
        <w:tc>
          <w:tcPr>
            <w:tcW w:w="1043" w:type="dxa"/>
            <w:tcBorders>
              <w:top w:val="nil"/>
              <w:bottom w:val="nil"/>
              <w:right w:val="single" w:sz="2" w:space="0" w:color="A6A6A6" w:themeColor="background1" w:themeShade="A6"/>
            </w:tcBorders>
            <w:vAlign w:val="center"/>
            <w:hideMark/>
          </w:tcPr>
          <w:p w14:paraId="07978F79" w14:textId="3A0AA08A" w:rsidR="001B5005" w:rsidRPr="001B5005" w:rsidRDefault="001B5005" w:rsidP="009D02E9">
            <w:pPr>
              <w:spacing w:after="0" w:line="264" w:lineRule="auto"/>
              <w:jc w:val="right"/>
              <w:rPr>
                <w:rFonts w:cs="Arial"/>
                <w:b/>
                <w:bCs/>
                <w:sz w:val="16"/>
                <w:szCs w:val="16"/>
              </w:rPr>
            </w:pPr>
            <w:r w:rsidRPr="001B5005">
              <w:rPr>
                <w:rFonts w:cs="Arial"/>
                <w:b/>
                <w:bCs/>
                <w:sz w:val="16"/>
                <w:szCs w:val="16"/>
              </w:rPr>
              <w:t>81</w:t>
            </w:r>
          </w:p>
        </w:tc>
      </w:tr>
      <w:tr w:rsidR="008C0A0E" w:rsidRPr="00372745" w14:paraId="29AA9AB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5A36EF0" w14:textId="138E61D6"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στ.</w:t>
            </w:r>
            <w:r>
              <w:rPr>
                <w:rFonts w:cs="Arial"/>
                <w:b/>
                <w:bCs/>
                <w:sz w:val="16"/>
                <w:szCs w:val="16"/>
              </w:rPr>
              <w:tab/>
            </w:r>
            <w:r w:rsidRPr="00372745">
              <w:rPr>
                <w:rFonts w:cs="Arial"/>
                <w:b/>
                <w:bCs/>
                <w:sz w:val="16"/>
                <w:szCs w:val="16"/>
              </w:rPr>
              <w:t>Τόκοι</w:t>
            </w:r>
          </w:p>
        </w:tc>
        <w:tc>
          <w:tcPr>
            <w:tcW w:w="1034" w:type="dxa"/>
            <w:tcBorders>
              <w:top w:val="nil"/>
              <w:bottom w:val="nil"/>
            </w:tcBorders>
            <w:vAlign w:val="center"/>
            <w:hideMark/>
          </w:tcPr>
          <w:p w14:paraId="39E3A5FC" w14:textId="3CB6580D" w:rsidR="001B5005" w:rsidRPr="001B5005" w:rsidRDefault="001B5005" w:rsidP="009D02E9">
            <w:pPr>
              <w:spacing w:after="0" w:line="264" w:lineRule="auto"/>
              <w:jc w:val="right"/>
              <w:rPr>
                <w:rFonts w:cs="Arial"/>
                <w:b/>
                <w:bCs/>
                <w:sz w:val="16"/>
                <w:szCs w:val="16"/>
              </w:rPr>
            </w:pPr>
            <w:r w:rsidRPr="001B5005">
              <w:rPr>
                <w:rFonts w:cs="Arial"/>
                <w:b/>
                <w:bCs/>
                <w:sz w:val="16"/>
                <w:szCs w:val="16"/>
              </w:rPr>
              <w:t>9.997</w:t>
            </w:r>
          </w:p>
        </w:tc>
        <w:tc>
          <w:tcPr>
            <w:tcW w:w="1551" w:type="dxa"/>
            <w:tcBorders>
              <w:top w:val="nil"/>
              <w:bottom w:val="nil"/>
            </w:tcBorders>
            <w:vAlign w:val="center"/>
            <w:hideMark/>
          </w:tcPr>
          <w:p w14:paraId="6D63823F" w14:textId="10EE1C84" w:rsidR="001B5005" w:rsidRPr="001B5005" w:rsidRDefault="001B5005" w:rsidP="009D02E9">
            <w:pPr>
              <w:spacing w:after="0" w:line="264" w:lineRule="auto"/>
              <w:jc w:val="right"/>
              <w:rPr>
                <w:rFonts w:cs="Arial"/>
                <w:b/>
                <w:bCs/>
                <w:sz w:val="16"/>
                <w:szCs w:val="16"/>
              </w:rPr>
            </w:pPr>
            <w:r w:rsidRPr="001B5005">
              <w:rPr>
                <w:rFonts w:cs="Arial"/>
                <w:b/>
                <w:bCs/>
                <w:sz w:val="16"/>
                <w:szCs w:val="16"/>
              </w:rPr>
              <w:t>9.815</w:t>
            </w:r>
          </w:p>
        </w:tc>
        <w:tc>
          <w:tcPr>
            <w:tcW w:w="1037" w:type="dxa"/>
            <w:tcBorders>
              <w:top w:val="nil"/>
              <w:bottom w:val="nil"/>
            </w:tcBorders>
            <w:vAlign w:val="center"/>
            <w:hideMark/>
          </w:tcPr>
          <w:p w14:paraId="1D889297" w14:textId="45A5EC46" w:rsidR="001B5005" w:rsidRPr="001B5005" w:rsidRDefault="001B5005" w:rsidP="009D02E9">
            <w:pPr>
              <w:spacing w:after="0" w:line="264" w:lineRule="auto"/>
              <w:jc w:val="right"/>
              <w:rPr>
                <w:rFonts w:cs="Arial"/>
                <w:b/>
                <w:bCs/>
                <w:sz w:val="16"/>
                <w:szCs w:val="16"/>
              </w:rPr>
            </w:pPr>
            <w:r w:rsidRPr="001B5005">
              <w:rPr>
                <w:rFonts w:cs="Arial"/>
                <w:b/>
                <w:bCs/>
                <w:sz w:val="16"/>
                <w:szCs w:val="16"/>
              </w:rPr>
              <w:t>10.280</w:t>
            </w:r>
          </w:p>
        </w:tc>
        <w:tc>
          <w:tcPr>
            <w:tcW w:w="1043" w:type="dxa"/>
            <w:tcBorders>
              <w:top w:val="nil"/>
              <w:bottom w:val="nil"/>
              <w:right w:val="single" w:sz="2" w:space="0" w:color="A6A6A6" w:themeColor="background1" w:themeShade="A6"/>
            </w:tcBorders>
            <w:vAlign w:val="center"/>
            <w:hideMark/>
          </w:tcPr>
          <w:p w14:paraId="1B6C6D52" w14:textId="2CCFE64D" w:rsidR="001B5005" w:rsidRPr="001B5005" w:rsidRDefault="001B5005" w:rsidP="009D02E9">
            <w:pPr>
              <w:spacing w:after="0" w:line="264" w:lineRule="auto"/>
              <w:jc w:val="right"/>
              <w:rPr>
                <w:rFonts w:cs="Arial"/>
                <w:b/>
                <w:bCs/>
                <w:sz w:val="16"/>
                <w:szCs w:val="16"/>
              </w:rPr>
            </w:pPr>
            <w:r w:rsidRPr="001B5005">
              <w:rPr>
                <w:rFonts w:cs="Arial"/>
                <w:b/>
                <w:bCs/>
                <w:sz w:val="16"/>
                <w:szCs w:val="16"/>
              </w:rPr>
              <w:t>10.783</w:t>
            </w:r>
          </w:p>
        </w:tc>
      </w:tr>
      <w:tr w:rsidR="008C0A0E" w:rsidRPr="00372745" w14:paraId="76AF3DF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0FD18BF" w14:textId="55CA4A92"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ζ.</w:t>
            </w:r>
            <w:r>
              <w:rPr>
                <w:rFonts w:cs="Arial"/>
                <w:b/>
                <w:bCs/>
                <w:sz w:val="16"/>
                <w:szCs w:val="16"/>
              </w:rPr>
              <w:tab/>
            </w:r>
            <w:r w:rsidRPr="00372745">
              <w:rPr>
                <w:rFonts w:cs="Arial"/>
                <w:b/>
                <w:bCs/>
                <w:sz w:val="16"/>
                <w:szCs w:val="16"/>
              </w:rPr>
              <w:t xml:space="preserve">Λοιπές </w:t>
            </w:r>
            <w:r>
              <w:rPr>
                <w:rFonts w:cs="Arial"/>
                <w:b/>
                <w:bCs/>
                <w:sz w:val="16"/>
                <w:szCs w:val="16"/>
              </w:rPr>
              <w:t>δ</w:t>
            </w:r>
            <w:r w:rsidRPr="00372745">
              <w:rPr>
                <w:rFonts w:cs="Arial"/>
                <w:b/>
                <w:bCs/>
                <w:sz w:val="16"/>
                <w:szCs w:val="16"/>
              </w:rPr>
              <w:t>απάνες</w:t>
            </w:r>
          </w:p>
        </w:tc>
        <w:tc>
          <w:tcPr>
            <w:tcW w:w="1034" w:type="dxa"/>
            <w:tcBorders>
              <w:top w:val="nil"/>
              <w:bottom w:val="nil"/>
            </w:tcBorders>
            <w:vAlign w:val="center"/>
            <w:hideMark/>
          </w:tcPr>
          <w:p w14:paraId="58AB23D0" w14:textId="52DB62C0" w:rsidR="001B5005" w:rsidRPr="001B5005" w:rsidRDefault="001B5005" w:rsidP="009D02E9">
            <w:pPr>
              <w:spacing w:after="0" w:line="264" w:lineRule="auto"/>
              <w:jc w:val="right"/>
              <w:rPr>
                <w:rFonts w:cs="Arial"/>
                <w:b/>
                <w:bCs/>
                <w:sz w:val="16"/>
                <w:szCs w:val="16"/>
              </w:rPr>
            </w:pPr>
            <w:r w:rsidRPr="001B5005">
              <w:rPr>
                <w:rFonts w:cs="Arial"/>
                <w:b/>
                <w:bCs/>
                <w:sz w:val="16"/>
                <w:szCs w:val="16"/>
              </w:rPr>
              <w:t>26</w:t>
            </w:r>
          </w:p>
        </w:tc>
        <w:tc>
          <w:tcPr>
            <w:tcW w:w="1551" w:type="dxa"/>
            <w:tcBorders>
              <w:top w:val="nil"/>
              <w:bottom w:val="nil"/>
            </w:tcBorders>
            <w:vAlign w:val="center"/>
            <w:hideMark/>
          </w:tcPr>
          <w:p w14:paraId="3889C6E4" w14:textId="4A118C0E" w:rsidR="001B5005" w:rsidRPr="001B5005" w:rsidRDefault="001B5005" w:rsidP="009D02E9">
            <w:pPr>
              <w:spacing w:after="0" w:line="264" w:lineRule="auto"/>
              <w:jc w:val="right"/>
              <w:rPr>
                <w:rFonts w:cs="Arial"/>
                <w:b/>
                <w:bCs/>
                <w:sz w:val="16"/>
                <w:szCs w:val="16"/>
              </w:rPr>
            </w:pPr>
            <w:r w:rsidRPr="001B5005">
              <w:rPr>
                <w:rFonts w:cs="Arial"/>
                <w:b/>
                <w:bCs/>
                <w:sz w:val="16"/>
                <w:szCs w:val="16"/>
              </w:rPr>
              <w:t>101</w:t>
            </w:r>
          </w:p>
        </w:tc>
        <w:tc>
          <w:tcPr>
            <w:tcW w:w="1037" w:type="dxa"/>
            <w:tcBorders>
              <w:top w:val="nil"/>
              <w:bottom w:val="nil"/>
            </w:tcBorders>
            <w:vAlign w:val="center"/>
            <w:hideMark/>
          </w:tcPr>
          <w:p w14:paraId="189FFAFD" w14:textId="363A5C74" w:rsidR="001B5005" w:rsidRPr="001B5005" w:rsidRDefault="001B5005" w:rsidP="009D02E9">
            <w:pPr>
              <w:spacing w:after="0" w:line="264" w:lineRule="auto"/>
              <w:jc w:val="right"/>
              <w:rPr>
                <w:rFonts w:cs="Arial"/>
                <w:b/>
                <w:bCs/>
                <w:sz w:val="16"/>
                <w:szCs w:val="16"/>
              </w:rPr>
            </w:pPr>
            <w:r w:rsidRPr="001B5005">
              <w:rPr>
                <w:rFonts w:cs="Arial"/>
                <w:b/>
                <w:bCs/>
                <w:sz w:val="16"/>
                <w:szCs w:val="16"/>
              </w:rPr>
              <w:t>66</w:t>
            </w:r>
          </w:p>
        </w:tc>
        <w:tc>
          <w:tcPr>
            <w:tcW w:w="1043" w:type="dxa"/>
            <w:tcBorders>
              <w:top w:val="nil"/>
              <w:bottom w:val="nil"/>
              <w:right w:val="single" w:sz="2" w:space="0" w:color="A6A6A6" w:themeColor="background1" w:themeShade="A6"/>
            </w:tcBorders>
            <w:vAlign w:val="center"/>
            <w:hideMark/>
          </w:tcPr>
          <w:p w14:paraId="4C6C6D70" w14:textId="3ECB0413" w:rsidR="001B5005" w:rsidRPr="001B5005" w:rsidRDefault="001B5005" w:rsidP="009D02E9">
            <w:pPr>
              <w:spacing w:after="0" w:line="264" w:lineRule="auto"/>
              <w:jc w:val="right"/>
              <w:rPr>
                <w:rFonts w:cs="Arial"/>
                <w:b/>
                <w:bCs/>
                <w:sz w:val="16"/>
                <w:szCs w:val="16"/>
              </w:rPr>
            </w:pPr>
            <w:r w:rsidRPr="001B5005">
              <w:rPr>
                <w:rFonts w:cs="Arial"/>
                <w:b/>
                <w:bCs/>
                <w:sz w:val="16"/>
                <w:szCs w:val="16"/>
              </w:rPr>
              <w:t>121</w:t>
            </w:r>
          </w:p>
        </w:tc>
      </w:tr>
      <w:tr w:rsidR="008C0A0E" w:rsidRPr="00372745" w14:paraId="08BE24E6"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BEA5773" w14:textId="6C1F9F16"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η.</w:t>
            </w:r>
            <w:r>
              <w:rPr>
                <w:rFonts w:cs="Arial"/>
                <w:b/>
                <w:bCs/>
                <w:sz w:val="16"/>
                <w:szCs w:val="16"/>
              </w:rPr>
              <w:tab/>
            </w:r>
            <w:r w:rsidRPr="00372745">
              <w:rPr>
                <w:rFonts w:cs="Arial"/>
                <w:b/>
                <w:bCs/>
                <w:sz w:val="16"/>
                <w:szCs w:val="16"/>
              </w:rPr>
              <w:t>Πιστώσεις υπό κατανομή</w:t>
            </w:r>
          </w:p>
        </w:tc>
        <w:tc>
          <w:tcPr>
            <w:tcW w:w="1034" w:type="dxa"/>
            <w:tcBorders>
              <w:top w:val="nil"/>
              <w:bottom w:val="nil"/>
            </w:tcBorders>
            <w:vAlign w:val="center"/>
            <w:hideMark/>
          </w:tcPr>
          <w:p w14:paraId="28299B57" w14:textId="6CA0BB5A" w:rsidR="001B5005" w:rsidRPr="001B5005" w:rsidRDefault="001B5005" w:rsidP="009D02E9">
            <w:pPr>
              <w:spacing w:after="0" w:line="264" w:lineRule="auto"/>
              <w:jc w:val="right"/>
              <w:rPr>
                <w:rFonts w:cs="Arial"/>
                <w:b/>
                <w:bCs/>
                <w:sz w:val="16"/>
                <w:szCs w:val="16"/>
              </w:rPr>
            </w:pPr>
            <w:r w:rsidRPr="001B5005">
              <w:rPr>
                <w:rFonts w:cs="Arial"/>
                <w:b/>
                <w:bCs/>
                <w:sz w:val="16"/>
                <w:szCs w:val="16"/>
              </w:rPr>
              <w:t>14.942</w:t>
            </w:r>
          </w:p>
        </w:tc>
        <w:tc>
          <w:tcPr>
            <w:tcW w:w="1551" w:type="dxa"/>
            <w:tcBorders>
              <w:top w:val="nil"/>
              <w:bottom w:val="nil"/>
            </w:tcBorders>
            <w:vAlign w:val="center"/>
            <w:hideMark/>
          </w:tcPr>
          <w:p w14:paraId="5F3913CC" w14:textId="5A30770B" w:rsidR="001B5005" w:rsidRPr="001B5005" w:rsidRDefault="001B5005" w:rsidP="009D02E9">
            <w:pPr>
              <w:spacing w:after="0" w:line="264" w:lineRule="auto"/>
              <w:jc w:val="right"/>
              <w:rPr>
                <w:rFonts w:cs="Arial"/>
                <w:b/>
                <w:bCs/>
                <w:sz w:val="16"/>
                <w:szCs w:val="16"/>
              </w:rPr>
            </w:pPr>
            <w:r w:rsidRPr="001B5005">
              <w:rPr>
                <w:rFonts w:cs="Arial"/>
                <w:b/>
                <w:bCs/>
                <w:sz w:val="16"/>
                <w:szCs w:val="16"/>
              </w:rPr>
              <w:t>20.299</w:t>
            </w:r>
          </w:p>
        </w:tc>
        <w:tc>
          <w:tcPr>
            <w:tcW w:w="1037" w:type="dxa"/>
            <w:tcBorders>
              <w:top w:val="nil"/>
              <w:bottom w:val="nil"/>
            </w:tcBorders>
            <w:vAlign w:val="center"/>
            <w:hideMark/>
          </w:tcPr>
          <w:p w14:paraId="2BB965FB" w14:textId="799A99BC" w:rsidR="001B5005" w:rsidRPr="001B5005" w:rsidRDefault="001B5005" w:rsidP="009D02E9">
            <w:pPr>
              <w:spacing w:after="0" w:line="264" w:lineRule="auto"/>
              <w:jc w:val="right"/>
              <w:rPr>
                <w:rFonts w:cs="Arial"/>
                <w:b/>
                <w:bCs/>
                <w:sz w:val="16"/>
                <w:szCs w:val="16"/>
              </w:rPr>
            </w:pPr>
            <w:r w:rsidRPr="001B5005">
              <w:rPr>
                <w:rFonts w:cs="Arial"/>
                <w:b/>
                <w:bCs/>
                <w:sz w:val="16"/>
                <w:szCs w:val="16"/>
              </w:rPr>
              <w:t>19.300</w:t>
            </w:r>
          </w:p>
        </w:tc>
        <w:tc>
          <w:tcPr>
            <w:tcW w:w="1043" w:type="dxa"/>
            <w:tcBorders>
              <w:top w:val="nil"/>
              <w:bottom w:val="nil"/>
              <w:right w:val="single" w:sz="2" w:space="0" w:color="A6A6A6" w:themeColor="background1" w:themeShade="A6"/>
            </w:tcBorders>
            <w:vAlign w:val="center"/>
            <w:hideMark/>
          </w:tcPr>
          <w:p w14:paraId="028A251B" w14:textId="59F41D3F" w:rsidR="001B5005" w:rsidRPr="001B5005" w:rsidRDefault="001B5005" w:rsidP="009D02E9">
            <w:pPr>
              <w:spacing w:after="0" w:line="264" w:lineRule="auto"/>
              <w:jc w:val="right"/>
              <w:rPr>
                <w:rFonts w:cs="Arial"/>
                <w:b/>
                <w:bCs/>
                <w:sz w:val="16"/>
                <w:szCs w:val="16"/>
              </w:rPr>
            </w:pPr>
            <w:r w:rsidRPr="001B5005">
              <w:rPr>
                <w:rFonts w:cs="Arial"/>
                <w:b/>
                <w:bCs/>
                <w:sz w:val="16"/>
                <w:szCs w:val="16"/>
              </w:rPr>
              <w:t>15.416</w:t>
            </w:r>
          </w:p>
        </w:tc>
      </w:tr>
      <w:tr w:rsidR="008C0A0E" w:rsidRPr="00372745" w14:paraId="5EB91C45"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019A45DB" w14:textId="11B043CE"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θ.</w:t>
            </w:r>
            <w:r>
              <w:rPr>
                <w:rFonts w:cs="Arial"/>
                <w:b/>
                <w:bCs/>
                <w:sz w:val="16"/>
                <w:szCs w:val="16"/>
              </w:rPr>
              <w:tab/>
            </w:r>
            <w:r w:rsidRPr="00372745">
              <w:rPr>
                <w:rFonts w:cs="Arial"/>
                <w:b/>
                <w:bCs/>
                <w:sz w:val="16"/>
                <w:szCs w:val="16"/>
              </w:rPr>
              <w:t>Αγορές παγίων περιουσιακών στοιχείων</w:t>
            </w:r>
          </w:p>
        </w:tc>
        <w:tc>
          <w:tcPr>
            <w:tcW w:w="1034" w:type="dxa"/>
            <w:tcBorders>
              <w:top w:val="nil"/>
              <w:bottom w:val="nil"/>
            </w:tcBorders>
            <w:vAlign w:val="center"/>
            <w:hideMark/>
          </w:tcPr>
          <w:p w14:paraId="167692CE" w14:textId="3F4B6CFE" w:rsidR="001B5005" w:rsidRPr="001B5005" w:rsidRDefault="001B5005" w:rsidP="009D02E9">
            <w:pPr>
              <w:spacing w:after="0" w:line="264" w:lineRule="auto"/>
              <w:jc w:val="right"/>
              <w:rPr>
                <w:rFonts w:cs="Arial"/>
                <w:b/>
                <w:bCs/>
                <w:sz w:val="16"/>
                <w:szCs w:val="16"/>
              </w:rPr>
            </w:pPr>
            <w:r w:rsidRPr="001B5005">
              <w:rPr>
                <w:rFonts w:cs="Arial"/>
                <w:b/>
                <w:bCs/>
                <w:sz w:val="16"/>
                <w:szCs w:val="16"/>
              </w:rPr>
              <w:t>1.837</w:t>
            </w:r>
          </w:p>
        </w:tc>
        <w:tc>
          <w:tcPr>
            <w:tcW w:w="1551" w:type="dxa"/>
            <w:tcBorders>
              <w:top w:val="nil"/>
              <w:bottom w:val="nil"/>
            </w:tcBorders>
            <w:vAlign w:val="center"/>
            <w:hideMark/>
          </w:tcPr>
          <w:p w14:paraId="5DEAB285" w14:textId="7E31EFDF" w:rsidR="001B5005" w:rsidRPr="001B5005" w:rsidRDefault="001B5005" w:rsidP="009D02E9">
            <w:pPr>
              <w:spacing w:after="0" w:line="264" w:lineRule="auto"/>
              <w:jc w:val="right"/>
              <w:rPr>
                <w:rFonts w:cs="Arial"/>
                <w:b/>
                <w:bCs/>
                <w:sz w:val="16"/>
                <w:szCs w:val="16"/>
              </w:rPr>
            </w:pPr>
            <w:r w:rsidRPr="001B5005">
              <w:rPr>
                <w:rFonts w:cs="Arial"/>
                <w:b/>
                <w:bCs/>
                <w:sz w:val="16"/>
                <w:szCs w:val="16"/>
              </w:rPr>
              <w:t>2.456</w:t>
            </w:r>
          </w:p>
        </w:tc>
        <w:tc>
          <w:tcPr>
            <w:tcW w:w="1037" w:type="dxa"/>
            <w:tcBorders>
              <w:top w:val="nil"/>
              <w:bottom w:val="nil"/>
            </w:tcBorders>
            <w:vAlign w:val="center"/>
            <w:hideMark/>
          </w:tcPr>
          <w:p w14:paraId="0FCF73E7" w14:textId="20734D36" w:rsidR="001B5005" w:rsidRPr="001B5005" w:rsidRDefault="001B5005" w:rsidP="009D02E9">
            <w:pPr>
              <w:spacing w:after="0" w:line="264" w:lineRule="auto"/>
              <w:jc w:val="right"/>
              <w:rPr>
                <w:rFonts w:cs="Arial"/>
                <w:b/>
                <w:bCs/>
                <w:sz w:val="16"/>
                <w:szCs w:val="16"/>
              </w:rPr>
            </w:pPr>
            <w:r w:rsidRPr="001B5005">
              <w:rPr>
                <w:rFonts w:cs="Arial"/>
                <w:b/>
                <w:bCs/>
                <w:sz w:val="16"/>
                <w:szCs w:val="16"/>
              </w:rPr>
              <w:t>2.469</w:t>
            </w:r>
          </w:p>
        </w:tc>
        <w:tc>
          <w:tcPr>
            <w:tcW w:w="1043" w:type="dxa"/>
            <w:tcBorders>
              <w:top w:val="nil"/>
              <w:bottom w:val="nil"/>
              <w:right w:val="single" w:sz="2" w:space="0" w:color="A6A6A6" w:themeColor="background1" w:themeShade="A6"/>
            </w:tcBorders>
            <w:vAlign w:val="center"/>
            <w:hideMark/>
          </w:tcPr>
          <w:p w14:paraId="249E0F2E" w14:textId="19B289C2" w:rsidR="001B5005" w:rsidRPr="001B5005" w:rsidRDefault="001B5005" w:rsidP="009D02E9">
            <w:pPr>
              <w:spacing w:after="0" w:line="264" w:lineRule="auto"/>
              <w:jc w:val="right"/>
              <w:rPr>
                <w:rFonts w:cs="Arial"/>
                <w:b/>
                <w:bCs/>
                <w:sz w:val="16"/>
                <w:szCs w:val="16"/>
              </w:rPr>
            </w:pPr>
            <w:r w:rsidRPr="001B5005">
              <w:rPr>
                <w:rFonts w:cs="Arial"/>
                <w:b/>
                <w:bCs/>
                <w:sz w:val="16"/>
                <w:szCs w:val="16"/>
              </w:rPr>
              <w:t>2.546</w:t>
            </w:r>
          </w:p>
        </w:tc>
      </w:tr>
      <w:tr w:rsidR="008C0A0E" w:rsidRPr="00372745" w14:paraId="703A4689" w14:textId="77777777" w:rsidTr="00596BB1">
        <w:trPr>
          <w:cantSplit/>
          <w:jc w:val="center"/>
        </w:trPr>
        <w:tc>
          <w:tcPr>
            <w:tcW w:w="4587" w:type="dxa"/>
            <w:tcBorders>
              <w:top w:val="nil"/>
              <w:left w:val="single" w:sz="2" w:space="0" w:color="A6A6A6" w:themeColor="background1" w:themeShade="A6"/>
              <w:bottom w:val="nil"/>
            </w:tcBorders>
            <w:vAlign w:val="center"/>
          </w:tcPr>
          <w:p w14:paraId="266DF881" w14:textId="0899EE77" w:rsidR="001B5005" w:rsidRPr="00372745" w:rsidRDefault="001B5005" w:rsidP="009D02E9">
            <w:pPr>
              <w:tabs>
                <w:tab w:val="left" w:pos="340"/>
              </w:tabs>
              <w:spacing w:after="0" w:line="264" w:lineRule="auto"/>
              <w:jc w:val="left"/>
              <w:rPr>
                <w:rFonts w:cs="Arial"/>
                <w:b/>
                <w:bCs/>
                <w:sz w:val="16"/>
                <w:szCs w:val="16"/>
              </w:rPr>
            </w:pPr>
            <w:r>
              <w:rPr>
                <w:rFonts w:cs="Arial"/>
                <w:b/>
                <w:bCs/>
                <w:sz w:val="16"/>
                <w:szCs w:val="16"/>
              </w:rPr>
              <w:t>ι.</w:t>
            </w:r>
            <w:r>
              <w:rPr>
                <w:rFonts w:cs="Arial"/>
                <w:b/>
                <w:bCs/>
                <w:sz w:val="16"/>
                <w:szCs w:val="16"/>
              </w:rPr>
              <w:tab/>
              <w:t>Αποθέματα</w:t>
            </w:r>
          </w:p>
        </w:tc>
        <w:tc>
          <w:tcPr>
            <w:tcW w:w="1034" w:type="dxa"/>
            <w:tcBorders>
              <w:top w:val="nil"/>
              <w:bottom w:val="nil"/>
            </w:tcBorders>
            <w:vAlign w:val="center"/>
          </w:tcPr>
          <w:p w14:paraId="63E33EC2" w14:textId="715B9538"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551" w:type="dxa"/>
            <w:tcBorders>
              <w:top w:val="nil"/>
              <w:bottom w:val="nil"/>
            </w:tcBorders>
            <w:vAlign w:val="center"/>
          </w:tcPr>
          <w:p w14:paraId="1FEB86C6" w14:textId="61786999"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037" w:type="dxa"/>
            <w:tcBorders>
              <w:top w:val="nil"/>
              <w:bottom w:val="nil"/>
            </w:tcBorders>
            <w:vAlign w:val="center"/>
          </w:tcPr>
          <w:p w14:paraId="299E1BCB" w14:textId="6377EDEB" w:rsidR="001B5005" w:rsidRPr="001B5005" w:rsidRDefault="001B5005" w:rsidP="009D02E9">
            <w:pPr>
              <w:spacing w:after="0" w:line="264" w:lineRule="auto"/>
              <w:jc w:val="right"/>
              <w:rPr>
                <w:rFonts w:cs="Arial"/>
                <w:b/>
                <w:bCs/>
                <w:sz w:val="16"/>
                <w:szCs w:val="16"/>
              </w:rPr>
            </w:pPr>
            <w:r w:rsidRPr="001B5005">
              <w:rPr>
                <w:rFonts w:cs="Arial"/>
                <w:b/>
                <w:bCs/>
                <w:sz w:val="16"/>
                <w:szCs w:val="16"/>
              </w:rPr>
              <w:t>184</w:t>
            </w:r>
          </w:p>
        </w:tc>
        <w:tc>
          <w:tcPr>
            <w:tcW w:w="1043" w:type="dxa"/>
            <w:tcBorders>
              <w:top w:val="nil"/>
              <w:bottom w:val="nil"/>
              <w:right w:val="single" w:sz="2" w:space="0" w:color="A6A6A6" w:themeColor="background1" w:themeShade="A6"/>
            </w:tcBorders>
            <w:vAlign w:val="center"/>
          </w:tcPr>
          <w:p w14:paraId="319D07A0" w14:textId="0AEF3A53" w:rsidR="001B5005" w:rsidRPr="001B5005" w:rsidRDefault="001B5005" w:rsidP="009D02E9">
            <w:pPr>
              <w:spacing w:after="0" w:line="264" w:lineRule="auto"/>
              <w:jc w:val="right"/>
              <w:rPr>
                <w:rFonts w:cs="Arial"/>
                <w:b/>
                <w:bCs/>
                <w:sz w:val="16"/>
                <w:szCs w:val="16"/>
              </w:rPr>
            </w:pPr>
            <w:r w:rsidRPr="001B5005">
              <w:rPr>
                <w:rFonts w:cs="Arial"/>
                <w:b/>
                <w:bCs/>
                <w:sz w:val="16"/>
                <w:szCs w:val="16"/>
              </w:rPr>
              <w:t>395</w:t>
            </w:r>
          </w:p>
        </w:tc>
      </w:tr>
      <w:tr w:rsidR="008C0A0E" w:rsidRPr="00372745" w14:paraId="76B3935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E7E649F" w14:textId="145DEF6D" w:rsidR="001B5005" w:rsidRPr="00372745" w:rsidRDefault="001B5005" w:rsidP="009D02E9">
            <w:pPr>
              <w:tabs>
                <w:tab w:val="left" w:pos="340"/>
              </w:tabs>
              <w:spacing w:after="0" w:line="264" w:lineRule="auto"/>
              <w:jc w:val="left"/>
              <w:rPr>
                <w:rFonts w:cs="Arial"/>
                <w:b/>
                <w:bCs/>
                <w:sz w:val="16"/>
                <w:szCs w:val="16"/>
              </w:rPr>
            </w:pPr>
            <w:proofErr w:type="spellStart"/>
            <w:r w:rsidRPr="00372745">
              <w:rPr>
                <w:rFonts w:cs="Arial"/>
                <w:b/>
                <w:bCs/>
                <w:sz w:val="16"/>
                <w:szCs w:val="16"/>
              </w:rPr>
              <w:t>ι</w:t>
            </w:r>
            <w:r>
              <w:rPr>
                <w:rFonts w:cs="Arial"/>
                <w:b/>
                <w:bCs/>
                <w:sz w:val="16"/>
                <w:szCs w:val="16"/>
              </w:rPr>
              <w:t>α</w:t>
            </w:r>
            <w:proofErr w:type="spellEnd"/>
            <w:r w:rsidRPr="00372745">
              <w:rPr>
                <w:rFonts w:cs="Arial"/>
                <w:b/>
                <w:bCs/>
                <w:sz w:val="16"/>
                <w:szCs w:val="16"/>
              </w:rPr>
              <w:t>.</w:t>
            </w:r>
            <w:r>
              <w:rPr>
                <w:rFonts w:cs="Arial"/>
                <w:b/>
                <w:bCs/>
                <w:sz w:val="16"/>
                <w:szCs w:val="16"/>
              </w:rPr>
              <w:tab/>
            </w:r>
            <w:r w:rsidRPr="00372745">
              <w:rPr>
                <w:rFonts w:cs="Arial"/>
                <w:b/>
                <w:bCs/>
                <w:sz w:val="16"/>
                <w:szCs w:val="16"/>
              </w:rPr>
              <w:t>Τιμαλφή</w:t>
            </w:r>
          </w:p>
        </w:tc>
        <w:tc>
          <w:tcPr>
            <w:tcW w:w="1034" w:type="dxa"/>
            <w:tcBorders>
              <w:top w:val="nil"/>
              <w:bottom w:val="nil"/>
            </w:tcBorders>
            <w:vAlign w:val="center"/>
            <w:hideMark/>
          </w:tcPr>
          <w:p w14:paraId="51E714A2" w14:textId="27337DC4"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551" w:type="dxa"/>
            <w:tcBorders>
              <w:top w:val="nil"/>
              <w:bottom w:val="nil"/>
            </w:tcBorders>
            <w:vAlign w:val="center"/>
            <w:hideMark/>
          </w:tcPr>
          <w:p w14:paraId="290F61D8" w14:textId="4A665F1E"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037" w:type="dxa"/>
            <w:tcBorders>
              <w:top w:val="nil"/>
              <w:bottom w:val="nil"/>
            </w:tcBorders>
            <w:vAlign w:val="center"/>
            <w:hideMark/>
          </w:tcPr>
          <w:p w14:paraId="4E2970E3" w14:textId="63FB2877"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043" w:type="dxa"/>
            <w:tcBorders>
              <w:top w:val="nil"/>
              <w:bottom w:val="nil"/>
              <w:right w:val="single" w:sz="2" w:space="0" w:color="A6A6A6" w:themeColor="background1" w:themeShade="A6"/>
            </w:tcBorders>
            <w:vAlign w:val="center"/>
            <w:hideMark/>
          </w:tcPr>
          <w:p w14:paraId="26DC9101" w14:textId="4D757F53"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r>
      <w:tr w:rsidR="008C0A0E" w:rsidRPr="00372745" w14:paraId="23DEDE4A"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76C66DA" w14:textId="77777777" w:rsidR="00EE405C" w:rsidRPr="00372745" w:rsidRDefault="00EE405C" w:rsidP="009D02E9">
            <w:pPr>
              <w:spacing w:before="60" w:after="0" w:line="264" w:lineRule="auto"/>
              <w:jc w:val="left"/>
              <w:rPr>
                <w:rFonts w:cs="Arial"/>
                <w:sz w:val="16"/>
                <w:szCs w:val="16"/>
              </w:rPr>
            </w:pPr>
            <w:r w:rsidRPr="00372745">
              <w:rPr>
                <w:rFonts w:cs="Arial"/>
                <w:sz w:val="16"/>
                <w:szCs w:val="16"/>
              </w:rPr>
              <w:t>Πληροφοριακά στοιχεία:</w:t>
            </w:r>
          </w:p>
        </w:tc>
        <w:tc>
          <w:tcPr>
            <w:tcW w:w="1034" w:type="dxa"/>
            <w:tcBorders>
              <w:top w:val="nil"/>
              <w:bottom w:val="nil"/>
            </w:tcBorders>
            <w:vAlign w:val="center"/>
            <w:hideMark/>
          </w:tcPr>
          <w:p w14:paraId="34B275D0" w14:textId="77777777" w:rsidR="00EE405C" w:rsidRPr="00372745" w:rsidRDefault="00EE405C" w:rsidP="009D02E9">
            <w:pPr>
              <w:spacing w:after="0" w:line="264" w:lineRule="auto"/>
              <w:jc w:val="right"/>
              <w:rPr>
                <w:rFonts w:cs="Arial"/>
                <w:sz w:val="16"/>
                <w:szCs w:val="16"/>
              </w:rPr>
            </w:pPr>
          </w:p>
        </w:tc>
        <w:tc>
          <w:tcPr>
            <w:tcW w:w="1551" w:type="dxa"/>
            <w:tcBorders>
              <w:top w:val="nil"/>
              <w:bottom w:val="nil"/>
            </w:tcBorders>
            <w:vAlign w:val="center"/>
            <w:hideMark/>
          </w:tcPr>
          <w:p w14:paraId="3D5E8461" w14:textId="77777777" w:rsidR="00EE405C" w:rsidRPr="00372745" w:rsidRDefault="00EE405C" w:rsidP="009D02E9">
            <w:pPr>
              <w:spacing w:after="0" w:line="264" w:lineRule="auto"/>
              <w:jc w:val="right"/>
              <w:rPr>
                <w:rFonts w:cs="Arial"/>
                <w:sz w:val="16"/>
                <w:szCs w:val="16"/>
              </w:rPr>
            </w:pPr>
          </w:p>
        </w:tc>
        <w:tc>
          <w:tcPr>
            <w:tcW w:w="1037" w:type="dxa"/>
            <w:tcBorders>
              <w:top w:val="nil"/>
              <w:bottom w:val="nil"/>
            </w:tcBorders>
            <w:vAlign w:val="center"/>
            <w:hideMark/>
          </w:tcPr>
          <w:p w14:paraId="6E095294" w14:textId="77777777" w:rsidR="00EE405C" w:rsidRPr="00372745" w:rsidRDefault="00EE405C" w:rsidP="009D02E9">
            <w:pPr>
              <w:spacing w:after="0" w:line="264" w:lineRule="auto"/>
              <w:jc w:val="right"/>
              <w:rPr>
                <w:rFonts w:cs="Arial"/>
                <w:sz w:val="16"/>
                <w:szCs w:val="16"/>
              </w:rPr>
            </w:pPr>
          </w:p>
        </w:tc>
        <w:tc>
          <w:tcPr>
            <w:tcW w:w="1043" w:type="dxa"/>
            <w:tcBorders>
              <w:top w:val="nil"/>
              <w:bottom w:val="nil"/>
              <w:right w:val="single" w:sz="2" w:space="0" w:color="A6A6A6" w:themeColor="background1" w:themeShade="A6"/>
            </w:tcBorders>
            <w:vAlign w:val="center"/>
            <w:hideMark/>
          </w:tcPr>
          <w:p w14:paraId="76B1F3B2" w14:textId="77777777" w:rsidR="00EE405C" w:rsidRPr="00372745" w:rsidRDefault="00EE405C" w:rsidP="009D02E9">
            <w:pPr>
              <w:spacing w:after="0" w:line="264" w:lineRule="auto"/>
              <w:jc w:val="right"/>
              <w:rPr>
                <w:rFonts w:cs="Arial"/>
                <w:sz w:val="16"/>
                <w:szCs w:val="16"/>
              </w:rPr>
            </w:pPr>
          </w:p>
        </w:tc>
      </w:tr>
      <w:tr w:rsidR="008C0A0E" w:rsidRPr="00372745" w14:paraId="3E214F5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80282A4" w14:textId="1DC81AD2" w:rsidR="001B5005" w:rsidRPr="00372745" w:rsidRDefault="001B5005" w:rsidP="009D02E9">
            <w:pPr>
              <w:spacing w:after="0" w:line="264" w:lineRule="auto"/>
              <w:jc w:val="left"/>
              <w:rPr>
                <w:rFonts w:cs="Arial"/>
                <w:i/>
                <w:iCs/>
                <w:sz w:val="16"/>
                <w:szCs w:val="16"/>
              </w:rPr>
            </w:pPr>
            <w:r w:rsidRPr="00372745">
              <w:rPr>
                <w:rFonts w:cs="Arial"/>
                <w:i/>
                <w:iCs/>
                <w:sz w:val="16"/>
                <w:szCs w:val="16"/>
              </w:rPr>
              <w:t>Πρ</w:t>
            </w:r>
            <w:r>
              <w:rPr>
                <w:rFonts w:cs="Arial"/>
                <w:i/>
                <w:iCs/>
                <w:sz w:val="16"/>
                <w:szCs w:val="16"/>
              </w:rPr>
              <w:t>οϋπολογισμός δ</w:t>
            </w:r>
            <w:r w:rsidRPr="00372745">
              <w:rPr>
                <w:rFonts w:cs="Arial"/>
                <w:i/>
                <w:iCs/>
                <w:sz w:val="16"/>
                <w:szCs w:val="16"/>
              </w:rPr>
              <w:t xml:space="preserve">ημοσίων </w:t>
            </w:r>
            <w:r>
              <w:rPr>
                <w:rFonts w:cs="Arial"/>
                <w:i/>
                <w:iCs/>
                <w:sz w:val="16"/>
                <w:szCs w:val="16"/>
              </w:rPr>
              <w:t>ε</w:t>
            </w:r>
            <w:r w:rsidRPr="00372745">
              <w:rPr>
                <w:rFonts w:cs="Arial"/>
                <w:i/>
                <w:iCs/>
                <w:sz w:val="16"/>
                <w:szCs w:val="16"/>
              </w:rPr>
              <w:t>πενδύσεων</w:t>
            </w:r>
            <w:r w:rsidR="00150ABB">
              <w:rPr>
                <w:rFonts w:cs="Arial"/>
                <w:i/>
                <w:iCs/>
                <w:sz w:val="16"/>
                <w:szCs w:val="16"/>
              </w:rPr>
              <w:t xml:space="preserve"> </w:t>
            </w:r>
            <w:r w:rsidR="00997336">
              <w:rPr>
                <w:rFonts w:cs="Arial"/>
                <w:i/>
                <w:iCs/>
                <w:sz w:val="16"/>
                <w:szCs w:val="16"/>
              </w:rPr>
              <w:t>(εκτός ΤΑΑ)</w:t>
            </w:r>
            <w:r w:rsidRPr="00AA0F2E">
              <w:rPr>
                <w:rFonts w:cs="Arial"/>
                <w:i/>
                <w:iCs/>
                <w:sz w:val="16"/>
                <w:szCs w:val="16"/>
                <w:vertAlign w:val="superscript"/>
              </w:rPr>
              <w:t>1</w:t>
            </w:r>
          </w:p>
        </w:tc>
        <w:tc>
          <w:tcPr>
            <w:tcW w:w="1034" w:type="dxa"/>
            <w:tcBorders>
              <w:top w:val="nil"/>
              <w:bottom w:val="nil"/>
            </w:tcBorders>
            <w:vAlign w:val="center"/>
            <w:hideMark/>
          </w:tcPr>
          <w:p w14:paraId="535AAB8A" w14:textId="6A19F181" w:rsidR="001B5005" w:rsidRPr="001B5005" w:rsidRDefault="001B5005" w:rsidP="009D02E9">
            <w:pPr>
              <w:spacing w:after="0" w:line="264" w:lineRule="auto"/>
              <w:jc w:val="right"/>
              <w:rPr>
                <w:rFonts w:cs="Arial"/>
                <w:i/>
                <w:iCs/>
                <w:sz w:val="16"/>
                <w:szCs w:val="16"/>
              </w:rPr>
            </w:pPr>
            <w:r w:rsidRPr="001B5005">
              <w:rPr>
                <w:rFonts w:cs="Arial"/>
                <w:i/>
                <w:iCs/>
                <w:sz w:val="16"/>
                <w:szCs w:val="16"/>
              </w:rPr>
              <w:t>9.711</w:t>
            </w:r>
          </w:p>
        </w:tc>
        <w:tc>
          <w:tcPr>
            <w:tcW w:w="1551" w:type="dxa"/>
            <w:tcBorders>
              <w:top w:val="nil"/>
              <w:bottom w:val="nil"/>
            </w:tcBorders>
            <w:vAlign w:val="center"/>
            <w:hideMark/>
          </w:tcPr>
          <w:p w14:paraId="58739E6E" w14:textId="027608DE" w:rsidR="001B5005" w:rsidRPr="001B5005" w:rsidRDefault="001B5005" w:rsidP="009D02E9">
            <w:pPr>
              <w:spacing w:after="0" w:line="264" w:lineRule="auto"/>
              <w:jc w:val="right"/>
              <w:rPr>
                <w:rFonts w:cs="Arial"/>
                <w:i/>
                <w:iCs/>
                <w:sz w:val="16"/>
                <w:szCs w:val="16"/>
              </w:rPr>
            </w:pPr>
            <w:r w:rsidRPr="001B5005">
              <w:rPr>
                <w:rFonts w:cs="Arial"/>
                <w:i/>
                <w:iCs/>
                <w:sz w:val="16"/>
                <w:szCs w:val="16"/>
              </w:rPr>
              <w:t>9.500</w:t>
            </w:r>
          </w:p>
        </w:tc>
        <w:tc>
          <w:tcPr>
            <w:tcW w:w="1037" w:type="dxa"/>
            <w:tcBorders>
              <w:top w:val="nil"/>
              <w:bottom w:val="nil"/>
            </w:tcBorders>
            <w:vAlign w:val="center"/>
            <w:hideMark/>
          </w:tcPr>
          <w:p w14:paraId="6691BEDF" w14:textId="56713F75" w:rsidR="001B5005" w:rsidRPr="001B5005" w:rsidRDefault="001B5005" w:rsidP="009D02E9">
            <w:pPr>
              <w:spacing w:after="0" w:line="264" w:lineRule="auto"/>
              <w:jc w:val="right"/>
              <w:rPr>
                <w:rFonts w:cs="Arial"/>
                <w:i/>
                <w:iCs/>
                <w:sz w:val="16"/>
                <w:szCs w:val="16"/>
              </w:rPr>
            </w:pPr>
            <w:r w:rsidRPr="001B5005">
              <w:rPr>
                <w:rFonts w:cs="Arial"/>
                <w:i/>
                <w:iCs/>
                <w:sz w:val="16"/>
                <w:szCs w:val="16"/>
              </w:rPr>
              <w:t>9.800</w:t>
            </w:r>
          </w:p>
        </w:tc>
        <w:tc>
          <w:tcPr>
            <w:tcW w:w="1043" w:type="dxa"/>
            <w:tcBorders>
              <w:top w:val="nil"/>
              <w:bottom w:val="nil"/>
              <w:right w:val="single" w:sz="2" w:space="0" w:color="A6A6A6" w:themeColor="background1" w:themeShade="A6"/>
            </w:tcBorders>
            <w:vAlign w:val="center"/>
            <w:hideMark/>
          </w:tcPr>
          <w:p w14:paraId="005453D9" w14:textId="74D92E9F" w:rsidR="001B5005" w:rsidRPr="001B5005" w:rsidRDefault="001B5005" w:rsidP="009D02E9">
            <w:pPr>
              <w:spacing w:after="0" w:line="264" w:lineRule="auto"/>
              <w:jc w:val="right"/>
              <w:rPr>
                <w:rFonts w:cs="Arial"/>
                <w:i/>
                <w:iCs/>
                <w:sz w:val="16"/>
                <w:szCs w:val="16"/>
              </w:rPr>
            </w:pPr>
            <w:r w:rsidRPr="001B5005">
              <w:rPr>
                <w:rFonts w:cs="Arial"/>
                <w:i/>
                <w:iCs/>
                <w:sz w:val="16"/>
                <w:szCs w:val="16"/>
              </w:rPr>
              <w:t>11.000</w:t>
            </w:r>
          </w:p>
        </w:tc>
      </w:tr>
      <w:tr w:rsidR="008C0A0E" w:rsidRPr="00372745" w14:paraId="62EE2CFB"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EEDE6EC" w14:textId="664203CA" w:rsidR="001B5005" w:rsidRPr="00372745" w:rsidRDefault="001B5005" w:rsidP="009D02E9">
            <w:pPr>
              <w:spacing w:after="0" w:line="264" w:lineRule="auto"/>
              <w:jc w:val="left"/>
              <w:rPr>
                <w:rFonts w:cs="Arial"/>
                <w:i/>
                <w:iCs/>
                <w:sz w:val="16"/>
                <w:szCs w:val="16"/>
              </w:rPr>
            </w:pPr>
            <w:r w:rsidRPr="00372745">
              <w:rPr>
                <w:rFonts w:cs="Arial"/>
                <w:i/>
                <w:iCs/>
                <w:sz w:val="16"/>
                <w:szCs w:val="16"/>
              </w:rPr>
              <w:t>Τ</w:t>
            </w:r>
            <w:r>
              <w:rPr>
                <w:rFonts w:cs="Arial"/>
                <w:i/>
                <w:iCs/>
                <w:sz w:val="16"/>
                <w:szCs w:val="16"/>
              </w:rPr>
              <w:t>ΑΑ</w:t>
            </w:r>
            <w:r w:rsidRPr="00AA0F2E">
              <w:rPr>
                <w:rFonts w:cs="Arial"/>
                <w:i/>
                <w:iCs/>
                <w:sz w:val="16"/>
                <w:szCs w:val="16"/>
                <w:vertAlign w:val="superscript"/>
              </w:rPr>
              <w:t>2</w:t>
            </w:r>
          </w:p>
        </w:tc>
        <w:tc>
          <w:tcPr>
            <w:tcW w:w="1034" w:type="dxa"/>
            <w:tcBorders>
              <w:top w:val="nil"/>
              <w:bottom w:val="nil"/>
            </w:tcBorders>
            <w:vAlign w:val="center"/>
            <w:hideMark/>
          </w:tcPr>
          <w:p w14:paraId="27C0A894" w14:textId="525A88C6" w:rsidR="001B5005" w:rsidRPr="001B5005" w:rsidRDefault="001B5005" w:rsidP="009D02E9">
            <w:pPr>
              <w:spacing w:after="0" w:line="264" w:lineRule="auto"/>
              <w:jc w:val="right"/>
              <w:rPr>
                <w:rFonts w:cs="Arial"/>
                <w:i/>
                <w:iCs/>
                <w:sz w:val="16"/>
                <w:szCs w:val="16"/>
              </w:rPr>
            </w:pPr>
            <w:r w:rsidRPr="001B5005">
              <w:rPr>
                <w:rFonts w:cs="Arial"/>
                <w:i/>
                <w:iCs/>
                <w:sz w:val="16"/>
                <w:szCs w:val="16"/>
              </w:rPr>
              <w:t>4.900</w:t>
            </w:r>
          </w:p>
        </w:tc>
        <w:tc>
          <w:tcPr>
            <w:tcW w:w="1551" w:type="dxa"/>
            <w:tcBorders>
              <w:top w:val="nil"/>
              <w:bottom w:val="nil"/>
            </w:tcBorders>
            <w:vAlign w:val="center"/>
            <w:hideMark/>
          </w:tcPr>
          <w:p w14:paraId="250FFC20" w14:textId="447226BA" w:rsidR="001B5005" w:rsidRPr="001B5005" w:rsidRDefault="001B5005" w:rsidP="009D02E9">
            <w:pPr>
              <w:spacing w:after="0" w:line="264" w:lineRule="auto"/>
              <w:jc w:val="right"/>
              <w:rPr>
                <w:rFonts w:cs="Arial"/>
                <w:i/>
                <w:iCs/>
                <w:sz w:val="16"/>
                <w:szCs w:val="16"/>
              </w:rPr>
            </w:pPr>
            <w:r w:rsidRPr="001B5005">
              <w:rPr>
                <w:rFonts w:cs="Arial"/>
                <w:i/>
                <w:iCs/>
                <w:sz w:val="16"/>
                <w:szCs w:val="16"/>
              </w:rPr>
              <w:t>7.192</w:t>
            </w:r>
          </w:p>
        </w:tc>
        <w:tc>
          <w:tcPr>
            <w:tcW w:w="1037" w:type="dxa"/>
            <w:tcBorders>
              <w:top w:val="nil"/>
              <w:bottom w:val="nil"/>
            </w:tcBorders>
            <w:vAlign w:val="center"/>
            <w:hideMark/>
          </w:tcPr>
          <w:p w14:paraId="7148209A" w14:textId="5F373968" w:rsidR="001B5005" w:rsidRPr="001B5005" w:rsidRDefault="001B5005" w:rsidP="009D02E9">
            <w:pPr>
              <w:spacing w:after="0" w:line="264" w:lineRule="auto"/>
              <w:jc w:val="right"/>
              <w:rPr>
                <w:rFonts w:cs="Arial"/>
                <w:i/>
                <w:iCs/>
                <w:sz w:val="16"/>
                <w:szCs w:val="16"/>
              </w:rPr>
            </w:pPr>
            <w:r w:rsidRPr="001B5005">
              <w:rPr>
                <w:rFonts w:cs="Arial"/>
                <w:i/>
                <w:iCs/>
                <w:sz w:val="16"/>
                <w:szCs w:val="16"/>
              </w:rPr>
              <w:t>7.192</w:t>
            </w:r>
          </w:p>
        </w:tc>
        <w:tc>
          <w:tcPr>
            <w:tcW w:w="1043" w:type="dxa"/>
            <w:tcBorders>
              <w:top w:val="nil"/>
              <w:bottom w:val="nil"/>
              <w:right w:val="single" w:sz="2" w:space="0" w:color="A6A6A6" w:themeColor="background1" w:themeShade="A6"/>
            </w:tcBorders>
            <w:vAlign w:val="center"/>
            <w:hideMark/>
          </w:tcPr>
          <w:p w14:paraId="7717B0FF" w14:textId="3BB9F58E" w:rsidR="001B5005" w:rsidRPr="001B5005" w:rsidRDefault="001B5005" w:rsidP="009D02E9">
            <w:pPr>
              <w:spacing w:after="0" w:line="264" w:lineRule="auto"/>
              <w:jc w:val="right"/>
              <w:rPr>
                <w:rFonts w:cs="Arial"/>
                <w:i/>
                <w:iCs/>
                <w:sz w:val="16"/>
                <w:szCs w:val="16"/>
              </w:rPr>
            </w:pPr>
            <w:r w:rsidRPr="001B5005">
              <w:rPr>
                <w:rFonts w:cs="Arial"/>
                <w:i/>
                <w:iCs/>
                <w:sz w:val="16"/>
                <w:szCs w:val="16"/>
              </w:rPr>
              <w:t>0</w:t>
            </w:r>
          </w:p>
        </w:tc>
      </w:tr>
      <w:tr w:rsidR="008C0A0E" w:rsidRPr="00372745" w14:paraId="5D3D3256"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60FD9E4" w14:textId="0293D2AE" w:rsidR="0013576D" w:rsidRPr="00372745" w:rsidRDefault="0013576D" w:rsidP="009D02E9">
            <w:pPr>
              <w:tabs>
                <w:tab w:val="left" w:pos="340"/>
              </w:tabs>
              <w:spacing w:after="0" w:line="264" w:lineRule="auto"/>
              <w:jc w:val="left"/>
              <w:rPr>
                <w:rFonts w:cs="Arial"/>
                <w:b/>
                <w:bCs/>
                <w:sz w:val="16"/>
                <w:szCs w:val="16"/>
              </w:rPr>
            </w:pPr>
            <w:r w:rsidRPr="00372745">
              <w:rPr>
                <w:rFonts w:cs="Arial"/>
                <w:b/>
                <w:bCs/>
                <w:sz w:val="16"/>
                <w:szCs w:val="16"/>
              </w:rPr>
              <w:t>III.</w:t>
            </w:r>
            <w:r w:rsidR="00CD00B4">
              <w:rPr>
                <w:rFonts w:cs="Arial"/>
                <w:b/>
                <w:bCs/>
                <w:sz w:val="16"/>
                <w:szCs w:val="16"/>
              </w:rPr>
              <w:tab/>
            </w:r>
            <w:r w:rsidRPr="00372745">
              <w:rPr>
                <w:rFonts w:cs="Arial"/>
                <w:b/>
                <w:bCs/>
                <w:sz w:val="16"/>
                <w:szCs w:val="16"/>
              </w:rPr>
              <w:t>Ισοζύγιο κρατικού προϋπολογισμού κατά ESA (Ι-ΙI)</w:t>
            </w:r>
          </w:p>
        </w:tc>
        <w:tc>
          <w:tcPr>
            <w:tcW w:w="1034" w:type="dxa"/>
            <w:tcBorders>
              <w:top w:val="nil"/>
              <w:bottom w:val="nil"/>
            </w:tcBorders>
            <w:shd w:val="clear" w:color="auto" w:fill="D5DCE4"/>
            <w:vAlign w:val="center"/>
            <w:hideMark/>
          </w:tcPr>
          <w:p w14:paraId="3926E1FC" w14:textId="7A0AFCF6" w:rsidR="0013576D" w:rsidRPr="0013576D" w:rsidRDefault="0013576D" w:rsidP="009D02E9">
            <w:pPr>
              <w:spacing w:after="0" w:line="264" w:lineRule="auto"/>
              <w:jc w:val="right"/>
              <w:rPr>
                <w:rFonts w:cs="Arial"/>
                <w:b/>
                <w:bCs/>
                <w:sz w:val="16"/>
                <w:szCs w:val="16"/>
              </w:rPr>
            </w:pPr>
            <w:r w:rsidRPr="0013576D">
              <w:rPr>
                <w:rFonts w:cs="Arial"/>
                <w:b/>
                <w:bCs/>
                <w:sz w:val="16"/>
                <w:szCs w:val="16"/>
              </w:rPr>
              <w:t>-1.912</w:t>
            </w:r>
          </w:p>
        </w:tc>
        <w:tc>
          <w:tcPr>
            <w:tcW w:w="1551" w:type="dxa"/>
            <w:tcBorders>
              <w:top w:val="nil"/>
              <w:bottom w:val="nil"/>
            </w:tcBorders>
            <w:shd w:val="clear" w:color="auto" w:fill="D5DCE4"/>
            <w:vAlign w:val="center"/>
            <w:hideMark/>
          </w:tcPr>
          <w:p w14:paraId="23B85871" w14:textId="54D9A1DF" w:rsidR="0013576D" w:rsidRPr="0013576D" w:rsidRDefault="0013576D" w:rsidP="009D02E9">
            <w:pPr>
              <w:spacing w:after="0" w:line="264" w:lineRule="auto"/>
              <w:jc w:val="right"/>
              <w:rPr>
                <w:rFonts w:cs="Arial"/>
                <w:b/>
                <w:bCs/>
                <w:sz w:val="16"/>
                <w:szCs w:val="16"/>
              </w:rPr>
            </w:pPr>
            <w:r w:rsidRPr="0013576D">
              <w:rPr>
                <w:rFonts w:cs="Arial"/>
                <w:b/>
                <w:bCs/>
                <w:sz w:val="16"/>
                <w:szCs w:val="16"/>
              </w:rPr>
              <w:t>-6.810</w:t>
            </w:r>
          </w:p>
        </w:tc>
        <w:tc>
          <w:tcPr>
            <w:tcW w:w="1037" w:type="dxa"/>
            <w:tcBorders>
              <w:top w:val="nil"/>
              <w:bottom w:val="nil"/>
            </w:tcBorders>
            <w:shd w:val="clear" w:color="auto" w:fill="D5DCE4"/>
            <w:vAlign w:val="center"/>
            <w:hideMark/>
          </w:tcPr>
          <w:p w14:paraId="72259CFF" w14:textId="45F85587" w:rsidR="0013576D" w:rsidRPr="0013576D" w:rsidRDefault="0013576D" w:rsidP="009D02E9">
            <w:pPr>
              <w:spacing w:after="0" w:line="264" w:lineRule="auto"/>
              <w:jc w:val="right"/>
              <w:rPr>
                <w:rFonts w:cs="Arial"/>
                <w:b/>
                <w:bCs/>
                <w:sz w:val="16"/>
                <w:szCs w:val="16"/>
              </w:rPr>
            </w:pPr>
            <w:r w:rsidRPr="0013576D">
              <w:rPr>
                <w:rFonts w:cs="Arial"/>
                <w:b/>
                <w:bCs/>
                <w:sz w:val="16"/>
                <w:szCs w:val="16"/>
              </w:rPr>
              <w:t>-5.099</w:t>
            </w:r>
          </w:p>
        </w:tc>
        <w:tc>
          <w:tcPr>
            <w:tcW w:w="1043" w:type="dxa"/>
            <w:tcBorders>
              <w:top w:val="nil"/>
              <w:bottom w:val="nil"/>
              <w:right w:val="single" w:sz="2" w:space="0" w:color="A6A6A6" w:themeColor="background1" w:themeShade="A6"/>
            </w:tcBorders>
            <w:shd w:val="clear" w:color="auto" w:fill="D5DCE4"/>
            <w:vAlign w:val="center"/>
            <w:hideMark/>
          </w:tcPr>
          <w:p w14:paraId="2804DA73" w14:textId="0FC45DD7" w:rsidR="0013576D" w:rsidRPr="0013576D" w:rsidRDefault="0013576D" w:rsidP="009D02E9">
            <w:pPr>
              <w:spacing w:after="0" w:line="264" w:lineRule="auto"/>
              <w:jc w:val="right"/>
              <w:rPr>
                <w:rFonts w:cs="Arial"/>
                <w:b/>
                <w:bCs/>
                <w:sz w:val="16"/>
                <w:szCs w:val="16"/>
              </w:rPr>
            </w:pPr>
            <w:r w:rsidRPr="0013576D">
              <w:rPr>
                <w:rFonts w:cs="Arial"/>
                <w:b/>
                <w:bCs/>
                <w:sz w:val="16"/>
                <w:szCs w:val="16"/>
              </w:rPr>
              <w:t>-6.362</w:t>
            </w:r>
          </w:p>
        </w:tc>
      </w:tr>
      <w:tr w:rsidR="0055125E" w:rsidRPr="00372745" w14:paraId="23103AD0"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0FC0EECD" w14:textId="25324B81" w:rsidR="0013576D"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13576D" w:rsidRPr="00372745">
              <w:rPr>
                <w:rFonts w:cs="Arial"/>
                <w:b/>
                <w:bCs/>
                <w:sz w:val="16"/>
                <w:szCs w:val="16"/>
              </w:rPr>
              <w:t>% ΑΕΠ</w:t>
            </w:r>
          </w:p>
        </w:tc>
        <w:tc>
          <w:tcPr>
            <w:tcW w:w="1034" w:type="dxa"/>
            <w:tcBorders>
              <w:top w:val="nil"/>
              <w:bottom w:val="nil"/>
            </w:tcBorders>
            <w:shd w:val="clear" w:color="auto" w:fill="F2F2F2" w:themeFill="background1" w:themeFillShade="F2"/>
            <w:vAlign w:val="center"/>
            <w:hideMark/>
          </w:tcPr>
          <w:p w14:paraId="7795F4FA" w14:textId="613DF488" w:rsidR="0013576D" w:rsidRPr="0013576D" w:rsidRDefault="0013576D" w:rsidP="009D02E9">
            <w:pPr>
              <w:spacing w:after="0" w:line="264" w:lineRule="auto"/>
              <w:jc w:val="right"/>
              <w:rPr>
                <w:rFonts w:cs="Arial"/>
                <w:b/>
                <w:bCs/>
                <w:sz w:val="16"/>
                <w:szCs w:val="16"/>
              </w:rPr>
            </w:pPr>
            <w:r w:rsidRPr="0013576D">
              <w:rPr>
                <w:rFonts w:cs="Arial"/>
                <w:b/>
                <w:bCs/>
                <w:sz w:val="16"/>
                <w:szCs w:val="16"/>
              </w:rPr>
              <w:t>-0,8%</w:t>
            </w:r>
          </w:p>
        </w:tc>
        <w:tc>
          <w:tcPr>
            <w:tcW w:w="1551" w:type="dxa"/>
            <w:tcBorders>
              <w:top w:val="nil"/>
              <w:bottom w:val="nil"/>
            </w:tcBorders>
            <w:shd w:val="clear" w:color="auto" w:fill="F2F2F2" w:themeFill="background1" w:themeFillShade="F2"/>
            <w:vAlign w:val="center"/>
            <w:hideMark/>
          </w:tcPr>
          <w:p w14:paraId="4EE4181A" w14:textId="0CE9098E" w:rsidR="0013576D" w:rsidRPr="0013576D" w:rsidRDefault="0013576D" w:rsidP="009D02E9">
            <w:pPr>
              <w:spacing w:after="0" w:line="264" w:lineRule="auto"/>
              <w:jc w:val="right"/>
              <w:rPr>
                <w:rFonts w:cs="Arial"/>
                <w:b/>
                <w:bCs/>
                <w:sz w:val="16"/>
                <w:szCs w:val="16"/>
              </w:rPr>
            </w:pPr>
            <w:r w:rsidRPr="0013576D">
              <w:rPr>
                <w:rFonts w:cs="Arial"/>
                <w:b/>
                <w:bCs/>
                <w:sz w:val="16"/>
                <w:szCs w:val="16"/>
              </w:rPr>
              <w:t>-2,6%</w:t>
            </w:r>
          </w:p>
        </w:tc>
        <w:tc>
          <w:tcPr>
            <w:tcW w:w="1037" w:type="dxa"/>
            <w:tcBorders>
              <w:top w:val="nil"/>
              <w:bottom w:val="nil"/>
            </w:tcBorders>
            <w:shd w:val="clear" w:color="auto" w:fill="F2F2F2" w:themeFill="background1" w:themeFillShade="F2"/>
            <w:vAlign w:val="center"/>
            <w:hideMark/>
          </w:tcPr>
          <w:p w14:paraId="1F7D6BE6" w14:textId="681B2DE9" w:rsidR="0013576D" w:rsidRPr="0013576D" w:rsidRDefault="0013576D" w:rsidP="009D02E9">
            <w:pPr>
              <w:spacing w:after="0" w:line="264" w:lineRule="auto"/>
              <w:jc w:val="right"/>
              <w:rPr>
                <w:rFonts w:cs="Arial"/>
                <w:b/>
                <w:bCs/>
                <w:sz w:val="16"/>
                <w:szCs w:val="16"/>
              </w:rPr>
            </w:pPr>
            <w:r w:rsidRPr="0013576D">
              <w:rPr>
                <w:rFonts w:cs="Arial"/>
                <w:b/>
                <w:bCs/>
                <w:sz w:val="16"/>
                <w:szCs w:val="16"/>
              </w:rPr>
              <w:t>-1,9%</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29A110DA" w14:textId="791A2AEA" w:rsidR="0013576D" w:rsidRPr="0013576D" w:rsidRDefault="0013576D" w:rsidP="009D02E9">
            <w:pPr>
              <w:spacing w:after="0" w:line="264" w:lineRule="auto"/>
              <w:jc w:val="right"/>
              <w:rPr>
                <w:rFonts w:cs="Arial"/>
                <w:b/>
                <w:bCs/>
                <w:sz w:val="16"/>
                <w:szCs w:val="16"/>
              </w:rPr>
            </w:pPr>
            <w:r w:rsidRPr="0013576D">
              <w:rPr>
                <w:rFonts w:cs="Arial"/>
                <w:b/>
                <w:bCs/>
                <w:sz w:val="16"/>
                <w:szCs w:val="16"/>
              </w:rPr>
              <w:t>-2,3%</w:t>
            </w:r>
          </w:p>
        </w:tc>
      </w:tr>
      <w:tr w:rsidR="008C0A0E" w:rsidRPr="00372745" w14:paraId="70D0F010"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40ACF935" w14:textId="7195E914" w:rsidR="0013576D" w:rsidRPr="00372745" w:rsidRDefault="0013576D" w:rsidP="009D02E9">
            <w:pPr>
              <w:tabs>
                <w:tab w:val="left" w:pos="340"/>
              </w:tabs>
              <w:spacing w:after="0" w:line="264" w:lineRule="auto"/>
              <w:jc w:val="left"/>
              <w:rPr>
                <w:rFonts w:cs="Arial"/>
                <w:b/>
                <w:bCs/>
                <w:sz w:val="16"/>
                <w:szCs w:val="16"/>
              </w:rPr>
            </w:pPr>
            <w:r w:rsidRPr="00372745">
              <w:rPr>
                <w:rFonts w:cs="Arial"/>
                <w:b/>
                <w:bCs/>
                <w:sz w:val="16"/>
                <w:szCs w:val="16"/>
              </w:rPr>
              <w:t>IV.</w:t>
            </w:r>
            <w:r w:rsidR="00CD00B4">
              <w:rPr>
                <w:rFonts w:cs="Arial"/>
                <w:b/>
                <w:bCs/>
                <w:sz w:val="16"/>
                <w:szCs w:val="16"/>
              </w:rPr>
              <w:tab/>
            </w:r>
            <w:r w:rsidRPr="00372745">
              <w:rPr>
                <w:rFonts w:cs="Arial"/>
                <w:b/>
                <w:bCs/>
                <w:sz w:val="16"/>
                <w:szCs w:val="16"/>
              </w:rPr>
              <w:t xml:space="preserve">Πρωτογενές αποτέλεσμα κρατικού προϋπολογισμού </w:t>
            </w:r>
            <w:r w:rsidR="00CD00B4">
              <w:rPr>
                <w:rFonts w:cs="Arial"/>
                <w:b/>
                <w:bCs/>
                <w:sz w:val="16"/>
                <w:szCs w:val="16"/>
              </w:rPr>
              <w:tab/>
            </w:r>
            <w:r w:rsidRPr="00372745">
              <w:rPr>
                <w:rFonts w:cs="Arial"/>
                <w:b/>
                <w:bCs/>
                <w:sz w:val="16"/>
                <w:szCs w:val="16"/>
              </w:rPr>
              <w:t>κατά ESA</w:t>
            </w:r>
            <w:r w:rsidR="00CD00B4">
              <w:rPr>
                <w:rFonts w:cs="Arial"/>
                <w:b/>
                <w:bCs/>
                <w:sz w:val="16"/>
                <w:szCs w:val="16"/>
              </w:rPr>
              <w:t xml:space="preserve"> </w:t>
            </w:r>
            <w:r w:rsidRPr="00372745">
              <w:rPr>
                <w:rFonts w:cs="Arial"/>
                <w:b/>
                <w:bCs/>
                <w:sz w:val="16"/>
                <w:szCs w:val="16"/>
              </w:rPr>
              <w:t>(III+II.στ-I.ε1)</w:t>
            </w:r>
          </w:p>
        </w:tc>
        <w:tc>
          <w:tcPr>
            <w:tcW w:w="1034" w:type="dxa"/>
            <w:tcBorders>
              <w:top w:val="nil"/>
              <w:bottom w:val="nil"/>
            </w:tcBorders>
            <w:shd w:val="clear" w:color="auto" w:fill="D5DCE4"/>
            <w:vAlign w:val="center"/>
            <w:hideMark/>
          </w:tcPr>
          <w:p w14:paraId="46E13035" w14:textId="59B81AB5" w:rsidR="0013576D" w:rsidRPr="0013576D" w:rsidRDefault="0013576D" w:rsidP="009D02E9">
            <w:pPr>
              <w:spacing w:after="0" w:line="264" w:lineRule="auto"/>
              <w:jc w:val="right"/>
              <w:rPr>
                <w:rFonts w:cs="Arial"/>
                <w:b/>
                <w:bCs/>
                <w:sz w:val="16"/>
                <w:szCs w:val="16"/>
              </w:rPr>
            </w:pPr>
            <w:r w:rsidRPr="0013576D">
              <w:rPr>
                <w:rFonts w:cs="Arial"/>
                <w:b/>
                <w:bCs/>
                <w:sz w:val="16"/>
                <w:szCs w:val="16"/>
              </w:rPr>
              <w:t>7.989</w:t>
            </w:r>
          </w:p>
        </w:tc>
        <w:tc>
          <w:tcPr>
            <w:tcW w:w="1551" w:type="dxa"/>
            <w:tcBorders>
              <w:top w:val="nil"/>
              <w:bottom w:val="nil"/>
            </w:tcBorders>
            <w:shd w:val="clear" w:color="auto" w:fill="D5DCE4"/>
            <w:vAlign w:val="center"/>
            <w:hideMark/>
          </w:tcPr>
          <w:p w14:paraId="480345CF" w14:textId="2EC44532" w:rsidR="0013576D" w:rsidRPr="0013576D" w:rsidRDefault="0013576D" w:rsidP="009D02E9">
            <w:pPr>
              <w:spacing w:after="0" w:line="264" w:lineRule="auto"/>
              <w:jc w:val="right"/>
              <w:rPr>
                <w:rFonts w:cs="Arial"/>
                <w:b/>
                <w:bCs/>
                <w:sz w:val="16"/>
                <w:szCs w:val="16"/>
              </w:rPr>
            </w:pPr>
            <w:r w:rsidRPr="0013576D">
              <w:rPr>
                <w:rFonts w:cs="Arial"/>
                <w:b/>
                <w:bCs/>
                <w:sz w:val="16"/>
                <w:szCs w:val="16"/>
              </w:rPr>
              <w:t>3.005</w:t>
            </w:r>
          </w:p>
        </w:tc>
        <w:tc>
          <w:tcPr>
            <w:tcW w:w="1037" w:type="dxa"/>
            <w:tcBorders>
              <w:top w:val="nil"/>
              <w:bottom w:val="nil"/>
            </w:tcBorders>
            <w:shd w:val="clear" w:color="auto" w:fill="D5DCE4"/>
            <w:vAlign w:val="center"/>
            <w:hideMark/>
          </w:tcPr>
          <w:p w14:paraId="4099E6E6" w14:textId="0FD9E50E" w:rsidR="0013576D" w:rsidRPr="0013576D" w:rsidRDefault="0013576D" w:rsidP="009D02E9">
            <w:pPr>
              <w:spacing w:after="0" w:line="264" w:lineRule="auto"/>
              <w:jc w:val="right"/>
              <w:rPr>
                <w:rFonts w:cs="Arial"/>
                <w:b/>
                <w:bCs/>
                <w:sz w:val="16"/>
                <w:szCs w:val="16"/>
              </w:rPr>
            </w:pPr>
            <w:r w:rsidRPr="0013576D">
              <w:rPr>
                <w:rFonts w:cs="Arial"/>
                <w:b/>
                <w:bCs/>
                <w:sz w:val="16"/>
                <w:szCs w:val="16"/>
              </w:rPr>
              <w:t>5.178</w:t>
            </w:r>
          </w:p>
        </w:tc>
        <w:tc>
          <w:tcPr>
            <w:tcW w:w="1043" w:type="dxa"/>
            <w:tcBorders>
              <w:top w:val="nil"/>
              <w:bottom w:val="nil"/>
              <w:right w:val="single" w:sz="2" w:space="0" w:color="A6A6A6" w:themeColor="background1" w:themeShade="A6"/>
            </w:tcBorders>
            <w:shd w:val="clear" w:color="auto" w:fill="D5DCE4"/>
            <w:vAlign w:val="center"/>
            <w:hideMark/>
          </w:tcPr>
          <w:p w14:paraId="6B3BD115" w14:textId="50AAA40C" w:rsidR="0013576D" w:rsidRPr="0013576D" w:rsidRDefault="0013576D" w:rsidP="009D02E9">
            <w:pPr>
              <w:spacing w:after="0" w:line="264" w:lineRule="auto"/>
              <w:jc w:val="right"/>
              <w:rPr>
                <w:rFonts w:cs="Arial"/>
                <w:b/>
                <w:bCs/>
                <w:sz w:val="16"/>
                <w:szCs w:val="16"/>
              </w:rPr>
            </w:pPr>
            <w:r w:rsidRPr="0013576D">
              <w:rPr>
                <w:rFonts w:cs="Arial"/>
                <w:b/>
                <w:bCs/>
                <w:sz w:val="16"/>
                <w:szCs w:val="16"/>
              </w:rPr>
              <w:t>4.421</w:t>
            </w:r>
          </w:p>
        </w:tc>
      </w:tr>
      <w:tr w:rsidR="0055125E" w:rsidRPr="00372745" w14:paraId="4D9EC1A7"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1A968323" w14:textId="15874D09" w:rsidR="0013576D"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13576D" w:rsidRPr="00372745">
              <w:rPr>
                <w:rFonts w:cs="Arial"/>
                <w:b/>
                <w:bCs/>
                <w:sz w:val="16"/>
                <w:szCs w:val="16"/>
              </w:rPr>
              <w:t>% ΑΕΠ</w:t>
            </w:r>
          </w:p>
        </w:tc>
        <w:tc>
          <w:tcPr>
            <w:tcW w:w="1034" w:type="dxa"/>
            <w:tcBorders>
              <w:top w:val="nil"/>
              <w:bottom w:val="nil"/>
            </w:tcBorders>
            <w:shd w:val="clear" w:color="auto" w:fill="F2F2F2" w:themeFill="background1" w:themeFillShade="F2"/>
            <w:vAlign w:val="center"/>
            <w:hideMark/>
          </w:tcPr>
          <w:p w14:paraId="1B3189CB" w14:textId="4AF6B2BB" w:rsidR="0013576D" w:rsidRPr="0013576D" w:rsidRDefault="0013576D" w:rsidP="009D02E9">
            <w:pPr>
              <w:spacing w:after="0" w:line="264" w:lineRule="auto"/>
              <w:jc w:val="right"/>
              <w:rPr>
                <w:rFonts w:cs="Arial"/>
                <w:b/>
                <w:bCs/>
                <w:sz w:val="16"/>
                <w:szCs w:val="16"/>
              </w:rPr>
            </w:pPr>
            <w:r w:rsidRPr="0013576D">
              <w:rPr>
                <w:rFonts w:cs="Arial"/>
                <w:b/>
                <w:bCs/>
                <w:sz w:val="16"/>
                <w:szCs w:val="16"/>
              </w:rPr>
              <w:t>3,2%</w:t>
            </w:r>
          </w:p>
        </w:tc>
        <w:tc>
          <w:tcPr>
            <w:tcW w:w="1551" w:type="dxa"/>
            <w:tcBorders>
              <w:top w:val="nil"/>
              <w:bottom w:val="nil"/>
            </w:tcBorders>
            <w:shd w:val="clear" w:color="auto" w:fill="F2F2F2" w:themeFill="background1" w:themeFillShade="F2"/>
            <w:vAlign w:val="center"/>
            <w:hideMark/>
          </w:tcPr>
          <w:p w14:paraId="567FED70" w14:textId="561F3841" w:rsidR="0013576D" w:rsidRPr="0013576D" w:rsidRDefault="0013576D" w:rsidP="009D02E9">
            <w:pPr>
              <w:spacing w:after="0" w:line="264" w:lineRule="auto"/>
              <w:jc w:val="right"/>
              <w:rPr>
                <w:rFonts w:cs="Arial"/>
                <w:b/>
                <w:bCs/>
                <w:sz w:val="16"/>
                <w:szCs w:val="16"/>
              </w:rPr>
            </w:pPr>
            <w:r w:rsidRPr="0013576D">
              <w:rPr>
                <w:rFonts w:cs="Arial"/>
                <w:b/>
                <w:bCs/>
                <w:sz w:val="16"/>
                <w:szCs w:val="16"/>
              </w:rPr>
              <w:t>1,2%</w:t>
            </w:r>
          </w:p>
        </w:tc>
        <w:tc>
          <w:tcPr>
            <w:tcW w:w="1037" w:type="dxa"/>
            <w:tcBorders>
              <w:top w:val="nil"/>
              <w:bottom w:val="nil"/>
            </w:tcBorders>
            <w:shd w:val="clear" w:color="auto" w:fill="F2F2F2" w:themeFill="background1" w:themeFillShade="F2"/>
            <w:vAlign w:val="center"/>
            <w:hideMark/>
          </w:tcPr>
          <w:p w14:paraId="04C4C07A" w14:textId="41E26C6E" w:rsidR="0013576D" w:rsidRPr="0013576D" w:rsidRDefault="0013576D" w:rsidP="009D02E9">
            <w:pPr>
              <w:spacing w:after="0" w:line="264" w:lineRule="auto"/>
              <w:jc w:val="right"/>
              <w:rPr>
                <w:rFonts w:cs="Arial"/>
                <w:b/>
                <w:bCs/>
                <w:sz w:val="16"/>
                <w:szCs w:val="16"/>
              </w:rPr>
            </w:pPr>
            <w:r w:rsidRPr="0013576D">
              <w:rPr>
                <w:rFonts w:cs="Arial"/>
                <w:b/>
                <w:bCs/>
                <w:sz w:val="16"/>
                <w:szCs w:val="16"/>
              </w:rPr>
              <w:t>2,0%</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0B18B32F" w14:textId="4861723B" w:rsidR="0013576D" w:rsidRPr="0013576D" w:rsidRDefault="0013576D" w:rsidP="009D02E9">
            <w:pPr>
              <w:spacing w:after="0" w:line="264" w:lineRule="auto"/>
              <w:jc w:val="right"/>
              <w:rPr>
                <w:rFonts w:cs="Arial"/>
                <w:b/>
                <w:bCs/>
                <w:sz w:val="16"/>
                <w:szCs w:val="16"/>
              </w:rPr>
            </w:pPr>
            <w:r w:rsidRPr="0013576D">
              <w:rPr>
                <w:rFonts w:cs="Arial"/>
                <w:b/>
                <w:bCs/>
                <w:sz w:val="16"/>
                <w:szCs w:val="16"/>
              </w:rPr>
              <w:t>1,6%</w:t>
            </w:r>
          </w:p>
        </w:tc>
      </w:tr>
      <w:tr w:rsidR="008C0A0E" w:rsidRPr="00372745" w14:paraId="1AA553AA"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33DC4F8" w14:textId="77F25E75" w:rsidR="00E85A83" w:rsidRPr="00372745" w:rsidRDefault="00E85A83" w:rsidP="009D02E9">
            <w:pPr>
              <w:tabs>
                <w:tab w:val="left" w:pos="340"/>
              </w:tabs>
              <w:spacing w:after="0" w:line="264" w:lineRule="auto"/>
              <w:jc w:val="left"/>
              <w:rPr>
                <w:rFonts w:cs="Arial"/>
                <w:b/>
                <w:bCs/>
                <w:sz w:val="16"/>
                <w:szCs w:val="16"/>
              </w:rPr>
            </w:pPr>
            <w:r w:rsidRPr="00372745">
              <w:rPr>
                <w:rFonts w:cs="Arial"/>
                <w:b/>
                <w:bCs/>
                <w:sz w:val="16"/>
                <w:szCs w:val="16"/>
              </w:rPr>
              <w:t>V.</w:t>
            </w:r>
            <w:r w:rsidR="00CD00B4">
              <w:rPr>
                <w:rFonts w:cs="Arial"/>
                <w:b/>
                <w:bCs/>
                <w:sz w:val="16"/>
                <w:szCs w:val="16"/>
              </w:rPr>
              <w:tab/>
            </w:r>
            <w:r w:rsidRPr="00372745">
              <w:rPr>
                <w:rFonts w:cs="Arial"/>
                <w:b/>
                <w:bCs/>
                <w:sz w:val="16"/>
                <w:szCs w:val="16"/>
              </w:rPr>
              <w:t>Ισοζύγιο νομικών προσώπων κατά ESA</w:t>
            </w:r>
          </w:p>
        </w:tc>
        <w:tc>
          <w:tcPr>
            <w:tcW w:w="1034" w:type="dxa"/>
            <w:tcBorders>
              <w:top w:val="nil"/>
              <w:bottom w:val="nil"/>
            </w:tcBorders>
            <w:shd w:val="clear" w:color="auto" w:fill="D5DCE4"/>
            <w:vAlign w:val="center"/>
          </w:tcPr>
          <w:p w14:paraId="03BA4C9E" w14:textId="5F8A15D7" w:rsidR="00E85A83" w:rsidRPr="00E85A83" w:rsidRDefault="00E85A83" w:rsidP="009D02E9">
            <w:pPr>
              <w:spacing w:after="0" w:line="264" w:lineRule="auto"/>
              <w:jc w:val="right"/>
              <w:rPr>
                <w:rFonts w:cs="Arial"/>
                <w:b/>
                <w:bCs/>
                <w:sz w:val="16"/>
                <w:szCs w:val="16"/>
              </w:rPr>
            </w:pPr>
            <w:r w:rsidRPr="00E85A83">
              <w:rPr>
                <w:rFonts w:cs="Arial"/>
                <w:b/>
                <w:bCs/>
                <w:sz w:val="16"/>
                <w:szCs w:val="16"/>
              </w:rPr>
              <w:t>4.079</w:t>
            </w:r>
          </w:p>
        </w:tc>
        <w:tc>
          <w:tcPr>
            <w:tcW w:w="1551" w:type="dxa"/>
            <w:tcBorders>
              <w:top w:val="nil"/>
              <w:bottom w:val="nil"/>
            </w:tcBorders>
            <w:shd w:val="clear" w:color="auto" w:fill="D5DCE4"/>
            <w:vAlign w:val="center"/>
          </w:tcPr>
          <w:p w14:paraId="1D19F9CE" w14:textId="4F74AFF2" w:rsidR="00E85A83" w:rsidRPr="00E85A83" w:rsidRDefault="00E85A83" w:rsidP="009D02E9">
            <w:pPr>
              <w:spacing w:after="0" w:line="264" w:lineRule="auto"/>
              <w:jc w:val="right"/>
              <w:rPr>
                <w:rFonts w:cs="Arial"/>
                <w:b/>
                <w:bCs/>
                <w:sz w:val="16"/>
                <w:szCs w:val="16"/>
              </w:rPr>
            </w:pPr>
            <w:r w:rsidRPr="00E85A83">
              <w:rPr>
                <w:rFonts w:cs="Arial"/>
                <w:b/>
                <w:bCs/>
                <w:sz w:val="16"/>
                <w:szCs w:val="16"/>
              </w:rPr>
              <w:t>3.932</w:t>
            </w:r>
          </w:p>
        </w:tc>
        <w:tc>
          <w:tcPr>
            <w:tcW w:w="1037" w:type="dxa"/>
            <w:tcBorders>
              <w:top w:val="nil"/>
              <w:bottom w:val="nil"/>
            </w:tcBorders>
            <w:shd w:val="clear" w:color="auto" w:fill="D5DCE4"/>
            <w:vAlign w:val="center"/>
          </w:tcPr>
          <w:p w14:paraId="0891145A" w14:textId="4A8EC4C2" w:rsidR="00E85A83" w:rsidRPr="00E85A83" w:rsidRDefault="00E85A83" w:rsidP="009D02E9">
            <w:pPr>
              <w:spacing w:after="0" w:line="264" w:lineRule="auto"/>
              <w:jc w:val="right"/>
              <w:rPr>
                <w:rFonts w:cs="Arial"/>
                <w:b/>
                <w:bCs/>
                <w:sz w:val="16"/>
                <w:szCs w:val="16"/>
              </w:rPr>
            </w:pPr>
            <w:r w:rsidRPr="00E85A83">
              <w:rPr>
                <w:rFonts w:cs="Arial"/>
                <w:b/>
                <w:bCs/>
                <w:sz w:val="16"/>
                <w:szCs w:val="16"/>
              </w:rPr>
              <w:t>4.521</w:t>
            </w:r>
          </w:p>
        </w:tc>
        <w:tc>
          <w:tcPr>
            <w:tcW w:w="1043" w:type="dxa"/>
            <w:tcBorders>
              <w:top w:val="nil"/>
              <w:bottom w:val="nil"/>
              <w:right w:val="single" w:sz="2" w:space="0" w:color="A6A6A6" w:themeColor="background1" w:themeShade="A6"/>
            </w:tcBorders>
            <w:shd w:val="clear" w:color="auto" w:fill="D5DCE4"/>
            <w:vAlign w:val="center"/>
          </w:tcPr>
          <w:p w14:paraId="40C6833B" w14:textId="621F2B41" w:rsidR="00E85A83" w:rsidRPr="00E85A83" w:rsidRDefault="00E85A83" w:rsidP="009D02E9">
            <w:pPr>
              <w:spacing w:after="0" w:line="264" w:lineRule="auto"/>
              <w:jc w:val="right"/>
              <w:rPr>
                <w:rFonts w:cs="Arial"/>
                <w:b/>
                <w:bCs/>
                <w:sz w:val="16"/>
                <w:szCs w:val="16"/>
              </w:rPr>
            </w:pPr>
            <w:r w:rsidRPr="00E85A83">
              <w:rPr>
                <w:rFonts w:cs="Arial"/>
                <w:b/>
                <w:bCs/>
                <w:sz w:val="16"/>
                <w:szCs w:val="16"/>
              </w:rPr>
              <w:t>4.026</w:t>
            </w:r>
          </w:p>
        </w:tc>
      </w:tr>
      <w:tr w:rsidR="008C0A0E" w:rsidRPr="00372745" w14:paraId="79600E8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3876371" w14:textId="36688E63" w:rsidR="00E85A83"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85A83" w:rsidRPr="00372745">
              <w:rPr>
                <w:rFonts w:cs="Arial"/>
                <w:b/>
                <w:bCs/>
                <w:sz w:val="16"/>
                <w:szCs w:val="16"/>
              </w:rPr>
              <w:t>Έσοδα</w:t>
            </w:r>
          </w:p>
        </w:tc>
        <w:tc>
          <w:tcPr>
            <w:tcW w:w="1034" w:type="dxa"/>
            <w:tcBorders>
              <w:top w:val="nil"/>
              <w:bottom w:val="nil"/>
            </w:tcBorders>
            <w:vAlign w:val="center"/>
          </w:tcPr>
          <w:p w14:paraId="0BFED938" w14:textId="60CB4237" w:rsidR="00E85A83" w:rsidRPr="00E85A83" w:rsidRDefault="00E85A83" w:rsidP="009D02E9">
            <w:pPr>
              <w:spacing w:after="0" w:line="264" w:lineRule="auto"/>
              <w:jc w:val="right"/>
              <w:rPr>
                <w:rFonts w:cs="Arial"/>
                <w:b/>
                <w:bCs/>
                <w:sz w:val="16"/>
                <w:szCs w:val="16"/>
              </w:rPr>
            </w:pPr>
            <w:r w:rsidRPr="00E85A83">
              <w:rPr>
                <w:rFonts w:cs="Arial"/>
                <w:b/>
                <w:bCs/>
                <w:sz w:val="16"/>
                <w:szCs w:val="16"/>
              </w:rPr>
              <w:t>16.303</w:t>
            </w:r>
          </w:p>
        </w:tc>
        <w:tc>
          <w:tcPr>
            <w:tcW w:w="1551" w:type="dxa"/>
            <w:tcBorders>
              <w:top w:val="nil"/>
              <w:bottom w:val="nil"/>
            </w:tcBorders>
            <w:vAlign w:val="center"/>
          </w:tcPr>
          <w:p w14:paraId="4ADFF3CA" w14:textId="70B81D81" w:rsidR="00E85A83" w:rsidRPr="00E85A83" w:rsidRDefault="00E85A83" w:rsidP="009D02E9">
            <w:pPr>
              <w:spacing w:after="0" w:line="264" w:lineRule="auto"/>
              <w:jc w:val="right"/>
              <w:rPr>
                <w:rFonts w:cs="Arial"/>
                <w:b/>
                <w:bCs/>
                <w:sz w:val="16"/>
                <w:szCs w:val="16"/>
              </w:rPr>
            </w:pPr>
            <w:r w:rsidRPr="00E85A83">
              <w:rPr>
                <w:rFonts w:cs="Arial"/>
                <w:b/>
                <w:bCs/>
                <w:sz w:val="16"/>
                <w:szCs w:val="16"/>
              </w:rPr>
              <w:t>16.937</w:t>
            </w:r>
          </w:p>
        </w:tc>
        <w:tc>
          <w:tcPr>
            <w:tcW w:w="1037" w:type="dxa"/>
            <w:tcBorders>
              <w:top w:val="nil"/>
              <w:bottom w:val="nil"/>
            </w:tcBorders>
            <w:vAlign w:val="center"/>
          </w:tcPr>
          <w:p w14:paraId="0C9859F0" w14:textId="6250E2C9" w:rsidR="00E85A83" w:rsidRPr="00E85A83" w:rsidRDefault="00E85A83" w:rsidP="009D02E9">
            <w:pPr>
              <w:spacing w:after="0" w:line="264" w:lineRule="auto"/>
              <w:jc w:val="right"/>
              <w:rPr>
                <w:rFonts w:cs="Arial"/>
                <w:b/>
                <w:bCs/>
                <w:sz w:val="16"/>
                <w:szCs w:val="16"/>
              </w:rPr>
            </w:pPr>
            <w:r w:rsidRPr="00E85A83">
              <w:rPr>
                <w:rFonts w:cs="Arial"/>
                <w:b/>
                <w:bCs/>
                <w:sz w:val="16"/>
                <w:szCs w:val="16"/>
              </w:rPr>
              <w:t>17.254</w:t>
            </w:r>
          </w:p>
        </w:tc>
        <w:tc>
          <w:tcPr>
            <w:tcW w:w="1043" w:type="dxa"/>
            <w:tcBorders>
              <w:top w:val="nil"/>
              <w:bottom w:val="nil"/>
              <w:right w:val="single" w:sz="2" w:space="0" w:color="A6A6A6" w:themeColor="background1" w:themeShade="A6"/>
            </w:tcBorders>
            <w:vAlign w:val="center"/>
          </w:tcPr>
          <w:p w14:paraId="4BBEFF97" w14:textId="54191BD9" w:rsidR="00E85A83" w:rsidRPr="00E85A83" w:rsidRDefault="00E85A83" w:rsidP="009D02E9">
            <w:pPr>
              <w:spacing w:after="0" w:line="264" w:lineRule="auto"/>
              <w:jc w:val="right"/>
              <w:rPr>
                <w:rFonts w:cs="Arial"/>
                <w:b/>
                <w:bCs/>
                <w:sz w:val="16"/>
                <w:szCs w:val="16"/>
              </w:rPr>
            </w:pPr>
            <w:r w:rsidRPr="00E85A83">
              <w:rPr>
                <w:rFonts w:cs="Arial"/>
                <w:b/>
                <w:bCs/>
                <w:sz w:val="16"/>
                <w:szCs w:val="16"/>
              </w:rPr>
              <w:t>15.411</w:t>
            </w:r>
          </w:p>
        </w:tc>
      </w:tr>
      <w:tr w:rsidR="008C0A0E" w:rsidRPr="00372745" w14:paraId="48BD3FA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51B6175" w14:textId="14979094"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 xml:space="preserve">Τρέχουσες </w:t>
            </w:r>
            <w:r w:rsidR="00E85A83">
              <w:rPr>
                <w:rFonts w:cs="Arial"/>
                <w:sz w:val="16"/>
                <w:szCs w:val="16"/>
              </w:rPr>
              <w:t>και</w:t>
            </w:r>
            <w:r w:rsidR="00E85A83"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3676B9B8" w14:textId="624E4413" w:rsidR="00E85A83" w:rsidRPr="00E85A83" w:rsidRDefault="00E85A83" w:rsidP="009D02E9">
            <w:pPr>
              <w:spacing w:after="0" w:line="264" w:lineRule="auto"/>
              <w:jc w:val="right"/>
              <w:rPr>
                <w:rFonts w:cs="Arial"/>
                <w:sz w:val="16"/>
                <w:szCs w:val="16"/>
              </w:rPr>
            </w:pPr>
            <w:r w:rsidRPr="00E85A83">
              <w:rPr>
                <w:rFonts w:cs="Arial"/>
                <w:sz w:val="16"/>
                <w:szCs w:val="16"/>
              </w:rPr>
              <w:t>6.498</w:t>
            </w:r>
          </w:p>
        </w:tc>
        <w:tc>
          <w:tcPr>
            <w:tcW w:w="1551" w:type="dxa"/>
            <w:tcBorders>
              <w:top w:val="nil"/>
              <w:bottom w:val="nil"/>
            </w:tcBorders>
            <w:vAlign w:val="center"/>
          </w:tcPr>
          <w:p w14:paraId="03BF9732" w14:textId="6F966A7C" w:rsidR="00E85A83" w:rsidRPr="00E85A83" w:rsidRDefault="00E85A83" w:rsidP="009D02E9">
            <w:pPr>
              <w:spacing w:after="0" w:line="264" w:lineRule="auto"/>
              <w:jc w:val="right"/>
              <w:rPr>
                <w:rFonts w:cs="Arial"/>
                <w:sz w:val="16"/>
                <w:szCs w:val="16"/>
              </w:rPr>
            </w:pPr>
            <w:r w:rsidRPr="00E85A83">
              <w:rPr>
                <w:rFonts w:cs="Arial"/>
                <w:sz w:val="16"/>
                <w:szCs w:val="16"/>
              </w:rPr>
              <w:t>7.069</w:t>
            </w:r>
          </w:p>
        </w:tc>
        <w:tc>
          <w:tcPr>
            <w:tcW w:w="1037" w:type="dxa"/>
            <w:tcBorders>
              <w:top w:val="nil"/>
              <w:bottom w:val="nil"/>
            </w:tcBorders>
            <w:vAlign w:val="center"/>
          </w:tcPr>
          <w:p w14:paraId="68181A59" w14:textId="7880123A" w:rsidR="00E85A83" w:rsidRPr="00E85A83" w:rsidRDefault="00E85A83" w:rsidP="009D02E9">
            <w:pPr>
              <w:spacing w:after="0" w:line="264" w:lineRule="auto"/>
              <w:jc w:val="right"/>
              <w:rPr>
                <w:rFonts w:cs="Arial"/>
                <w:sz w:val="16"/>
                <w:szCs w:val="16"/>
              </w:rPr>
            </w:pPr>
            <w:r w:rsidRPr="00E85A83">
              <w:rPr>
                <w:rFonts w:cs="Arial"/>
                <w:sz w:val="16"/>
                <w:szCs w:val="16"/>
              </w:rPr>
              <w:t>6.956</w:t>
            </w:r>
          </w:p>
        </w:tc>
        <w:tc>
          <w:tcPr>
            <w:tcW w:w="1043" w:type="dxa"/>
            <w:tcBorders>
              <w:top w:val="nil"/>
              <w:bottom w:val="nil"/>
              <w:right w:val="single" w:sz="2" w:space="0" w:color="A6A6A6" w:themeColor="background1" w:themeShade="A6"/>
            </w:tcBorders>
            <w:vAlign w:val="center"/>
          </w:tcPr>
          <w:p w14:paraId="7FB7C994" w14:textId="64482C96" w:rsidR="00E85A83" w:rsidRPr="00E85A83" w:rsidRDefault="00E85A83" w:rsidP="009D02E9">
            <w:pPr>
              <w:spacing w:after="0" w:line="264" w:lineRule="auto"/>
              <w:jc w:val="right"/>
              <w:rPr>
                <w:rFonts w:cs="Arial"/>
                <w:sz w:val="16"/>
                <w:szCs w:val="16"/>
              </w:rPr>
            </w:pPr>
            <w:r w:rsidRPr="00E85A83">
              <w:rPr>
                <w:rFonts w:cs="Arial"/>
                <w:sz w:val="16"/>
                <w:szCs w:val="16"/>
              </w:rPr>
              <w:t>5.327</w:t>
            </w:r>
          </w:p>
        </w:tc>
      </w:tr>
      <w:tr w:rsidR="008C0A0E" w:rsidRPr="00372745" w14:paraId="5B415C9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F3EEFE9" w14:textId="1DAB931F"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Τόκοι πιστωτικοί</w:t>
            </w:r>
          </w:p>
        </w:tc>
        <w:tc>
          <w:tcPr>
            <w:tcW w:w="1034" w:type="dxa"/>
            <w:tcBorders>
              <w:top w:val="nil"/>
              <w:bottom w:val="nil"/>
            </w:tcBorders>
            <w:vAlign w:val="center"/>
          </w:tcPr>
          <w:p w14:paraId="4C86911D" w14:textId="3FE35786" w:rsidR="00E85A83" w:rsidRPr="00E85A83" w:rsidRDefault="00E85A83" w:rsidP="009D02E9">
            <w:pPr>
              <w:spacing w:after="0" w:line="264" w:lineRule="auto"/>
              <w:jc w:val="right"/>
              <w:rPr>
                <w:rFonts w:cs="Arial"/>
                <w:sz w:val="16"/>
                <w:szCs w:val="16"/>
              </w:rPr>
            </w:pPr>
            <w:r w:rsidRPr="00E85A83">
              <w:rPr>
                <w:rFonts w:cs="Arial"/>
                <w:sz w:val="16"/>
                <w:szCs w:val="16"/>
              </w:rPr>
              <w:t>1.864</w:t>
            </w:r>
          </w:p>
        </w:tc>
        <w:tc>
          <w:tcPr>
            <w:tcW w:w="1551" w:type="dxa"/>
            <w:tcBorders>
              <w:top w:val="nil"/>
              <w:bottom w:val="nil"/>
            </w:tcBorders>
            <w:vAlign w:val="center"/>
          </w:tcPr>
          <w:p w14:paraId="6179ECB6" w14:textId="0FA19224" w:rsidR="00E85A83" w:rsidRPr="00E85A83" w:rsidRDefault="00E85A83" w:rsidP="009D02E9">
            <w:pPr>
              <w:spacing w:after="0" w:line="264" w:lineRule="auto"/>
              <w:jc w:val="right"/>
              <w:rPr>
                <w:rFonts w:cs="Arial"/>
                <w:sz w:val="16"/>
                <w:szCs w:val="16"/>
              </w:rPr>
            </w:pPr>
            <w:r w:rsidRPr="00E85A83">
              <w:rPr>
                <w:rFonts w:cs="Arial"/>
                <w:sz w:val="16"/>
                <w:szCs w:val="16"/>
              </w:rPr>
              <w:t>1.625</w:t>
            </w:r>
          </w:p>
        </w:tc>
        <w:tc>
          <w:tcPr>
            <w:tcW w:w="1037" w:type="dxa"/>
            <w:tcBorders>
              <w:top w:val="nil"/>
              <w:bottom w:val="nil"/>
            </w:tcBorders>
            <w:vAlign w:val="center"/>
          </w:tcPr>
          <w:p w14:paraId="1D7AE087" w14:textId="4470161E" w:rsidR="00E85A83" w:rsidRPr="00E85A83" w:rsidRDefault="00E85A83" w:rsidP="009D02E9">
            <w:pPr>
              <w:spacing w:after="0" w:line="264" w:lineRule="auto"/>
              <w:jc w:val="right"/>
              <w:rPr>
                <w:rFonts w:cs="Arial"/>
                <w:sz w:val="16"/>
                <w:szCs w:val="16"/>
              </w:rPr>
            </w:pPr>
            <w:r w:rsidRPr="00E85A83">
              <w:rPr>
                <w:rFonts w:cs="Arial"/>
                <w:sz w:val="16"/>
                <w:szCs w:val="16"/>
              </w:rPr>
              <w:t>1.830</w:t>
            </w:r>
          </w:p>
        </w:tc>
        <w:tc>
          <w:tcPr>
            <w:tcW w:w="1043" w:type="dxa"/>
            <w:tcBorders>
              <w:top w:val="nil"/>
              <w:bottom w:val="nil"/>
              <w:right w:val="single" w:sz="2" w:space="0" w:color="A6A6A6" w:themeColor="background1" w:themeShade="A6"/>
            </w:tcBorders>
            <w:vAlign w:val="center"/>
          </w:tcPr>
          <w:p w14:paraId="0E046FCA" w14:textId="1B0D48BA" w:rsidR="00E85A83" w:rsidRPr="00E85A83" w:rsidRDefault="00E85A83" w:rsidP="009D02E9">
            <w:pPr>
              <w:spacing w:after="0" w:line="264" w:lineRule="auto"/>
              <w:jc w:val="right"/>
              <w:rPr>
                <w:rFonts w:cs="Arial"/>
                <w:sz w:val="16"/>
                <w:szCs w:val="16"/>
              </w:rPr>
            </w:pPr>
            <w:r w:rsidRPr="00E85A83">
              <w:rPr>
                <w:rFonts w:cs="Arial"/>
                <w:sz w:val="16"/>
                <w:szCs w:val="16"/>
              </w:rPr>
              <w:t>1.852</w:t>
            </w:r>
          </w:p>
        </w:tc>
      </w:tr>
      <w:tr w:rsidR="008C0A0E" w:rsidRPr="00372745" w14:paraId="1335932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5890BC0" w14:textId="5A37BE9D"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Φόροι</w:t>
            </w:r>
          </w:p>
        </w:tc>
        <w:tc>
          <w:tcPr>
            <w:tcW w:w="1034" w:type="dxa"/>
            <w:tcBorders>
              <w:top w:val="nil"/>
              <w:bottom w:val="nil"/>
            </w:tcBorders>
            <w:vAlign w:val="center"/>
          </w:tcPr>
          <w:p w14:paraId="2594C63A" w14:textId="67ABDA84" w:rsidR="00E85A83" w:rsidRPr="00E85A83" w:rsidRDefault="00E85A83" w:rsidP="009D02E9">
            <w:pPr>
              <w:spacing w:after="0" w:line="264" w:lineRule="auto"/>
              <w:jc w:val="right"/>
              <w:rPr>
                <w:rFonts w:cs="Arial"/>
                <w:sz w:val="16"/>
                <w:szCs w:val="16"/>
              </w:rPr>
            </w:pPr>
            <w:r w:rsidRPr="00E85A83">
              <w:rPr>
                <w:rFonts w:cs="Arial"/>
                <w:sz w:val="16"/>
                <w:szCs w:val="16"/>
              </w:rPr>
              <w:t>3.376</w:t>
            </w:r>
          </w:p>
        </w:tc>
        <w:tc>
          <w:tcPr>
            <w:tcW w:w="1551" w:type="dxa"/>
            <w:tcBorders>
              <w:top w:val="nil"/>
              <w:bottom w:val="nil"/>
            </w:tcBorders>
            <w:vAlign w:val="center"/>
          </w:tcPr>
          <w:p w14:paraId="5785741D" w14:textId="46EAD6B7" w:rsidR="00E85A83" w:rsidRPr="00E85A83" w:rsidRDefault="00E85A83" w:rsidP="009D02E9">
            <w:pPr>
              <w:spacing w:after="0" w:line="264" w:lineRule="auto"/>
              <w:jc w:val="right"/>
              <w:rPr>
                <w:rFonts w:cs="Arial"/>
                <w:sz w:val="16"/>
                <w:szCs w:val="16"/>
              </w:rPr>
            </w:pPr>
            <w:r w:rsidRPr="00E85A83">
              <w:rPr>
                <w:rFonts w:cs="Arial"/>
                <w:sz w:val="16"/>
                <w:szCs w:val="16"/>
              </w:rPr>
              <w:t>3.457</w:t>
            </w:r>
          </w:p>
        </w:tc>
        <w:tc>
          <w:tcPr>
            <w:tcW w:w="1037" w:type="dxa"/>
            <w:tcBorders>
              <w:top w:val="nil"/>
              <w:bottom w:val="nil"/>
            </w:tcBorders>
            <w:vAlign w:val="center"/>
          </w:tcPr>
          <w:p w14:paraId="35C45C98" w14:textId="3A3BFF60" w:rsidR="00E85A83" w:rsidRPr="00E85A83" w:rsidRDefault="00E85A83" w:rsidP="009D02E9">
            <w:pPr>
              <w:spacing w:after="0" w:line="264" w:lineRule="auto"/>
              <w:jc w:val="right"/>
              <w:rPr>
                <w:rFonts w:cs="Arial"/>
                <w:sz w:val="16"/>
                <w:szCs w:val="16"/>
              </w:rPr>
            </w:pPr>
            <w:r w:rsidRPr="00E85A83">
              <w:rPr>
                <w:rFonts w:cs="Arial"/>
                <w:sz w:val="16"/>
                <w:szCs w:val="16"/>
              </w:rPr>
              <w:t>3.627</w:t>
            </w:r>
          </w:p>
        </w:tc>
        <w:tc>
          <w:tcPr>
            <w:tcW w:w="1043" w:type="dxa"/>
            <w:tcBorders>
              <w:top w:val="nil"/>
              <w:bottom w:val="nil"/>
              <w:right w:val="single" w:sz="2" w:space="0" w:color="A6A6A6" w:themeColor="background1" w:themeShade="A6"/>
            </w:tcBorders>
            <w:vAlign w:val="center"/>
          </w:tcPr>
          <w:p w14:paraId="492107D0" w14:textId="2AC0D7FF" w:rsidR="00E85A83" w:rsidRPr="00E85A83" w:rsidRDefault="00E85A83" w:rsidP="009D02E9">
            <w:pPr>
              <w:spacing w:after="0" w:line="264" w:lineRule="auto"/>
              <w:jc w:val="right"/>
              <w:rPr>
                <w:rFonts w:cs="Arial"/>
                <w:sz w:val="16"/>
                <w:szCs w:val="16"/>
              </w:rPr>
            </w:pPr>
            <w:r w:rsidRPr="00E85A83">
              <w:rPr>
                <w:rFonts w:cs="Arial"/>
                <w:sz w:val="16"/>
                <w:szCs w:val="16"/>
              </w:rPr>
              <w:t>3.634</w:t>
            </w:r>
          </w:p>
        </w:tc>
      </w:tr>
      <w:tr w:rsidR="008C0A0E" w:rsidRPr="00372745" w14:paraId="01BF59FB"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00A8CD04" w14:textId="27986946"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Λοιπά έσοδα</w:t>
            </w:r>
          </w:p>
        </w:tc>
        <w:tc>
          <w:tcPr>
            <w:tcW w:w="1034" w:type="dxa"/>
            <w:tcBorders>
              <w:top w:val="nil"/>
              <w:bottom w:val="nil"/>
            </w:tcBorders>
            <w:vAlign w:val="center"/>
          </w:tcPr>
          <w:p w14:paraId="66CDB3CB" w14:textId="432B2E79" w:rsidR="00E85A83" w:rsidRPr="00E85A83" w:rsidRDefault="00E85A83" w:rsidP="009D02E9">
            <w:pPr>
              <w:spacing w:after="0" w:line="264" w:lineRule="auto"/>
              <w:jc w:val="right"/>
              <w:rPr>
                <w:rFonts w:cs="Arial"/>
                <w:sz w:val="16"/>
                <w:szCs w:val="16"/>
              </w:rPr>
            </w:pPr>
            <w:r w:rsidRPr="00E85A83">
              <w:rPr>
                <w:rFonts w:cs="Arial"/>
                <w:sz w:val="16"/>
                <w:szCs w:val="16"/>
              </w:rPr>
              <w:t>4.565</w:t>
            </w:r>
          </w:p>
        </w:tc>
        <w:tc>
          <w:tcPr>
            <w:tcW w:w="1551" w:type="dxa"/>
            <w:tcBorders>
              <w:top w:val="nil"/>
              <w:bottom w:val="nil"/>
            </w:tcBorders>
            <w:vAlign w:val="center"/>
          </w:tcPr>
          <w:p w14:paraId="7C776C6D" w14:textId="6AA2B3D1" w:rsidR="00E85A83" w:rsidRPr="00E85A83" w:rsidRDefault="00E85A83" w:rsidP="009D02E9">
            <w:pPr>
              <w:spacing w:after="0" w:line="264" w:lineRule="auto"/>
              <w:jc w:val="right"/>
              <w:rPr>
                <w:rFonts w:cs="Arial"/>
                <w:sz w:val="16"/>
                <w:szCs w:val="16"/>
              </w:rPr>
            </w:pPr>
            <w:r w:rsidRPr="00E85A83">
              <w:rPr>
                <w:rFonts w:cs="Arial"/>
                <w:sz w:val="16"/>
                <w:szCs w:val="16"/>
              </w:rPr>
              <w:t>4.786</w:t>
            </w:r>
          </w:p>
        </w:tc>
        <w:tc>
          <w:tcPr>
            <w:tcW w:w="1037" w:type="dxa"/>
            <w:tcBorders>
              <w:top w:val="nil"/>
              <w:bottom w:val="nil"/>
            </w:tcBorders>
            <w:vAlign w:val="center"/>
          </w:tcPr>
          <w:p w14:paraId="0C879CAB" w14:textId="7ED94D49" w:rsidR="00E85A83" w:rsidRPr="00E85A83" w:rsidRDefault="00E85A83" w:rsidP="009D02E9">
            <w:pPr>
              <w:spacing w:after="0" w:line="264" w:lineRule="auto"/>
              <w:jc w:val="right"/>
              <w:rPr>
                <w:rFonts w:cs="Arial"/>
                <w:sz w:val="16"/>
                <w:szCs w:val="16"/>
              </w:rPr>
            </w:pPr>
            <w:r w:rsidRPr="00E85A83">
              <w:rPr>
                <w:rFonts w:cs="Arial"/>
                <w:sz w:val="16"/>
                <w:szCs w:val="16"/>
              </w:rPr>
              <w:t>4.842</w:t>
            </w:r>
          </w:p>
        </w:tc>
        <w:tc>
          <w:tcPr>
            <w:tcW w:w="1043" w:type="dxa"/>
            <w:tcBorders>
              <w:top w:val="nil"/>
              <w:bottom w:val="nil"/>
              <w:right w:val="single" w:sz="2" w:space="0" w:color="A6A6A6" w:themeColor="background1" w:themeShade="A6"/>
            </w:tcBorders>
            <w:vAlign w:val="center"/>
          </w:tcPr>
          <w:p w14:paraId="49920464" w14:textId="7176ED17" w:rsidR="00E85A83" w:rsidRPr="00E85A83" w:rsidRDefault="00E85A83" w:rsidP="009D02E9">
            <w:pPr>
              <w:spacing w:after="0" w:line="264" w:lineRule="auto"/>
              <w:jc w:val="right"/>
              <w:rPr>
                <w:rFonts w:cs="Arial"/>
                <w:sz w:val="16"/>
                <w:szCs w:val="16"/>
              </w:rPr>
            </w:pPr>
            <w:r w:rsidRPr="00E85A83">
              <w:rPr>
                <w:rFonts w:cs="Arial"/>
                <w:sz w:val="16"/>
                <w:szCs w:val="16"/>
              </w:rPr>
              <w:t>4.598</w:t>
            </w:r>
          </w:p>
        </w:tc>
      </w:tr>
      <w:tr w:rsidR="008C0A0E" w:rsidRPr="00372745" w14:paraId="5346991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4EBAA02" w14:textId="1D0B6CE9" w:rsidR="00E85A83"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85A83" w:rsidRPr="00372745">
              <w:rPr>
                <w:rFonts w:cs="Arial"/>
                <w:b/>
                <w:bCs/>
                <w:sz w:val="16"/>
                <w:szCs w:val="16"/>
              </w:rPr>
              <w:t>Έξοδα</w:t>
            </w:r>
          </w:p>
        </w:tc>
        <w:tc>
          <w:tcPr>
            <w:tcW w:w="1034" w:type="dxa"/>
            <w:tcBorders>
              <w:top w:val="nil"/>
              <w:bottom w:val="nil"/>
            </w:tcBorders>
            <w:vAlign w:val="center"/>
          </w:tcPr>
          <w:p w14:paraId="7FE5CE90" w14:textId="7A728A0E" w:rsidR="00E85A83" w:rsidRPr="00E85A83" w:rsidRDefault="00E85A83" w:rsidP="009D02E9">
            <w:pPr>
              <w:spacing w:after="0" w:line="264" w:lineRule="auto"/>
              <w:jc w:val="right"/>
              <w:rPr>
                <w:rFonts w:cs="Arial"/>
                <w:b/>
                <w:bCs/>
                <w:sz w:val="16"/>
                <w:szCs w:val="16"/>
              </w:rPr>
            </w:pPr>
            <w:r w:rsidRPr="00E85A83">
              <w:rPr>
                <w:rFonts w:cs="Arial"/>
                <w:b/>
                <w:bCs/>
                <w:sz w:val="16"/>
                <w:szCs w:val="16"/>
              </w:rPr>
              <w:t>12.224</w:t>
            </w:r>
          </w:p>
        </w:tc>
        <w:tc>
          <w:tcPr>
            <w:tcW w:w="1551" w:type="dxa"/>
            <w:tcBorders>
              <w:top w:val="nil"/>
              <w:bottom w:val="nil"/>
            </w:tcBorders>
            <w:vAlign w:val="center"/>
          </w:tcPr>
          <w:p w14:paraId="2E32783A" w14:textId="17274149" w:rsidR="00E85A83" w:rsidRPr="00E85A83" w:rsidRDefault="00E85A83" w:rsidP="009D02E9">
            <w:pPr>
              <w:spacing w:after="0" w:line="264" w:lineRule="auto"/>
              <w:jc w:val="right"/>
              <w:rPr>
                <w:rFonts w:cs="Arial"/>
                <w:b/>
                <w:bCs/>
                <w:sz w:val="16"/>
                <w:szCs w:val="16"/>
              </w:rPr>
            </w:pPr>
            <w:r w:rsidRPr="00E85A83">
              <w:rPr>
                <w:rFonts w:cs="Arial"/>
                <w:b/>
                <w:bCs/>
                <w:sz w:val="16"/>
                <w:szCs w:val="16"/>
              </w:rPr>
              <w:t>13.005</w:t>
            </w:r>
          </w:p>
        </w:tc>
        <w:tc>
          <w:tcPr>
            <w:tcW w:w="1037" w:type="dxa"/>
            <w:tcBorders>
              <w:top w:val="nil"/>
              <w:bottom w:val="nil"/>
            </w:tcBorders>
            <w:vAlign w:val="center"/>
          </w:tcPr>
          <w:p w14:paraId="613B241B" w14:textId="58004D48" w:rsidR="00E85A83" w:rsidRPr="00E85A83" w:rsidRDefault="00E85A83" w:rsidP="009D02E9">
            <w:pPr>
              <w:spacing w:after="0" w:line="264" w:lineRule="auto"/>
              <w:jc w:val="right"/>
              <w:rPr>
                <w:rFonts w:cs="Arial"/>
                <w:b/>
                <w:bCs/>
                <w:sz w:val="16"/>
                <w:szCs w:val="16"/>
              </w:rPr>
            </w:pPr>
            <w:r w:rsidRPr="00E85A83">
              <w:rPr>
                <w:rFonts w:cs="Arial"/>
                <w:b/>
                <w:bCs/>
                <w:sz w:val="16"/>
                <w:szCs w:val="16"/>
              </w:rPr>
              <w:t>12.733</w:t>
            </w:r>
          </w:p>
        </w:tc>
        <w:tc>
          <w:tcPr>
            <w:tcW w:w="1043" w:type="dxa"/>
            <w:tcBorders>
              <w:top w:val="nil"/>
              <w:bottom w:val="nil"/>
              <w:right w:val="single" w:sz="2" w:space="0" w:color="A6A6A6" w:themeColor="background1" w:themeShade="A6"/>
            </w:tcBorders>
            <w:vAlign w:val="center"/>
          </w:tcPr>
          <w:p w14:paraId="34E51440" w14:textId="1EA1B31A" w:rsidR="00E85A83" w:rsidRPr="00E85A83" w:rsidRDefault="00E85A83" w:rsidP="009D02E9">
            <w:pPr>
              <w:spacing w:after="0" w:line="264" w:lineRule="auto"/>
              <w:jc w:val="right"/>
              <w:rPr>
                <w:rFonts w:cs="Arial"/>
                <w:b/>
                <w:bCs/>
                <w:sz w:val="16"/>
                <w:szCs w:val="16"/>
              </w:rPr>
            </w:pPr>
            <w:r w:rsidRPr="00E85A83">
              <w:rPr>
                <w:rFonts w:cs="Arial"/>
                <w:b/>
                <w:bCs/>
                <w:sz w:val="16"/>
                <w:szCs w:val="16"/>
              </w:rPr>
              <w:t>11.385</w:t>
            </w:r>
          </w:p>
        </w:tc>
      </w:tr>
      <w:tr w:rsidR="008C0A0E" w:rsidRPr="00372745" w14:paraId="597FADB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66AF565" w14:textId="5A5DEF40"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Παροχ</w:t>
            </w:r>
            <w:r w:rsidR="00E85A83">
              <w:rPr>
                <w:rFonts w:cs="Arial"/>
                <w:sz w:val="16"/>
                <w:szCs w:val="16"/>
              </w:rPr>
              <w:t>έ</w:t>
            </w:r>
            <w:r w:rsidR="00E85A83" w:rsidRPr="00372745">
              <w:rPr>
                <w:rFonts w:cs="Arial"/>
                <w:sz w:val="16"/>
                <w:szCs w:val="16"/>
              </w:rPr>
              <w:t xml:space="preserve">ς σε </w:t>
            </w:r>
            <w:r w:rsidR="00E85A83">
              <w:rPr>
                <w:rFonts w:cs="Arial"/>
                <w:sz w:val="16"/>
                <w:szCs w:val="16"/>
              </w:rPr>
              <w:t>ε</w:t>
            </w:r>
            <w:r w:rsidR="00E85A83" w:rsidRPr="00372745">
              <w:rPr>
                <w:rFonts w:cs="Arial"/>
                <w:sz w:val="16"/>
                <w:szCs w:val="16"/>
              </w:rPr>
              <w:t>ργαζ</w:t>
            </w:r>
            <w:r w:rsidR="00E85A83">
              <w:rPr>
                <w:rFonts w:cs="Arial"/>
                <w:sz w:val="16"/>
                <w:szCs w:val="16"/>
              </w:rPr>
              <w:t>ό</w:t>
            </w:r>
            <w:r w:rsidR="00E85A83" w:rsidRPr="00372745">
              <w:rPr>
                <w:rFonts w:cs="Arial"/>
                <w:sz w:val="16"/>
                <w:szCs w:val="16"/>
              </w:rPr>
              <w:t>μενους</w:t>
            </w:r>
          </w:p>
        </w:tc>
        <w:tc>
          <w:tcPr>
            <w:tcW w:w="1034" w:type="dxa"/>
            <w:tcBorders>
              <w:top w:val="nil"/>
              <w:bottom w:val="nil"/>
            </w:tcBorders>
            <w:vAlign w:val="center"/>
          </w:tcPr>
          <w:p w14:paraId="605503D3" w14:textId="3C60AE28" w:rsidR="00E85A83" w:rsidRPr="00E85A83" w:rsidRDefault="00E85A83" w:rsidP="009D02E9">
            <w:pPr>
              <w:spacing w:after="0" w:line="264" w:lineRule="auto"/>
              <w:jc w:val="right"/>
              <w:rPr>
                <w:rFonts w:cs="Arial"/>
                <w:sz w:val="16"/>
                <w:szCs w:val="16"/>
              </w:rPr>
            </w:pPr>
            <w:r w:rsidRPr="00E85A83">
              <w:rPr>
                <w:rFonts w:cs="Arial"/>
                <w:sz w:val="16"/>
                <w:szCs w:val="16"/>
              </w:rPr>
              <w:t>1.628</w:t>
            </w:r>
          </w:p>
        </w:tc>
        <w:tc>
          <w:tcPr>
            <w:tcW w:w="1551" w:type="dxa"/>
            <w:tcBorders>
              <w:top w:val="nil"/>
              <w:bottom w:val="nil"/>
            </w:tcBorders>
            <w:vAlign w:val="center"/>
          </w:tcPr>
          <w:p w14:paraId="38809137" w14:textId="640619D5" w:rsidR="00E85A83" w:rsidRPr="00E85A83" w:rsidRDefault="00E85A83" w:rsidP="009D02E9">
            <w:pPr>
              <w:spacing w:after="0" w:line="264" w:lineRule="auto"/>
              <w:jc w:val="right"/>
              <w:rPr>
                <w:rFonts w:cs="Arial"/>
                <w:sz w:val="16"/>
                <w:szCs w:val="16"/>
              </w:rPr>
            </w:pPr>
            <w:r w:rsidRPr="00E85A83">
              <w:rPr>
                <w:rFonts w:cs="Arial"/>
                <w:sz w:val="16"/>
                <w:szCs w:val="16"/>
              </w:rPr>
              <w:t>1.642</w:t>
            </w:r>
          </w:p>
        </w:tc>
        <w:tc>
          <w:tcPr>
            <w:tcW w:w="1037" w:type="dxa"/>
            <w:tcBorders>
              <w:top w:val="nil"/>
              <w:bottom w:val="nil"/>
            </w:tcBorders>
            <w:vAlign w:val="center"/>
          </w:tcPr>
          <w:p w14:paraId="374FC379" w14:textId="5919F065" w:rsidR="00E85A83" w:rsidRPr="00E85A83" w:rsidRDefault="00E85A83" w:rsidP="009D02E9">
            <w:pPr>
              <w:spacing w:after="0" w:line="264" w:lineRule="auto"/>
              <w:jc w:val="right"/>
              <w:rPr>
                <w:rFonts w:cs="Arial"/>
                <w:sz w:val="16"/>
                <w:szCs w:val="16"/>
              </w:rPr>
            </w:pPr>
            <w:r w:rsidRPr="00E85A83">
              <w:rPr>
                <w:rFonts w:cs="Arial"/>
                <w:sz w:val="16"/>
                <w:szCs w:val="16"/>
              </w:rPr>
              <w:t>1.923</w:t>
            </w:r>
          </w:p>
        </w:tc>
        <w:tc>
          <w:tcPr>
            <w:tcW w:w="1043" w:type="dxa"/>
            <w:tcBorders>
              <w:top w:val="nil"/>
              <w:bottom w:val="nil"/>
              <w:right w:val="single" w:sz="2" w:space="0" w:color="A6A6A6" w:themeColor="background1" w:themeShade="A6"/>
            </w:tcBorders>
            <w:vAlign w:val="center"/>
          </w:tcPr>
          <w:p w14:paraId="0A0AC04B" w14:textId="532841BC" w:rsidR="00E85A83" w:rsidRPr="00E85A83" w:rsidRDefault="00E85A83" w:rsidP="009D02E9">
            <w:pPr>
              <w:spacing w:after="0" w:line="264" w:lineRule="auto"/>
              <w:jc w:val="right"/>
              <w:rPr>
                <w:rFonts w:cs="Arial"/>
                <w:sz w:val="16"/>
                <w:szCs w:val="16"/>
              </w:rPr>
            </w:pPr>
            <w:r w:rsidRPr="00E85A83">
              <w:rPr>
                <w:rFonts w:cs="Arial"/>
                <w:sz w:val="16"/>
                <w:szCs w:val="16"/>
              </w:rPr>
              <w:t>1.993</w:t>
            </w:r>
          </w:p>
        </w:tc>
      </w:tr>
      <w:tr w:rsidR="008C0A0E" w:rsidRPr="00372745" w14:paraId="29C09423"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238800E" w14:textId="5D281A27"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Τόκοι χρεωστικοί</w:t>
            </w:r>
          </w:p>
        </w:tc>
        <w:tc>
          <w:tcPr>
            <w:tcW w:w="1034" w:type="dxa"/>
            <w:tcBorders>
              <w:top w:val="nil"/>
              <w:bottom w:val="nil"/>
            </w:tcBorders>
            <w:vAlign w:val="center"/>
          </w:tcPr>
          <w:p w14:paraId="1C955781" w14:textId="4A6EAA7B" w:rsidR="00E85A83" w:rsidRPr="00E85A83" w:rsidRDefault="00E85A83" w:rsidP="009D02E9">
            <w:pPr>
              <w:spacing w:after="0" w:line="264" w:lineRule="auto"/>
              <w:jc w:val="right"/>
              <w:rPr>
                <w:rFonts w:cs="Arial"/>
                <w:sz w:val="16"/>
                <w:szCs w:val="16"/>
              </w:rPr>
            </w:pPr>
            <w:r w:rsidRPr="00E85A83">
              <w:rPr>
                <w:rFonts w:cs="Arial"/>
                <w:sz w:val="16"/>
                <w:szCs w:val="16"/>
              </w:rPr>
              <w:t>405</w:t>
            </w:r>
          </w:p>
        </w:tc>
        <w:tc>
          <w:tcPr>
            <w:tcW w:w="1551" w:type="dxa"/>
            <w:tcBorders>
              <w:top w:val="nil"/>
              <w:bottom w:val="nil"/>
            </w:tcBorders>
            <w:vAlign w:val="center"/>
          </w:tcPr>
          <w:p w14:paraId="284AAF1B" w14:textId="128EFAB7" w:rsidR="00E85A83" w:rsidRPr="00E85A83" w:rsidRDefault="00E85A83" w:rsidP="009D02E9">
            <w:pPr>
              <w:spacing w:after="0" w:line="264" w:lineRule="auto"/>
              <w:jc w:val="right"/>
              <w:rPr>
                <w:rFonts w:cs="Arial"/>
                <w:sz w:val="16"/>
                <w:szCs w:val="16"/>
              </w:rPr>
            </w:pPr>
            <w:r w:rsidRPr="00E85A83">
              <w:rPr>
                <w:rFonts w:cs="Arial"/>
                <w:sz w:val="16"/>
                <w:szCs w:val="16"/>
              </w:rPr>
              <w:t>397</w:t>
            </w:r>
          </w:p>
        </w:tc>
        <w:tc>
          <w:tcPr>
            <w:tcW w:w="1037" w:type="dxa"/>
            <w:tcBorders>
              <w:top w:val="nil"/>
              <w:bottom w:val="nil"/>
            </w:tcBorders>
            <w:vAlign w:val="center"/>
          </w:tcPr>
          <w:p w14:paraId="542C5DF9" w14:textId="123503A4" w:rsidR="00E85A83" w:rsidRPr="00E85A83" w:rsidRDefault="00E85A83" w:rsidP="009D02E9">
            <w:pPr>
              <w:spacing w:after="0" w:line="264" w:lineRule="auto"/>
              <w:jc w:val="right"/>
              <w:rPr>
                <w:rFonts w:cs="Arial"/>
                <w:sz w:val="16"/>
                <w:szCs w:val="16"/>
              </w:rPr>
            </w:pPr>
            <w:r w:rsidRPr="00E85A83">
              <w:rPr>
                <w:rFonts w:cs="Arial"/>
                <w:sz w:val="16"/>
                <w:szCs w:val="16"/>
              </w:rPr>
              <w:t>362</w:t>
            </w:r>
          </w:p>
        </w:tc>
        <w:tc>
          <w:tcPr>
            <w:tcW w:w="1043" w:type="dxa"/>
            <w:tcBorders>
              <w:top w:val="nil"/>
              <w:bottom w:val="nil"/>
              <w:right w:val="single" w:sz="2" w:space="0" w:color="A6A6A6" w:themeColor="background1" w:themeShade="A6"/>
            </w:tcBorders>
            <w:vAlign w:val="center"/>
          </w:tcPr>
          <w:p w14:paraId="451DF804" w14:textId="16D97728" w:rsidR="00E85A83" w:rsidRPr="00E85A83" w:rsidRDefault="00E85A83" w:rsidP="009D02E9">
            <w:pPr>
              <w:spacing w:after="0" w:line="264" w:lineRule="auto"/>
              <w:jc w:val="right"/>
              <w:rPr>
                <w:rFonts w:cs="Arial"/>
                <w:sz w:val="16"/>
                <w:szCs w:val="16"/>
              </w:rPr>
            </w:pPr>
            <w:r w:rsidRPr="00E85A83">
              <w:rPr>
                <w:rFonts w:cs="Arial"/>
                <w:sz w:val="16"/>
                <w:szCs w:val="16"/>
              </w:rPr>
              <w:t>394</w:t>
            </w:r>
          </w:p>
        </w:tc>
      </w:tr>
      <w:tr w:rsidR="008C0A0E" w:rsidRPr="00372745" w14:paraId="6AE4D872"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BFFBEA8" w14:textId="66803431"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Λοιπά έξοδα</w:t>
            </w:r>
          </w:p>
        </w:tc>
        <w:tc>
          <w:tcPr>
            <w:tcW w:w="1034" w:type="dxa"/>
            <w:tcBorders>
              <w:top w:val="nil"/>
              <w:bottom w:val="nil"/>
            </w:tcBorders>
            <w:vAlign w:val="center"/>
          </w:tcPr>
          <w:p w14:paraId="7D4218DB" w14:textId="2FBD056F" w:rsidR="00E85A83" w:rsidRPr="00E85A83" w:rsidRDefault="00E85A83" w:rsidP="009D02E9">
            <w:pPr>
              <w:spacing w:after="0" w:line="264" w:lineRule="auto"/>
              <w:jc w:val="right"/>
              <w:rPr>
                <w:rFonts w:cs="Arial"/>
                <w:sz w:val="16"/>
                <w:szCs w:val="16"/>
              </w:rPr>
            </w:pPr>
            <w:r w:rsidRPr="00E85A83">
              <w:rPr>
                <w:rFonts w:cs="Arial"/>
                <w:sz w:val="16"/>
                <w:szCs w:val="16"/>
              </w:rPr>
              <w:t>3.650</w:t>
            </w:r>
          </w:p>
        </w:tc>
        <w:tc>
          <w:tcPr>
            <w:tcW w:w="1551" w:type="dxa"/>
            <w:tcBorders>
              <w:top w:val="nil"/>
              <w:bottom w:val="nil"/>
            </w:tcBorders>
            <w:vAlign w:val="center"/>
          </w:tcPr>
          <w:p w14:paraId="6BC083FD" w14:textId="01864D3E" w:rsidR="00E85A83" w:rsidRPr="00E85A83" w:rsidRDefault="00E85A83" w:rsidP="009D02E9">
            <w:pPr>
              <w:spacing w:after="0" w:line="264" w:lineRule="auto"/>
              <w:jc w:val="right"/>
              <w:rPr>
                <w:rFonts w:cs="Arial"/>
                <w:sz w:val="16"/>
                <w:szCs w:val="16"/>
              </w:rPr>
            </w:pPr>
            <w:r w:rsidRPr="00E85A83">
              <w:rPr>
                <w:rFonts w:cs="Arial"/>
                <w:sz w:val="16"/>
                <w:szCs w:val="16"/>
              </w:rPr>
              <w:t>4.825</w:t>
            </w:r>
          </w:p>
        </w:tc>
        <w:tc>
          <w:tcPr>
            <w:tcW w:w="1037" w:type="dxa"/>
            <w:tcBorders>
              <w:top w:val="nil"/>
              <w:bottom w:val="nil"/>
            </w:tcBorders>
            <w:vAlign w:val="center"/>
          </w:tcPr>
          <w:p w14:paraId="5394799E" w14:textId="184DF5CE" w:rsidR="00E85A83" w:rsidRPr="00E85A83" w:rsidRDefault="00E85A83" w:rsidP="009D02E9">
            <w:pPr>
              <w:spacing w:after="0" w:line="264" w:lineRule="auto"/>
              <w:jc w:val="right"/>
              <w:rPr>
                <w:rFonts w:cs="Arial"/>
                <w:sz w:val="16"/>
                <w:szCs w:val="16"/>
              </w:rPr>
            </w:pPr>
            <w:r w:rsidRPr="00E85A83">
              <w:rPr>
                <w:rFonts w:cs="Arial"/>
                <w:sz w:val="16"/>
                <w:szCs w:val="16"/>
              </w:rPr>
              <w:t>4.479</w:t>
            </w:r>
          </w:p>
        </w:tc>
        <w:tc>
          <w:tcPr>
            <w:tcW w:w="1043" w:type="dxa"/>
            <w:tcBorders>
              <w:top w:val="nil"/>
              <w:bottom w:val="nil"/>
              <w:right w:val="single" w:sz="2" w:space="0" w:color="A6A6A6" w:themeColor="background1" w:themeShade="A6"/>
            </w:tcBorders>
            <w:vAlign w:val="center"/>
          </w:tcPr>
          <w:p w14:paraId="020A9438" w14:textId="01DB8EBF" w:rsidR="00E85A83" w:rsidRPr="00E85A83" w:rsidRDefault="00E85A83" w:rsidP="009D02E9">
            <w:pPr>
              <w:spacing w:after="0" w:line="264" w:lineRule="auto"/>
              <w:jc w:val="right"/>
              <w:rPr>
                <w:rFonts w:cs="Arial"/>
                <w:sz w:val="16"/>
                <w:szCs w:val="16"/>
              </w:rPr>
            </w:pPr>
            <w:r w:rsidRPr="00E85A83">
              <w:rPr>
                <w:rFonts w:cs="Arial"/>
                <w:sz w:val="16"/>
                <w:szCs w:val="16"/>
              </w:rPr>
              <w:t>4.332</w:t>
            </w:r>
          </w:p>
        </w:tc>
      </w:tr>
      <w:tr w:rsidR="008C0A0E" w:rsidRPr="00372745" w14:paraId="47AA72D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8507EC8" w14:textId="5F5F1676"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Επενδυτικές δαπάνες</w:t>
            </w:r>
          </w:p>
        </w:tc>
        <w:tc>
          <w:tcPr>
            <w:tcW w:w="1034" w:type="dxa"/>
            <w:tcBorders>
              <w:top w:val="nil"/>
              <w:bottom w:val="nil"/>
            </w:tcBorders>
            <w:vAlign w:val="center"/>
          </w:tcPr>
          <w:p w14:paraId="731CA8AD" w14:textId="5EFFE920" w:rsidR="00E85A83" w:rsidRPr="00E85A83" w:rsidRDefault="00E85A83" w:rsidP="009D02E9">
            <w:pPr>
              <w:spacing w:after="0" w:line="264" w:lineRule="auto"/>
              <w:jc w:val="right"/>
              <w:rPr>
                <w:rFonts w:cs="Arial"/>
                <w:sz w:val="16"/>
                <w:szCs w:val="16"/>
              </w:rPr>
            </w:pPr>
            <w:r w:rsidRPr="00E85A83">
              <w:rPr>
                <w:rFonts w:cs="Arial"/>
                <w:sz w:val="16"/>
                <w:szCs w:val="16"/>
              </w:rPr>
              <w:t>1.846</w:t>
            </w:r>
          </w:p>
        </w:tc>
        <w:tc>
          <w:tcPr>
            <w:tcW w:w="1551" w:type="dxa"/>
            <w:tcBorders>
              <w:top w:val="nil"/>
              <w:bottom w:val="nil"/>
            </w:tcBorders>
            <w:vAlign w:val="center"/>
          </w:tcPr>
          <w:p w14:paraId="2D7FF5E0" w14:textId="1A9F4782" w:rsidR="00E85A83" w:rsidRPr="00E85A83" w:rsidRDefault="00E85A83" w:rsidP="009D02E9">
            <w:pPr>
              <w:spacing w:after="0" w:line="264" w:lineRule="auto"/>
              <w:jc w:val="right"/>
              <w:rPr>
                <w:rFonts w:cs="Arial"/>
                <w:sz w:val="16"/>
                <w:szCs w:val="16"/>
              </w:rPr>
            </w:pPr>
            <w:r w:rsidRPr="00E85A83">
              <w:rPr>
                <w:rFonts w:cs="Arial"/>
                <w:sz w:val="16"/>
                <w:szCs w:val="16"/>
              </w:rPr>
              <w:t>2.513</w:t>
            </w:r>
          </w:p>
        </w:tc>
        <w:tc>
          <w:tcPr>
            <w:tcW w:w="1037" w:type="dxa"/>
            <w:tcBorders>
              <w:top w:val="nil"/>
              <w:bottom w:val="nil"/>
            </w:tcBorders>
            <w:vAlign w:val="center"/>
          </w:tcPr>
          <w:p w14:paraId="21086420" w14:textId="6B8714F9" w:rsidR="00E85A83" w:rsidRPr="00E85A83" w:rsidRDefault="00E85A83" w:rsidP="009D02E9">
            <w:pPr>
              <w:spacing w:after="0" w:line="264" w:lineRule="auto"/>
              <w:jc w:val="right"/>
              <w:rPr>
                <w:rFonts w:cs="Arial"/>
                <w:sz w:val="16"/>
                <w:szCs w:val="16"/>
              </w:rPr>
            </w:pPr>
            <w:r w:rsidRPr="00E85A83">
              <w:rPr>
                <w:rFonts w:cs="Arial"/>
                <w:sz w:val="16"/>
                <w:szCs w:val="16"/>
              </w:rPr>
              <w:t>2.340</w:t>
            </w:r>
          </w:p>
        </w:tc>
        <w:tc>
          <w:tcPr>
            <w:tcW w:w="1043" w:type="dxa"/>
            <w:tcBorders>
              <w:top w:val="nil"/>
              <w:bottom w:val="nil"/>
              <w:right w:val="single" w:sz="2" w:space="0" w:color="A6A6A6" w:themeColor="background1" w:themeShade="A6"/>
            </w:tcBorders>
            <w:vAlign w:val="center"/>
          </w:tcPr>
          <w:p w14:paraId="59F5D99E" w14:textId="383C90FD" w:rsidR="00E85A83" w:rsidRPr="00E85A83" w:rsidRDefault="00E85A83" w:rsidP="009D02E9">
            <w:pPr>
              <w:spacing w:after="0" w:line="264" w:lineRule="auto"/>
              <w:jc w:val="right"/>
              <w:rPr>
                <w:rFonts w:cs="Arial"/>
                <w:sz w:val="16"/>
                <w:szCs w:val="16"/>
              </w:rPr>
            </w:pPr>
            <w:r w:rsidRPr="00E85A83">
              <w:rPr>
                <w:rFonts w:cs="Arial"/>
                <w:sz w:val="16"/>
                <w:szCs w:val="16"/>
              </w:rPr>
              <w:t>1.750</w:t>
            </w:r>
          </w:p>
        </w:tc>
      </w:tr>
      <w:tr w:rsidR="008C0A0E" w:rsidRPr="00372745" w14:paraId="422602F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1057AC6" w14:textId="5DEDA4D3"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Λοιπές μεταβιβάσεις</w:t>
            </w:r>
          </w:p>
        </w:tc>
        <w:tc>
          <w:tcPr>
            <w:tcW w:w="1034" w:type="dxa"/>
            <w:tcBorders>
              <w:top w:val="nil"/>
              <w:bottom w:val="nil"/>
            </w:tcBorders>
            <w:vAlign w:val="center"/>
          </w:tcPr>
          <w:p w14:paraId="7A43ECBF" w14:textId="06930F8F" w:rsidR="00E85A83" w:rsidRPr="00E85A83" w:rsidRDefault="00E85A83" w:rsidP="009D02E9">
            <w:pPr>
              <w:spacing w:after="0" w:line="264" w:lineRule="auto"/>
              <w:jc w:val="right"/>
              <w:rPr>
                <w:rFonts w:cs="Arial"/>
                <w:sz w:val="16"/>
                <w:szCs w:val="16"/>
              </w:rPr>
            </w:pPr>
            <w:r w:rsidRPr="00E85A83">
              <w:rPr>
                <w:rFonts w:cs="Arial"/>
                <w:sz w:val="16"/>
                <w:szCs w:val="16"/>
              </w:rPr>
              <w:t>1.997</w:t>
            </w:r>
          </w:p>
        </w:tc>
        <w:tc>
          <w:tcPr>
            <w:tcW w:w="1551" w:type="dxa"/>
            <w:tcBorders>
              <w:top w:val="nil"/>
              <w:bottom w:val="nil"/>
            </w:tcBorders>
            <w:vAlign w:val="center"/>
          </w:tcPr>
          <w:p w14:paraId="1ADE4E1B" w14:textId="52C885AA" w:rsidR="00E85A83" w:rsidRPr="00E85A83" w:rsidRDefault="00E85A83" w:rsidP="009D02E9">
            <w:pPr>
              <w:spacing w:after="0" w:line="264" w:lineRule="auto"/>
              <w:jc w:val="right"/>
              <w:rPr>
                <w:rFonts w:cs="Arial"/>
                <w:sz w:val="16"/>
                <w:szCs w:val="16"/>
              </w:rPr>
            </w:pPr>
            <w:r w:rsidRPr="00E85A83">
              <w:rPr>
                <w:rFonts w:cs="Arial"/>
                <w:sz w:val="16"/>
                <w:szCs w:val="16"/>
              </w:rPr>
              <w:t>819</w:t>
            </w:r>
          </w:p>
        </w:tc>
        <w:tc>
          <w:tcPr>
            <w:tcW w:w="1037" w:type="dxa"/>
            <w:tcBorders>
              <w:top w:val="nil"/>
              <w:bottom w:val="nil"/>
            </w:tcBorders>
            <w:vAlign w:val="center"/>
          </w:tcPr>
          <w:p w14:paraId="5D6718E1" w14:textId="71BCA4BE" w:rsidR="00E85A83" w:rsidRPr="00E85A83" w:rsidRDefault="00E85A83" w:rsidP="009D02E9">
            <w:pPr>
              <w:spacing w:after="0" w:line="264" w:lineRule="auto"/>
              <w:jc w:val="right"/>
              <w:rPr>
                <w:rFonts w:cs="Arial"/>
                <w:sz w:val="16"/>
                <w:szCs w:val="16"/>
              </w:rPr>
            </w:pPr>
            <w:r w:rsidRPr="00E85A83">
              <w:rPr>
                <w:rFonts w:cs="Arial"/>
                <w:sz w:val="16"/>
                <w:szCs w:val="16"/>
              </w:rPr>
              <w:t>963</w:t>
            </w:r>
          </w:p>
        </w:tc>
        <w:tc>
          <w:tcPr>
            <w:tcW w:w="1043" w:type="dxa"/>
            <w:tcBorders>
              <w:top w:val="nil"/>
              <w:bottom w:val="nil"/>
              <w:right w:val="single" w:sz="2" w:space="0" w:color="A6A6A6" w:themeColor="background1" w:themeShade="A6"/>
            </w:tcBorders>
            <w:vAlign w:val="center"/>
          </w:tcPr>
          <w:p w14:paraId="57325CFC" w14:textId="6D0912FE" w:rsidR="00E85A83" w:rsidRPr="00E85A83" w:rsidRDefault="00E85A83" w:rsidP="009D02E9">
            <w:pPr>
              <w:spacing w:after="0" w:line="264" w:lineRule="auto"/>
              <w:jc w:val="right"/>
              <w:rPr>
                <w:rFonts w:cs="Arial"/>
                <w:sz w:val="16"/>
                <w:szCs w:val="16"/>
              </w:rPr>
            </w:pPr>
            <w:r w:rsidRPr="00E85A83">
              <w:rPr>
                <w:rFonts w:cs="Arial"/>
                <w:sz w:val="16"/>
                <w:szCs w:val="16"/>
              </w:rPr>
              <w:t>345</w:t>
            </w:r>
          </w:p>
        </w:tc>
      </w:tr>
      <w:tr w:rsidR="008C0A0E" w:rsidRPr="00372745" w14:paraId="74A0D5A1" w14:textId="77777777" w:rsidTr="000C6040">
        <w:trPr>
          <w:cantSplit/>
          <w:jc w:val="center"/>
        </w:trPr>
        <w:tc>
          <w:tcPr>
            <w:tcW w:w="4587" w:type="dxa"/>
            <w:tcBorders>
              <w:top w:val="nil"/>
              <w:left w:val="single" w:sz="2" w:space="0" w:color="A6A6A6" w:themeColor="background1" w:themeShade="A6"/>
              <w:bottom w:val="single" w:sz="2" w:space="0" w:color="A6A6A6" w:themeColor="background1" w:themeShade="A6"/>
            </w:tcBorders>
            <w:vAlign w:val="center"/>
            <w:hideMark/>
          </w:tcPr>
          <w:p w14:paraId="474BB7C2" w14:textId="00D92B71"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Επιδοτήσεις</w:t>
            </w:r>
          </w:p>
        </w:tc>
        <w:tc>
          <w:tcPr>
            <w:tcW w:w="1034" w:type="dxa"/>
            <w:tcBorders>
              <w:top w:val="nil"/>
              <w:bottom w:val="single" w:sz="2" w:space="0" w:color="A6A6A6" w:themeColor="background1" w:themeShade="A6"/>
            </w:tcBorders>
            <w:vAlign w:val="center"/>
          </w:tcPr>
          <w:p w14:paraId="3ED57002" w14:textId="102A91CA" w:rsidR="00E85A83" w:rsidRPr="00E85A83" w:rsidRDefault="00E85A83" w:rsidP="009D02E9">
            <w:pPr>
              <w:spacing w:after="0" w:line="264" w:lineRule="auto"/>
              <w:jc w:val="right"/>
              <w:rPr>
                <w:rFonts w:cs="Arial"/>
                <w:sz w:val="16"/>
                <w:szCs w:val="16"/>
              </w:rPr>
            </w:pPr>
            <w:r w:rsidRPr="00E85A83">
              <w:rPr>
                <w:rFonts w:cs="Arial"/>
                <w:sz w:val="16"/>
                <w:szCs w:val="16"/>
              </w:rPr>
              <w:t>2.699</w:t>
            </w:r>
          </w:p>
        </w:tc>
        <w:tc>
          <w:tcPr>
            <w:tcW w:w="1551" w:type="dxa"/>
            <w:tcBorders>
              <w:top w:val="nil"/>
              <w:bottom w:val="single" w:sz="2" w:space="0" w:color="A6A6A6" w:themeColor="background1" w:themeShade="A6"/>
            </w:tcBorders>
            <w:vAlign w:val="center"/>
          </w:tcPr>
          <w:p w14:paraId="1D36D119" w14:textId="4C279B12" w:rsidR="00E85A83" w:rsidRPr="00E85A83" w:rsidRDefault="00E85A83" w:rsidP="009D02E9">
            <w:pPr>
              <w:spacing w:after="0" w:line="264" w:lineRule="auto"/>
              <w:jc w:val="right"/>
              <w:rPr>
                <w:rFonts w:cs="Arial"/>
                <w:sz w:val="16"/>
                <w:szCs w:val="16"/>
              </w:rPr>
            </w:pPr>
            <w:r w:rsidRPr="00E85A83">
              <w:rPr>
                <w:rFonts w:cs="Arial"/>
                <w:sz w:val="16"/>
                <w:szCs w:val="16"/>
              </w:rPr>
              <w:t>2.809</w:t>
            </w:r>
          </w:p>
        </w:tc>
        <w:tc>
          <w:tcPr>
            <w:tcW w:w="1037" w:type="dxa"/>
            <w:tcBorders>
              <w:top w:val="nil"/>
              <w:bottom w:val="single" w:sz="2" w:space="0" w:color="A6A6A6" w:themeColor="background1" w:themeShade="A6"/>
            </w:tcBorders>
            <w:vAlign w:val="center"/>
          </w:tcPr>
          <w:p w14:paraId="5B0073C9" w14:textId="2674CD38" w:rsidR="00E85A83" w:rsidRPr="00E85A83" w:rsidRDefault="00E85A83" w:rsidP="009D02E9">
            <w:pPr>
              <w:spacing w:after="0" w:line="264" w:lineRule="auto"/>
              <w:jc w:val="right"/>
              <w:rPr>
                <w:rFonts w:cs="Arial"/>
                <w:sz w:val="16"/>
                <w:szCs w:val="16"/>
              </w:rPr>
            </w:pPr>
            <w:r w:rsidRPr="00E85A83">
              <w:rPr>
                <w:rFonts w:cs="Arial"/>
                <w:sz w:val="16"/>
                <w:szCs w:val="16"/>
              </w:rPr>
              <w:t>2.666</w:t>
            </w:r>
          </w:p>
        </w:tc>
        <w:tc>
          <w:tcPr>
            <w:tcW w:w="1043" w:type="dxa"/>
            <w:tcBorders>
              <w:top w:val="nil"/>
              <w:bottom w:val="single" w:sz="2" w:space="0" w:color="A6A6A6" w:themeColor="background1" w:themeShade="A6"/>
              <w:right w:val="single" w:sz="2" w:space="0" w:color="A6A6A6" w:themeColor="background1" w:themeShade="A6"/>
            </w:tcBorders>
            <w:vAlign w:val="center"/>
          </w:tcPr>
          <w:p w14:paraId="3B66DFB4" w14:textId="69F1A25A" w:rsidR="00E85A83" w:rsidRPr="00E85A83" w:rsidRDefault="00E85A83" w:rsidP="009D02E9">
            <w:pPr>
              <w:spacing w:after="0" w:line="264" w:lineRule="auto"/>
              <w:jc w:val="right"/>
              <w:rPr>
                <w:rFonts w:cs="Arial"/>
                <w:sz w:val="16"/>
                <w:szCs w:val="16"/>
              </w:rPr>
            </w:pPr>
            <w:r w:rsidRPr="00E85A83">
              <w:rPr>
                <w:rFonts w:cs="Arial"/>
                <w:sz w:val="16"/>
                <w:szCs w:val="16"/>
              </w:rPr>
              <w:t>2.571</w:t>
            </w:r>
          </w:p>
        </w:tc>
      </w:tr>
      <w:tr w:rsidR="008C0A0E" w:rsidRPr="00372745" w14:paraId="347D1F12"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7C64FDC" w14:textId="496C5620" w:rsidR="005B6372" w:rsidRPr="00372745" w:rsidRDefault="005B6372" w:rsidP="009D02E9">
            <w:pPr>
              <w:tabs>
                <w:tab w:val="left" w:pos="340"/>
              </w:tabs>
              <w:spacing w:after="0" w:line="264" w:lineRule="auto"/>
              <w:jc w:val="left"/>
              <w:rPr>
                <w:rFonts w:cs="Arial"/>
                <w:b/>
                <w:bCs/>
                <w:sz w:val="16"/>
                <w:szCs w:val="16"/>
              </w:rPr>
            </w:pPr>
            <w:r w:rsidRPr="00372745">
              <w:rPr>
                <w:rFonts w:cs="Arial"/>
                <w:b/>
                <w:bCs/>
                <w:sz w:val="16"/>
                <w:szCs w:val="16"/>
              </w:rPr>
              <w:t>VΙ.</w:t>
            </w:r>
            <w:r w:rsidR="00CA2839">
              <w:rPr>
                <w:rFonts w:cs="Arial"/>
                <w:b/>
                <w:bCs/>
                <w:sz w:val="16"/>
                <w:szCs w:val="16"/>
              </w:rPr>
              <w:tab/>
            </w:r>
            <w:r w:rsidRPr="00372745">
              <w:rPr>
                <w:rFonts w:cs="Arial"/>
                <w:b/>
                <w:bCs/>
                <w:sz w:val="16"/>
                <w:szCs w:val="16"/>
              </w:rPr>
              <w:t>Ισοζύγιο Νοσοκομείων - ΠΦΥ κατά ESA</w:t>
            </w:r>
          </w:p>
        </w:tc>
        <w:tc>
          <w:tcPr>
            <w:tcW w:w="1034" w:type="dxa"/>
            <w:tcBorders>
              <w:top w:val="nil"/>
              <w:bottom w:val="nil"/>
            </w:tcBorders>
            <w:shd w:val="clear" w:color="auto" w:fill="D5DCE4"/>
            <w:vAlign w:val="center"/>
          </w:tcPr>
          <w:p w14:paraId="6DF2879B" w14:textId="6FEC9AE3" w:rsidR="005B6372" w:rsidRPr="005B6372" w:rsidRDefault="005B6372" w:rsidP="009D02E9">
            <w:pPr>
              <w:spacing w:after="0" w:line="264" w:lineRule="auto"/>
              <w:jc w:val="right"/>
              <w:rPr>
                <w:rFonts w:cs="Arial"/>
                <w:b/>
                <w:bCs/>
                <w:sz w:val="16"/>
                <w:szCs w:val="16"/>
              </w:rPr>
            </w:pPr>
            <w:r w:rsidRPr="005B6372">
              <w:rPr>
                <w:rFonts w:cs="Arial"/>
                <w:b/>
                <w:bCs/>
                <w:sz w:val="16"/>
                <w:szCs w:val="16"/>
              </w:rPr>
              <w:t>135</w:t>
            </w:r>
          </w:p>
        </w:tc>
        <w:tc>
          <w:tcPr>
            <w:tcW w:w="1551" w:type="dxa"/>
            <w:tcBorders>
              <w:top w:val="nil"/>
              <w:bottom w:val="nil"/>
            </w:tcBorders>
            <w:shd w:val="clear" w:color="auto" w:fill="D5DCE4"/>
            <w:vAlign w:val="center"/>
          </w:tcPr>
          <w:p w14:paraId="0C49399A" w14:textId="62FEE309" w:rsidR="005B6372" w:rsidRPr="005B6372" w:rsidRDefault="005B6372" w:rsidP="009D02E9">
            <w:pPr>
              <w:spacing w:after="0" w:line="264" w:lineRule="auto"/>
              <w:jc w:val="right"/>
              <w:rPr>
                <w:rFonts w:cs="Arial"/>
                <w:b/>
                <w:bCs/>
                <w:sz w:val="16"/>
                <w:szCs w:val="16"/>
              </w:rPr>
            </w:pPr>
            <w:r w:rsidRPr="005B6372">
              <w:rPr>
                <w:rFonts w:cs="Arial"/>
                <w:b/>
                <w:bCs/>
                <w:sz w:val="16"/>
                <w:szCs w:val="16"/>
              </w:rPr>
              <w:t>481</w:t>
            </w:r>
          </w:p>
        </w:tc>
        <w:tc>
          <w:tcPr>
            <w:tcW w:w="1037" w:type="dxa"/>
            <w:tcBorders>
              <w:top w:val="nil"/>
              <w:bottom w:val="nil"/>
            </w:tcBorders>
            <w:shd w:val="clear" w:color="auto" w:fill="D5DCE4"/>
            <w:vAlign w:val="center"/>
          </w:tcPr>
          <w:p w14:paraId="703378D2" w14:textId="6758B1C0" w:rsidR="005B6372" w:rsidRPr="005B6372" w:rsidRDefault="005B6372" w:rsidP="009D02E9">
            <w:pPr>
              <w:spacing w:after="0" w:line="264" w:lineRule="auto"/>
              <w:jc w:val="right"/>
              <w:rPr>
                <w:rFonts w:cs="Arial"/>
                <w:b/>
                <w:bCs/>
                <w:sz w:val="16"/>
                <w:szCs w:val="16"/>
              </w:rPr>
            </w:pPr>
            <w:r w:rsidRPr="005B6372">
              <w:rPr>
                <w:rFonts w:cs="Arial"/>
                <w:b/>
                <w:bCs/>
                <w:sz w:val="16"/>
                <w:szCs w:val="16"/>
              </w:rPr>
              <w:t>484</w:t>
            </w:r>
          </w:p>
        </w:tc>
        <w:tc>
          <w:tcPr>
            <w:tcW w:w="1043" w:type="dxa"/>
            <w:tcBorders>
              <w:top w:val="nil"/>
              <w:bottom w:val="nil"/>
              <w:right w:val="single" w:sz="2" w:space="0" w:color="A6A6A6" w:themeColor="background1" w:themeShade="A6"/>
            </w:tcBorders>
            <w:shd w:val="clear" w:color="auto" w:fill="D5DCE4"/>
            <w:vAlign w:val="center"/>
          </w:tcPr>
          <w:p w14:paraId="01AF131E" w14:textId="50A7F8A7" w:rsidR="005B6372" w:rsidRPr="005B6372" w:rsidRDefault="005B6372" w:rsidP="009D02E9">
            <w:pPr>
              <w:spacing w:after="0" w:line="264" w:lineRule="auto"/>
              <w:jc w:val="right"/>
              <w:rPr>
                <w:rFonts w:cs="Arial"/>
                <w:b/>
                <w:bCs/>
                <w:sz w:val="16"/>
                <w:szCs w:val="16"/>
              </w:rPr>
            </w:pPr>
            <w:r w:rsidRPr="005B6372">
              <w:rPr>
                <w:rFonts w:cs="Arial"/>
                <w:b/>
                <w:bCs/>
                <w:sz w:val="16"/>
                <w:szCs w:val="16"/>
              </w:rPr>
              <w:t>606</w:t>
            </w:r>
          </w:p>
        </w:tc>
      </w:tr>
      <w:tr w:rsidR="008C0A0E" w:rsidRPr="00372745" w14:paraId="0ADA4A0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F1DBFB9" w14:textId="26643A09" w:rsidR="005B6372"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5B6372" w:rsidRPr="00372745">
              <w:rPr>
                <w:rFonts w:cs="Arial"/>
                <w:b/>
                <w:bCs/>
                <w:sz w:val="16"/>
                <w:szCs w:val="16"/>
              </w:rPr>
              <w:t>Έσοδα</w:t>
            </w:r>
          </w:p>
        </w:tc>
        <w:tc>
          <w:tcPr>
            <w:tcW w:w="1034" w:type="dxa"/>
            <w:tcBorders>
              <w:top w:val="nil"/>
              <w:bottom w:val="nil"/>
            </w:tcBorders>
            <w:vAlign w:val="center"/>
          </w:tcPr>
          <w:p w14:paraId="7350DFF0" w14:textId="56FAF9B4" w:rsidR="005B6372" w:rsidRPr="005B6372" w:rsidRDefault="005B6372" w:rsidP="009D02E9">
            <w:pPr>
              <w:spacing w:after="0" w:line="264" w:lineRule="auto"/>
              <w:jc w:val="right"/>
              <w:rPr>
                <w:rFonts w:cs="Arial"/>
                <w:b/>
                <w:bCs/>
                <w:sz w:val="16"/>
                <w:szCs w:val="16"/>
              </w:rPr>
            </w:pPr>
            <w:r w:rsidRPr="005B6372">
              <w:rPr>
                <w:rFonts w:cs="Arial"/>
                <w:b/>
                <w:bCs/>
                <w:sz w:val="16"/>
                <w:szCs w:val="16"/>
              </w:rPr>
              <w:t>4.512</w:t>
            </w:r>
          </w:p>
        </w:tc>
        <w:tc>
          <w:tcPr>
            <w:tcW w:w="1551" w:type="dxa"/>
            <w:tcBorders>
              <w:top w:val="nil"/>
              <w:bottom w:val="nil"/>
            </w:tcBorders>
            <w:vAlign w:val="center"/>
          </w:tcPr>
          <w:p w14:paraId="00AC0230" w14:textId="754A62D4" w:rsidR="005B6372" w:rsidRPr="005B6372" w:rsidRDefault="005B6372" w:rsidP="009D02E9">
            <w:pPr>
              <w:spacing w:after="0" w:line="264" w:lineRule="auto"/>
              <w:jc w:val="right"/>
              <w:rPr>
                <w:rFonts w:cs="Arial"/>
                <w:b/>
                <w:bCs/>
                <w:sz w:val="16"/>
                <w:szCs w:val="16"/>
              </w:rPr>
            </w:pPr>
            <w:r w:rsidRPr="005B6372">
              <w:rPr>
                <w:rFonts w:cs="Arial"/>
                <w:b/>
                <w:bCs/>
                <w:sz w:val="16"/>
                <w:szCs w:val="16"/>
              </w:rPr>
              <w:t>4.799</w:t>
            </w:r>
          </w:p>
        </w:tc>
        <w:tc>
          <w:tcPr>
            <w:tcW w:w="1037" w:type="dxa"/>
            <w:tcBorders>
              <w:top w:val="nil"/>
              <w:bottom w:val="nil"/>
            </w:tcBorders>
            <w:vAlign w:val="center"/>
          </w:tcPr>
          <w:p w14:paraId="61DC92A0" w14:textId="41BE4332" w:rsidR="005B6372" w:rsidRPr="005B6372" w:rsidRDefault="005B6372" w:rsidP="009D02E9">
            <w:pPr>
              <w:spacing w:after="0" w:line="264" w:lineRule="auto"/>
              <w:jc w:val="right"/>
              <w:rPr>
                <w:rFonts w:cs="Arial"/>
                <w:b/>
                <w:bCs/>
                <w:sz w:val="16"/>
                <w:szCs w:val="16"/>
              </w:rPr>
            </w:pPr>
            <w:r w:rsidRPr="005B6372">
              <w:rPr>
                <w:rFonts w:cs="Arial"/>
                <w:b/>
                <w:bCs/>
                <w:sz w:val="16"/>
                <w:szCs w:val="16"/>
              </w:rPr>
              <w:t>4.953</w:t>
            </w:r>
          </w:p>
        </w:tc>
        <w:tc>
          <w:tcPr>
            <w:tcW w:w="1043" w:type="dxa"/>
            <w:tcBorders>
              <w:top w:val="nil"/>
              <w:bottom w:val="nil"/>
              <w:right w:val="single" w:sz="2" w:space="0" w:color="A6A6A6" w:themeColor="background1" w:themeShade="A6"/>
            </w:tcBorders>
            <w:vAlign w:val="center"/>
          </w:tcPr>
          <w:p w14:paraId="65F1DDE3" w14:textId="3B24A976" w:rsidR="005B6372" w:rsidRPr="005B6372" w:rsidRDefault="005B6372" w:rsidP="009D02E9">
            <w:pPr>
              <w:spacing w:after="0" w:line="264" w:lineRule="auto"/>
              <w:jc w:val="right"/>
              <w:rPr>
                <w:rFonts w:cs="Arial"/>
                <w:b/>
                <w:bCs/>
                <w:sz w:val="16"/>
                <w:szCs w:val="16"/>
              </w:rPr>
            </w:pPr>
            <w:r w:rsidRPr="005B6372">
              <w:rPr>
                <w:rFonts w:cs="Arial"/>
                <w:b/>
                <w:bCs/>
                <w:sz w:val="16"/>
                <w:szCs w:val="16"/>
              </w:rPr>
              <w:t>5.062</w:t>
            </w:r>
          </w:p>
        </w:tc>
      </w:tr>
      <w:tr w:rsidR="008C0A0E" w:rsidRPr="00372745" w14:paraId="2923861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3559121" w14:textId="6E1336A5"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 xml:space="preserve">Τρέχουσες </w:t>
            </w:r>
            <w:r w:rsidR="005B6372">
              <w:rPr>
                <w:rFonts w:cs="Arial"/>
                <w:sz w:val="16"/>
                <w:szCs w:val="16"/>
              </w:rPr>
              <w:t>και</w:t>
            </w:r>
            <w:r w:rsidR="005B6372"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34AD827E" w14:textId="0885D49C" w:rsidR="005B6372" w:rsidRPr="005B6372" w:rsidRDefault="005B6372" w:rsidP="009D02E9">
            <w:pPr>
              <w:spacing w:after="0" w:line="264" w:lineRule="auto"/>
              <w:jc w:val="right"/>
              <w:rPr>
                <w:rFonts w:cs="Arial"/>
                <w:sz w:val="16"/>
                <w:szCs w:val="16"/>
              </w:rPr>
            </w:pPr>
            <w:r w:rsidRPr="005B6372">
              <w:rPr>
                <w:rFonts w:cs="Arial"/>
                <w:sz w:val="16"/>
                <w:szCs w:val="16"/>
              </w:rPr>
              <w:t>2.559</w:t>
            </w:r>
          </w:p>
        </w:tc>
        <w:tc>
          <w:tcPr>
            <w:tcW w:w="1551" w:type="dxa"/>
            <w:tcBorders>
              <w:top w:val="nil"/>
              <w:bottom w:val="nil"/>
            </w:tcBorders>
            <w:vAlign w:val="center"/>
          </w:tcPr>
          <w:p w14:paraId="7F73FE00" w14:textId="113A15C1" w:rsidR="005B6372" w:rsidRPr="005B6372" w:rsidRDefault="005B6372" w:rsidP="009D02E9">
            <w:pPr>
              <w:spacing w:after="0" w:line="264" w:lineRule="auto"/>
              <w:jc w:val="right"/>
              <w:rPr>
                <w:rFonts w:cs="Arial"/>
                <w:sz w:val="16"/>
                <w:szCs w:val="16"/>
              </w:rPr>
            </w:pPr>
            <w:r w:rsidRPr="005B6372">
              <w:rPr>
                <w:rFonts w:cs="Arial"/>
                <w:sz w:val="16"/>
                <w:szCs w:val="16"/>
              </w:rPr>
              <w:t>2.783</w:t>
            </w:r>
          </w:p>
        </w:tc>
        <w:tc>
          <w:tcPr>
            <w:tcW w:w="1037" w:type="dxa"/>
            <w:tcBorders>
              <w:top w:val="nil"/>
              <w:bottom w:val="nil"/>
            </w:tcBorders>
            <w:vAlign w:val="center"/>
          </w:tcPr>
          <w:p w14:paraId="1FE44B3A" w14:textId="7C613F9D" w:rsidR="005B6372" w:rsidRPr="005B6372" w:rsidRDefault="005B6372" w:rsidP="009D02E9">
            <w:pPr>
              <w:spacing w:after="0" w:line="264" w:lineRule="auto"/>
              <w:jc w:val="right"/>
              <w:rPr>
                <w:rFonts w:cs="Arial"/>
                <w:sz w:val="16"/>
                <w:szCs w:val="16"/>
              </w:rPr>
            </w:pPr>
            <w:r w:rsidRPr="005B6372">
              <w:rPr>
                <w:rFonts w:cs="Arial"/>
                <w:sz w:val="16"/>
                <w:szCs w:val="16"/>
              </w:rPr>
              <w:t>2.966</w:t>
            </w:r>
          </w:p>
        </w:tc>
        <w:tc>
          <w:tcPr>
            <w:tcW w:w="1043" w:type="dxa"/>
            <w:tcBorders>
              <w:top w:val="nil"/>
              <w:bottom w:val="nil"/>
              <w:right w:val="single" w:sz="2" w:space="0" w:color="A6A6A6" w:themeColor="background1" w:themeShade="A6"/>
            </w:tcBorders>
            <w:vAlign w:val="center"/>
          </w:tcPr>
          <w:p w14:paraId="1426A20D" w14:textId="39D25436" w:rsidR="005B6372" w:rsidRPr="005B6372" w:rsidRDefault="005B6372" w:rsidP="009D02E9">
            <w:pPr>
              <w:spacing w:after="0" w:line="264" w:lineRule="auto"/>
              <w:jc w:val="right"/>
              <w:rPr>
                <w:rFonts w:cs="Arial"/>
                <w:sz w:val="16"/>
                <w:szCs w:val="16"/>
              </w:rPr>
            </w:pPr>
            <w:r w:rsidRPr="005B6372">
              <w:rPr>
                <w:rFonts w:cs="Arial"/>
                <w:sz w:val="16"/>
                <w:szCs w:val="16"/>
              </w:rPr>
              <w:t>3.070</w:t>
            </w:r>
          </w:p>
        </w:tc>
      </w:tr>
      <w:tr w:rsidR="008C0A0E" w:rsidRPr="00372745" w14:paraId="4260093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2DD0BFB" w14:textId="7224594D"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Μεταβιβάσεις από ΕΟΠΥΥ</w:t>
            </w:r>
          </w:p>
        </w:tc>
        <w:tc>
          <w:tcPr>
            <w:tcW w:w="1034" w:type="dxa"/>
            <w:tcBorders>
              <w:top w:val="nil"/>
              <w:bottom w:val="nil"/>
            </w:tcBorders>
            <w:vAlign w:val="center"/>
          </w:tcPr>
          <w:p w14:paraId="05218948" w14:textId="54F55DEE" w:rsidR="005B6372" w:rsidRPr="005B6372" w:rsidRDefault="005B6372" w:rsidP="009D02E9">
            <w:pPr>
              <w:spacing w:after="0" w:line="264" w:lineRule="auto"/>
              <w:jc w:val="right"/>
              <w:rPr>
                <w:rFonts w:cs="Arial"/>
                <w:sz w:val="16"/>
                <w:szCs w:val="16"/>
              </w:rPr>
            </w:pPr>
            <w:r w:rsidRPr="005B6372">
              <w:rPr>
                <w:rFonts w:cs="Arial"/>
                <w:sz w:val="16"/>
                <w:szCs w:val="16"/>
              </w:rPr>
              <w:t>1.803</w:t>
            </w:r>
          </w:p>
        </w:tc>
        <w:tc>
          <w:tcPr>
            <w:tcW w:w="1551" w:type="dxa"/>
            <w:tcBorders>
              <w:top w:val="nil"/>
              <w:bottom w:val="nil"/>
            </w:tcBorders>
            <w:vAlign w:val="center"/>
          </w:tcPr>
          <w:p w14:paraId="729C549D" w14:textId="642143C8" w:rsidR="005B6372" w:rsidRPr="005B6372" w:rsidRDefault="005B6372" w:rsidP="009D02E9">
            <w:pPr>
              <w:spacing w:after="0" w:line="264" w:lineRule="auto"/>
              <w:jc w:val="right"/>
              <w:rPr>
                <w:rFonts w:cs="Arial"/>
                <w:sz w:val="16"/>
                <w:szCs w:val="16"/>
              </w:rPr>
            </w:pPr>
            <w:r w:rsidRPr="005B6372">
              <w:rPr>
                <w:rFonts w:cs="Arial"/>
                <w:sz w:val="16"/>
                <w:szCs w:val="16"/>
              </w:rPr>
              <w:t>1.824</w:t>
            </w:r>
          </w:p>
        </w:tc>
        <w:tc>
          <w:tcPr>
            <w:tcW w:w="1037" w:type="dxa"/>
            <w:tcBorders>
              <w:top w:val="nil"/>
              <w:bottom w:val="nil"/>
            </w:tcBorders>
            <w:vAlign w:val="center"/>
          </w:tcPr>
          <w:p w14:paraId="7266F37C" w14:textId="6B324511" w:rsidR="005B6372" w:rsidRPr="005B6372" w:rsidRDefault="005B6372" w:rsidP="009D02E9">
            <w:pPr>
              <w:spacing w:after="0" w:line="264" w:lineRule="auto"/>
              <w:jc w:val="right"/>
              <w:rPr>
                <w:rFonts w:cs="Arial"/>
                <w:sz w:val="16"/>
                <w:szCs w:val="16"/>
              </w:rPr>
            </w:pPr>
            <w:r w:rsidRPr="005B6372">
              <w:rPr>
                <w:rFonts w:cs="Arial"/>
                <w:sz w:val="16"/>
                <w:szCs w:val="16"/>
              </w:rPr>
              <w:t>1.813</w:t>
            </w:r>
          </w:p>
        </w:tc>
        <w:tc>
          <w:tcPr>
            <w:tcW w:w="1043" w:type="dxa"/>
            <w:tcBorders>
              <w:top w:val="nil"/>
              <w:bottom w:val="nil"/>
              <w:right w:val="single" w:sz="2" w:space="0" w:color="A6A6A6" w:themeColor="background1" w:themeShade="A6"/>
            </w:tcBorders>
            <w:vAlign w:val="center"/>
          </w:tcPr>
          <w:p w14:paraId="7297BDFA" w14:textId="02908F39" w:rsidR="005B6372" w:rsidRPr="005B6372" w:rsidRDefault="005B6372" w:rsidP="009D02E9">
            <w:pPr>
              <w:spacing w:after="0" w:line="264" w:lineRule="auto"/>
              <w:jc w:val="right"/>
              <w:rPr>
                <w:rFonts w:cs="Arial"/>
                <w:sz w:val="16"/>
                <w:szCs w:val="16"/>
              </w:rPr>
            </w:pPr>
            <w:r w:rsidRPr="005B6372">
              <w:rPr>
                <w:rFonts w:cs="Arial"/>
                <w:sz w:val="16"/>
                <w:szCs w:val="16"/>
              </w:rPr>
              <w:t>1.813</w:t>
            </w:r>
          </w:p>
        </w:tc>
      </w:tr>
      <w:tr w:rsidR="008C0A0E" w:rsidRPr="00372745" w14:paraId="5EB9111B"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6007843" w14:textId="60C22724"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Λοιπά έσοδα</w:t>
            </w:r>
          </w:p>
        </w:tc>
        <w:tc>
          <w:tcPr>
            <w:tcW w:w="1034" w:type="dxa"/>
            <w:tcBorders>
              <w:top w:val="nil"/>
              <w:bottom w:val="nil"/>
            </w:tcBorders>
            <w:vAlign w:val="center"/>
          </w:tcPr>
          <w:p w14:paraId="1B126FF8" w14:textId="7ED31C80" w:rsidR="005B6372" w:rsidRPr="005B6372" w:rsidRDefault="005B6372" w:rsidP="009D02E9">
            <w:pPr>
              <w:spacing w:after="0" w:line="264" w:lineRule="auto"/>
              <w:jc w:val="right"/>
              <w:rPr>
                <w:rFonts w:cs="Arial"/>
                <w:sz w:val="16"/>
                <w:szCs w:val="16"/>
              </w:rPr>
            </w:pPr>
            <w:r w:rsidRPr="005B6372">
              <w:rPr>
                <w:rFonts w:cs="Arial"/>
                <w:sz w:val="16"/>
                <w:szCs w:val="16"/>
              </w:rPr>
              <w:t>150</w:t>
            </w:r>
          </w:p>
        </w:tc>
        <w:tc>
          <w:tcPr>
            <w:tcW w:w="1551" w:type="dxa"/>
            <w:tcBorders>
              <w:top w:val="nil"/>
              <w:bottom w:val="nil"/>
            </w:tcBorders>
            <w:vAlign w:val="center"/>
          </w:tcPr>
          <w:p w14:paraId="2D5E3777" w14:textId="03F94D72" w:rsidR="005B6372" w:rsidRPr="005B6372" w:rsidRDefault="005B6372" w:rsidP="009D02E9">
            <w:pPr>
              <w:spacing w:after="0" w:line="264" w:lineRule="auto"/>
              <w:jc w:val="right"/>
              <w:rPr>
                <w:rFonts w:cs="Arial"/>
                <w:sz w:val="16"/>
                <w:szCs w:val="16"/>
              </w:rPr>
            </w:pPr>
            <w:r w:rsidRPr="005B6372">
              <w:rPr>
                <w:rFonts w:cs="Arial"/>
                <w:sz w:val="16"/>
                <w:szCs w:val="16"/>
              </w:rPr>
              <w:t>193</w:t>
            </w:r>
          </w:p>
        </w:tc>
        <w:tc>
          <w:tcPr>
            <w:tcW w:w="1037" w:type="dxa"/>
            <w:tcBorders>
              <w:top w:val="nil"/>
              <w:bottom w:val="nil"/>
            </w:tcBorders>
            <w:vAlign w:val="center"/>
          </w:tcPr>
          <w:p w14:paraId="128296D1" w14:textId="0E1CCB09" w:rsidR="005B6372" w:rsidRPr="005B6372" w:rsidRDefault="005B6372" w:rsidP="009D02E9">
            <w:pPr>
              <w:spacing w:after="0" w:line="264" w:lineRule="auto"/>
              <w:jc w:val="right"/>
              <w:rPr>
                <w:rFonts w:cs="Arial"/>
                <w:sz w:val="16"/>
                <w:szCs w:val="16"/>
              </w:rPr>
            </w:pPr>
            <w:r w:rsidRPr="005B6372">
              <w:rPr>
                <w:rFonts w:cs="Arial"/>
                <w:sz w:val="16"/>
                <w:szCs w:val="16"/>
              </w:rPr>
              <w:t>174</w:t>
            </w:r>
          </w:p>
        </w:tc>
        <w:tc>
          <w:tcPr>
            <w:tcW w:w="1043" w:type="dxa"/>
            <w:tcBorders>
              <w:top w:val="nil"/>
              <w:bottom w:val="nil"/>
              <w:right w:val="single" w:sz="2" w:space="0" w:color="A6A6A6" w:themeColor="background1" w:themeShade="A6"/>
            </w:tcBorders>
            <w:vAlign w:val="center"/>
          </w:tcPr>
          <w:p w14:paraId="36E08773" w14:textId="01A5C9BA" w:rsidR="005B6372" w:rsidRPr="005B6372" w:rsidRDefault="005B6372" w:rsidP="009D02E9">
            <w:pPr>
              <w:spacing w:after="0" w:line="264" w:lineRule="auto"/>
              <w:jc w:val="right"/>
              <w:rPr>
                <w:rFonts w:cs="Arial"/>
                <w:sz w:val="16"/>
                <w:szCs w:val="16"/>
              </w:rPr>
            </w:pPr>
            <w:r w:rsidRPr="005B6372">
              <w:rPr>
                <w:rFonts w:cs="Arial"/>
                <w:sz w:val="16"/>
                <w:szCs w:val="16"/>
              </w:rPr>
              <w:t>179</w:t>
            </w:r>
          </w:p>
        </w:tc>
      </w:tr>
      <w:tr w:rsidR="008C0A0E" w:rsidRPr="00372745" w14:paraId="315497DA"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CD219D6" w14:textId="136480EC" w:rsidR="005B6372"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5B6372" w:rsidRPr="00372745">
              <w:rPr>
                <w:rFonts w:cs="Arial"/>
                <w:b/>
                <w:bCs/>
                <w:sz w:val="16"/>
                <w:szCs w:val="16"/>
              </w:rPr>
              <w:t>Έξοδα</w:t>
            </w:r>
          </w:p>
        </w:tc>
        <w:tc>
          <w:tcPr>
            <w:tcW w:w="1034" w:type="dxa"/>
            <w:tcBorders>
              <w:top w:val="nil"/>
              <w:bottom w:val="nil"/>
            </w:tcBorders>
            <w:vAlign w:val="center"/>
          </w:tcPr>
          <w:p w14:paraId="23362F90" w14:textId="5038938D" w:rsidR="005B6372" w:rsidRPr="005B6372" w:rsidRDefault="005B6372" w:rsidP="009D02E9">
            <w:pPr>
              <w:spacing w:after="0" w:line="264" w:lineRule="auto"/>
              <w:jc w:val="right"/>
              <w:rPr>
                <w:rFonts w:cs="Arial"/>
                <w:b/>
                <w:bCs/>
                <w:sz w:val="16"/>
                <w:szCs w:val="16"/>
              </w:rPr>
            </w:pPr>
            <w:r w:rsidRPr="005B6372">
              <w:rPr>
                <w:rFonts w:cs="Arial"/>
                <w:b/>
                <w:bCs/>
                <w:sz w:val="16"/>
                <w:szCs w:val="16"/>
              </w:rPr>
              <w:t>4.377</w:t>
            </w:r>
          </w:p>
        </w:tc>
        <w:tc>
          <w:tcPr>
            <w:tcW w:w="1551" w:type="dxa"/>
            <w:tcBorders>
              <w:top w:val="nil"/>
              <w:bottom w:val="nil"/>
            </w:tcBorders>
            <w:vAlign w:val="center"/>
          </w:tcPr>
          <w:p w14:paraId="70CB74DC" w14:textId="25815DCB" w:rsidR="005B6372" w:rsidRPr="005B6372" w:rsidRDefault="005B6372" w:rsidP="009D02E9">
            <w:pPr>
              <w:spacing w:after="0" w:line="264" w:lineRule="auto"/>
              <w:jc w:val="right"/>
              <w:rPr>
                <w:rFonts w:cs="Arial"/>
                <w:b/>
                <w:bCs/>
                <w:sz w:val="16"/>
                <w:szCs w:val="16"/>
              </w:rPr>
            </w:pPr>
            <w:r w:rsidRPr="005B6372">
              <w:rPr>
                <w:rFonts w:cs="Arial"/>
                <w:b/>
                <w:bCs/>
                <w:sz w:val="16"/>
                <w:szCs w:val="16"/>
              </w:rPr>
              <w:t>4.318</w:t>
            </w:r>
          </w:p>
        </w:tc>
        <w:tc>
          <w:tcPr>
            <w:tcW w:w="1037" w:type="dxa"/>
            <w:tcBorders>
              <w:top w:val="nil"/>
              <w:bottom w:val="nil"/>
            </w:tcBorders>
            <w:vAlign w:val="center"/>
          </w:tcPr>
          <w:p w14:paraId="484F1C0D" w14:textId="6EF80451" w:rsidR="005B6372" w:rsidRPr="005B6372" w:rsidRDefault="005B6372" w:rsidP="009D02E9">
            <w:pPr>
              <w:spacing w:after="0" w:line="264" w:lineRule="auto"/>
              <w:jc w:val="right"/>
              <w:rPr>
                <w:rFonts w:cs="Arial"/>
                <w:b/>
                <w:bCs/>
                <w:sz w:val="16"/>
                <w:szCs w:val="16"/>
              </w:rPr>
            </w:pPr>
            <w:r w:rsidRPr="005B6372">
              <w:rPr>
                <w:rFonts w:cs="Arial"/>
                <w:b/>
                <w:bCs/>
                <w:sz w:val="16"/>
                <w:szCs w:val="16"/>
              </w:rPr>
              <w:t>4.469</w:t>
            </w:r>
          </w:p>
        </w:tc>
        <w:tc>
          <w:tcPr>
            <w:tcW w:w="1043" w:type="dxa"/>
            <w:tcBorders>
              <w:top w:val="nil"/>
              <w:bottom w:val="nil"/>
              <w:right w:val="single" w:sz="2" w:space="0" w:color="A6A6A6" w:themeColor="background1" w:themeShade="A6"/>
            </w:tcBorders>
            <w:vAlign w:val="center"/>
          </w:tcPr>
          <w:p w14:paraId="1DF3E994" w14:textId="3BCA93E2" w:rsidR="005B6372" w:rsidRPr="005B6372" w:rsidRDefault="005B6372" w:rsidP="009D02E9">
            <w:pPr>
              <w:spacing w:after="0" w:line="264" w:lineRule="auto"/>
              <w:jc w:val="right"/>
              <w:rPr>
                <w:rFonts w:cs="Arial"/>
                <w:b/>
                <w:bCs/>
                <w:sz w:val="16"/>
                <w:szCs w:val="16"/>
              </w:rPr>
            </w:pPr>
            <w:r w:rsidRPr="005B6372">
              <w:rPr>
                <w:rFonts w:cs="Arial"/>
                <w:b/>
                <w:bCs/>
                <w:sz w:val="16"/>
                <w:szCs w:val="16"/>
              </w:rPr>
              <w:t>4.456</w:t>
            </w:r>
          </w:p>
        </w:tc>
      </w:tr>
      <w:tr w:rsidR="008C0A0E" w:rsidRPr="00372745" w14:paraId="4C68E89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5524BCE" w14:textId="11B2A658"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 xml:space="preserve">Παροχές σε </w:t>
            </w:r>
            <w:r w:rsidR="005B6372">
              <w:rPr>
                <w:rFonts w:cs="Arial"/>
                <w:sz w:val="16"/>
                <w:szCs w:val="16"/>
              </w:rPr>
              <w:t>ε</w:t>
            </w:r>
            <w:r w:rsidR="005B6372" w:rsidRPr="00372745">
              <w:rPr>
                <w:rFonts w:cs="Arial"/>
                <w:sz w:val="16"/>
                <w:szCs w:val="16"/>
              </w:rPr>
              <w:t>ργαζόμενους</w:t>
            </w:r>
          </w:p>
        </w:tc>
        <w:tc>
          <w:tcPr>
            <w:tcW w:w="1034" w:type="dxa"/>
            <w:tcBorders>
              <w:top w:val="nil"/>
              <w:bottom w:val="nil"/>
            </w:tcBorders>
            <w:vAlign w:val="center"/>
          </w:tcPr>
          <w:p w14:paraId="1132EDDD" w14:textId="659813B3" w:rsidR="005B6372" w:rsidRPr="005B6372" w:rsidRDefault="005B6372" w:rsidP="009D02E9">
            <w:pPr>
              <w:spacing w:after="0" w:line="264" w:lineRule="auto"/>
              <w:jc w:val="right"/>
              <w:rPr>
                <w:rFonts w:cs="Arial"/>
                <w:sz w:val="16"/>
                <w:szCs w:val="16"/>
              </w:rPr>
            </w:pPr>
            <w:r w:rsidRPr="005B6372">
              <w:rPr>
                <w:rFonts w:cs="Arial"/>
                <w:sz w:val="16"/>
                <w:szCs w:val="16"/>
              </w:rPr>
              <w:t>845</w:t>
            </w:r>
          </w:p>
        </w:tc>
        <w:tc>
          <w:tcPr>
            <w:tcW w:w="1551" w:type="dxa"/>
            <w:tcBorders>
              <w:top w:val="nil"/>
              <w:bottom w:val="nil"/>
            </w:tcBorders>
            <w:vAlign w:val="center"/>
          </w:tcPr>
          <w:p w14:paraId="69DBEA75" w14:textId="1638A8A0" w:rsidR="005B6372" w:rsidRPr="005B6372" w:rsidRDefault="005B6372" w:rsidP="009D02E9">
            <w:pPr>
              <w:spacing w:after="0" w:line="264" w:lineRule="auto"/>
              <w:jc w:val="right"/>
              <w:rPr>
                <w:rFonts w:cs="Arial"/>
                <w:sz w:val="16"/>
                <w:szCs w:val="16"/>
              </w:rPr>
            </w:pPr>
            <w:r w:rsidRPr="005B6372">
              <w:rPr>
                <w:rFonts w:cs="Arial"/>
                <w:sz w:val="16"/>
                <w:szCs w:val="16"/>
              </w:rPr>
              <w:t>801</w:t>
            </w:r>
          </w:p>
        </w:tc>
        <w:tc>
          <w:tcPr>
            <w:tcW w:w="1037" w:type="dxa"/>
            <w:tcBorders>
              <w:top w:val="nil"/>
              <w:bottom w:val="nil"/>
            </w:tcBorders>
            <w:vAlign w:val="center"/>
          </w:tcPr>
          <w:p w14:paraId="34BE8D08" w14:textId="16A9B980" w:rsidR="005B6372" w:rsidRPr="005B6372" w:rsidRDefault="005B6372" w:rsidP="009D02E9">
            <w:pPr>
              <w:spacing w:after="0" w:line="264" w:lineRule="auto"/>
              <w:jc w:val="right"/>
              <w:rPr>
                <w:rFonts w:cs="Arial"/>
                <w:sz w:val="16"/>
                <w:szCs w:val="16"/>
              </w:rPr>
            </w:pPr>
            <w:r w:rsidRPr="005B6372">
              <w:rPr>
                <w:rFonts w:cs="Arial"/>
                <w:sz w:val="16"/>
                <w:szCs w:val="16"/>
              </w:rPr>
              <w:t>961</w:t>
            </w:r>
          </w:p>
        </w:tc>
        <w:tc>
          <w:tcPr>
            <w:tcW w:w="1043" w:type="dxa"/>
            <w:tcBorders>
              <w:top w:val="nil"/>
              <w:bottom w:val="nil"/>
              <w:right w:val="single" w:sz="2" w:space="0" w:color="A6A6A6" w:themeColor="background1" w:themeShade="A6"/>
            </w:tcBorders>
            <w:vAlign w:val="center"/>
          </w:tcPr>
          <w:p w14:paraId="0D352F6C" w14:textId="083E1FE5" w:rsidR="005B6372" w:rsidRPr="005B6372" w:rsidRDefault="005B6372" w:rsidP="009D02E9">
            <w:pPr>
              <w:spacing w:after="0" w:line="264" w:lineRule="auto"/>
              <w:jc w:val="right"/>
              <w:rPr>
                <w:rFonts w:cs="Arial"/>
                <w:sz w:val="16"/>
                <w:szCs w:val="16"/>
              </w:rPr>
            </w:pPr>
            <w:r w:rsidRPr="005B6372">
              <w:rPr>
                <w:rFonts w:cs="Arial"/>
                <w:sz w:val="16"/>
                <w:szCs w:val="16"/>
              </w:rPr>
              <w:t>979</w:t>
            </w:r>
          </w:p>
        </w:tc>
      </w:tr>
      <w:tr w:rsidR="008C0A0E" w:rsidRPr="00372745" w14:paraId="7CAE2C64"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FB00F6B" w14:textId="0DA431D3"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Τόκοι χρεωστικοί</w:t>
            </w:r>
          </w:p>
        </w:tc>
        <w:tc>
          <w:tcPr>
            <w:tcW w:w="1034" w:type="dxa"/>
            <w:tcBorders>
              <w:top w:val="nil"/>
              <w:bottom w:val="nil"/>
            </w:tcBorders>
            <w:vAlign w:val="center"/>
          </w:tcPr>
          <w:p w14:paraId="504C73E8" w14:textId="525A571A" w:rsidR="005B6372" w:rsidRPr="005B6372" w:rsidRDefault="005B6372" w:rsidP="009D02E9">
            <w:pPr>
              <w:spacing w:after="0" w:line="264" w:lineRule="auto"/>
              <w:jc w:val="right"/>
              <w:rPr>
                <w:rFonts w:cs="Arial"/>
                <w:sz w:val="16"/>
                <w:szCs w:val="16"/>
              </w:rPr>
            </w:pPr>
            <w:r w:rsidRPr="005B6372">
              <w:rPr>
                <w:rFonts w:cs="Arial"/>
                <w:sz w:val="16"/>
                <w:szCs w:val="16"/>
              </w:rPr>
              <w:t>0</w:t>
            </w:r>
          </w:p>
        </w:tc>
        <w:tc>
          <w:tcPr>
            <w:tcW w:w="1551" w:type="dxa"/>
            <w:tcBorders>
              <w:top w:val="nil"/>
              <w:bottom w:val="nil"/>
            </w:tcBorders>
            <w:vAlign w:val="center"/>
          </w:tcPr>
          <w:p w14:paraId="200764D3" w14:textId="6ECC6226" w:rsidR="005B6372" w:rsidRPr="005B6372" w:rsidRDefault="005B6372" w:rsidP="009D02E9">
            <w:pPr>
              <w:spacing w:after="0" w:line="264" w:lineRule="auto"/>
              <w:jc w:val="right"/>
              <w:rPr>
                <w:rFonts w:cs="Arial"/>
                <w:sz w:val="16"/>
                <w:szCs w:val="16"/>
              </w:rPr>
            </w:pPr>
            <w:r w:rsidRPr="005B6372">
              <w:rPr>
                <w:rFonts w:cs="Arial"/>
                <w:sz w:val="16"/>
                <w:szCs w:val="16"/>
              </w:rPr>
              <w:t>0</w:t>
            </w:r>
          </w:p>
        </w:tc>
        <w:tc>
          <w:tcPr>
            <w:tcW w:w="1037" w:type="dxa"/>
            <w:tcBorders>
              <w:top w:val="nil"/>
              <w:bottom w:val="nil"/>
            </w:tcBorders>
            <w:vAlign w:val="center"/>
          </w:tcPr>
          <w:p w14:paraId="56B3A873" w14:textId="31DE469D" w:rsidR="005B6372" w:rsidRPr="005B6372" w:rsidRDefault="005B6372" w:rsidP="009D02E9">
            <w:pPr>
              <w:spacing w:after="0" w:line="264" w:lineRule="auto"/>
              <w:jc w:val="right"/>
              <w:rPr>
                <w:rFonts w:cs="Arial"/>
                <w:sz w:val="16"/>
                <w:szCs w:val="16"/>
              </w:rPr>
            </w:pPr>
            <w:r w:rsidRPr="005B6372">
              <w:rPr>
                <w:rFonts w:cs="Arial"/>
                <w:sz w:val="16"/>
                <w:szCs w:val="16"/>
              </w:rPr>
              <w:t>0</w:t>
            </w:r>
          </w:p>
        </w:tc>
        <w:tc>
          <w:tcPr>
            <w:tcW w:w="1043" w:type="dxa"/>
            <w:tcBorders>
              <w:top w:val="nil"/>
              <w:bottom w:val="nil"/>
              <w:right w:val="single" w:sz="2" w:space="0" w:color="A6A6A6" w:themeColor="background1" w:themeShade="A6"/>
            </w:tcBorders>
            <w:vAlign w:val="center"/>
          </w:tcPr>
          <w:p w14:paraId="45522DA7" w14:textId="3747C3C9" w:rsidR="005B6372" w:rsidRPr="005B6372" w:rsidRDefault="005B6372" w:rsidP="009D02E9">
            <w:pPr>
              <w:spacing w:after="0" w:line="264" w:lineRule="auto"/>
              <w:jc w:val="right"/>
              <w:rPr>
                <w:rFonts w:cs="Arial"/>
                <w:sz w:val="16"/>
                <w:szCs w:val="16"/>
              </w:rPr>
            </w:pPr>
            <w:r w:rsidRPr="005B6372">
              <w:rPr>
                <w:rFonts w:cs="Arial"/>
                <w:sz w:val="16"/>
                <w:szCs w:val="16"/>
              </w:rPr>
              <w:t>0</w:t>
            </w:r>
          </w:p>
        </w:tc>
      </w:tr>
      <w:tr w:rsidR="008C0A0E" w:rsidRPr="00372745" w14:paraId="20189610"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0E9F888" w14:textId="6F181370"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Λοιπά έξοδα</w:t>
            </w:r>
          </w:p>
        </w:tc>
        <w:tc>
          <w:tcPr>
            <w:tcW w:w="1034" w:type="dxa"/>
            <w:tcBorders>
              <w:top w:val="nil"/>
              <w:bottom w:val="nil"/>
            </w:tcBorders>
            <w:vAlign w:val="center"/>
          </w:tcPr>
          <w:p w14:paraId="6AF04B27" w14:textId="572ECC30" w:rsidR="005B6372" w:rsidRPr="005B6372" w:rsidRDefault="005B6372" w:rsidP="009D02E9">
            <w:pPr>
              <w:spacing w:after="0" w:line="264" w:lineRule="auto"/>
              <w:jc w:val="right"/>
              <w:rPr>
                <w:rFonts w:cs="Arial"/>
                <w:sz w:val="16"/>
                <w:szCs w:val="16"/>
              </w:rPr>
            </w:pPr>
            <w:r w:rsidRPr="005B6372">
              <w:rPr>
                <w:rFonts w:cs="Arial"/>
                <w:sz w:val="16"/>
                <w:szCs w:val="16"/>
              </w:rPr>
              <w:t>3.252</w:t>
            </w:r>
          </w:p>
        </w:tc>
        <w:tc>
          <w:tcPr>
            <w:tcW w:w="1551" w:type="dxa"/>
            <w:tcBorders>
              <w:top w:val="nil"/>
              <w:bottom w:val="nil"/>
            </w:tcBorders>
            <w:vAlign w:val="center"/>
          </w:tcPr>
          <w:p w14:paraId="1F7FF787" w14:textId="395C22EE" w:rsidR="005B6372" w:rsidRPr="005B6372" w:rsidRDefault="005B6372" w:rsidP="009D02E9">
            <w:pPr>
              <w:spacing w:after="0" w:line="264" w:lineRule="auto"/>
              <w:jc w:val="right"/>
              <w:rPr>
                <w:rFonts w:cs="Arial"/>
                <w:sz w:val="16"/>
                <w:szCs w:val="16"/>
              </w:rPr>
            </w:pPr>
            <w:r w:rsidRPr="005B6372">
              <w:rPr>
                <w:rFonts w:cs="Arial"/>
                <w:sz w:val="16"/>
                <w:szCs w:val="16"/>
              </w:rPr>
              <w:t>3.154</w:t>
            </w:r>
          </w:p>
        </w:tc>
        <w:tc>
          <w:tcPr>
            <w:tcW w:w="1037" w:type="dxa"/>
            <w:tcBorders>
              <w:top w:val="nil"/>
              <w:bottom w:val="nil"/>
            </w:tcBorders>
            <w:vAlign w:val="center"/>
          </w:tcPr>
          <w:p w14:paraId="0B47C04D" w14:textId="1EB4E7F8" w:rsidR="005B6372" w:rsidRPr="005B6372" w:rsidRDefault="005B6372" w:rsidP="009D02E9">
            <w:pPr>
              <w:spacing w:after="0" w:line="264" w:lineRule="auto"/>
              <w:jc w:val="right"/>
              <w:rPr>
                <w:rFonts w:cs="Arial"/>
                <w:sz w:val="16"/>
                <w:szCs w:val="16"/>
              </w:rPr>
            </w:pPr>
            <w:r w:rsidRPr="005B6372">
              <w:rPr>
                <w:rFonts w:cs="Arial"/>
                <w:sz w:val="16"/>
                <w:szCs w:val="16"/>
              </w:rPr>
              <w:t>3.092</w:t>
            </w:r>
          </w:p>
        </w:tc>
        <w:tc>
          <w:tcPr>
            <w:tcW w:w="1043" w:type="dxa"/>
            <w:tcBorders>
              <w:top w:val="nil"/>
              <w:bottom w:val="nil"/>
              <w:right w:val="single" w:sz="2" w:space="0" w:color="A6A6A6" w:themeColor="background1" w:themeShade="A6"/>
            </w:tcBorders>
            <w:vAlign w:val="center"/>
          </w:tcPr>
          <w:p w14:paraId="5AA8FDAC" w14:textId="1D33D0F7" w:rsidR="005B6372" w:rsidRPr="005B6372" w:rsidRDefault="005B6372" w:rsidP="009D02E9">
            <w:pPr>
              <w:spacing w:after="0" w:line="264" w:lineRule="auto"/>
              <w:jc w:val="right"/>
              <w:rPr>
                <w:rFonts w:cs="Arial"/>
                <w:sz w:val="16"/>
                <w:szCs w:val="16"/>
              </w:rPr>
            </w:pPr>
            <w:r w:rsidRPr="005B6372">
              <w:rPr>
                <w:rFonts w:cs="Arial"/>
                <w:sz w:val="16"/>
                <w:szCs w:val="16"/>
              </w:rPr>
              <w:t>3.210</w:t>
            </w:r>
          </w:p>
        </w:tc>
      </w:tr>
      <w:tr w:rsidR="008C0A0E" w:rsidRPr="00372745" w14:paraId="523F4F64"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A41B0D6" w14:textId="09AE9AD7"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Επενδυτικές δαπάνες</w:t>
            </w:r>
          </w:p>
        </w:tc>
        <w:tc>
          <w:tcPr>
            <w:tcW w:w="1034" w:type="dxa"/>
            <w:tcBorders>
              <w:top w:val="nil"/>
              <w:bottom w:val="nil"/>
            </w:tcBorders>
            <w:vAlign w:val="center"/>
          </w:tcPr>
          <w:p w14:paraId="7529F774" w14:textId="67E44C39" w:rsidR="005B6372" w:rsidRPr="005B6372" w:rsidRDefault="005B6372" w:rsidP="009D02E9">
            <w:pPr>
              <w:spacing w:after="0" w:line="264" w:lineRule="auto"/>
              <w:jc w:val="right"/>
              <w:rPr>
                <w:rFonts w:cs="Arial"/>
                <w:sz w:val="16"/>
                <w:szCs w:val="16"/>
              </w:rPr>
            </w:pPr>
            <w:r w:rsidRPr="005B6372">
              <w:rPr>
                <w:rFonts w:cs="Arial"/>
                <w:sz w:val="16"/>
                <w:szCs w:val="16"/>
              </w:rPr>
              <w:t>281</w:t>
            </w:r>
          </w:p>
        </w:tc>
        <w:tc>
          <w:tcPr>
            <w:tcW w:w="1551" w:type="dxa"/>
            <w:tcBorders>
              <w:top w:val="nil"/>
              <w:bottom w:val="nil"/>
            </w:tcBorders>
            <w:vAlign w:val="center"/>
          </w:tcPr>
          <w:p w14:paraId="660704B1" w14:textId="3C4D2543" w:rsidR="005B6372" w:rsidRPr="005B6372" w:rsidRDefault="005B6372" w:rsidP="009D02E9">
            <w:pPr>
              <w:spacing w:after="0" w:line="264" w:lineRule="auto"/>
              <w:jc w:val="right"/>
              <w:rPr>
                <w:rFonts w:cs="Arial"/>
                <w:sz w:val="16"/>
                <w:szCs w:val="16"/>
              </w:rPr>
            </w:pPr>
            <w:r w:rsidRPr="005B6372">
              <w:rPr>
                <w:rFonts w:cs="Arial"/>
                <w:sz w:val="16"/>
                <w:szCs w:val="16"/>
              </w:rPr>
              <w:t>363</w:t>
            </w:r>
          </w:p>
        </w:tc>
        <w:tc>
          <w:tcPr>
            <w:tcW w:w="1037" w:type="dxa"/>
            <w:tcBorders>
              <w:top w:val="nil"/>
              <w:bottom w:val="nil"/>
            </w:tcBorders>
            <w:vAlign w:val="center"/>
          </w:tcPr>
          <w:p w14:paraId="364BD557" w14:textId="769B4D29" w:rsidR="005B6372" w:rsidRPr="005B6372" w:rsidRDefault="005B6372" w:rsidP="009D02E9">
            <w:pPr>
              <w:spacing w:after="0" w:line="264" w:lineRule="auto"/>
              <w:jc w:val="right"/>
              <w:rPr>
                <w:rFonts w:cs="Arial"/>
                <w:sz w:val="16"/>
                <w:szCs w:val="16"/>
              </w:rPr>
            </w:pPr>
            <w:r w:rsidRPr="005B6372">
              <w:rPr>
                <w:rFonts w:cs="Arial"/>
                <w:sz w:val="16"/>
                <w:szCs w:val="16"/>
              </w:rPr>
              <w:t>416</w:t>
            </w:r>
          </w:p>
        </w:tc>
        <w:tc>
          <w:tcPr>
            <w:tcW w:w="1043" w:type="dxa"/>
            <w:tcBorders>
              <w:top w:val="nil"/>
              <w:bottom w:val="nil"/>
              <w:right w:val="single" w:sz="2" w:space="0" w:color="A6A6A6" w:themeColor="background1" w:themeShade="A6"/>
            </w:tcBorders>
            <w:vAlign w:val="center"/>
          </w:tcPr>
          <w:p w14:paraId="164438AF" w14:textId="3EEC0539" w:rsidR="005B6372" w:rsidRPr="005B6372" w:rsidRDefault="005B6372" w:rsidP="009D02E9">
            <w:pPr>
              <w:spacing w:after="0" w:line="264" w:lineRule="auto"/>
              <w:jc w:val="right"/>
              <w:rPr>
                <w:rFonts w:cs="Arial"/>
                <w:sz w:val="16"/>
                <w:szCs w:val="16"/>
              </w:rPr>
            </w:pPr>
            <w:r w:rsidRPr="005B6372">
              <w:rPr>
                <w:rFonts w:cs="Arial"/>
                <w:sz w:val="16"/>
                <w:szCs w:val="16"/>
              </w:rPr>
              <w:t>266</w:t>
            </w:r>
          </w:p>
        </w:tc>
      </w:tr>
      <w:tr w:rsidR="008C0A0E" w:rsidRPr="00372745" w14:paraId="70EF94C5"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16311DD" w14:textId="59990927" w:rsidR="00734128" w:rsidRPr="00372745" w:rsidRDefault="00734128" w:rsidP="009D02E9">
            <w:pPr>
              <w:tabs>
                <w:tab w:val="left" w:pos="340"/>
              </w:tabs>
              <w:spacing w:after="0" w:line="264" w:lineRule="auto"/>
              <w:jc w:val="left"/>
              <w:rPr>
                <w:rFonts w:cs="Arial"/>
                <w:b/>
                <w:bCs/>
                <w:sz w:val="16"/>
                <w:szCs w:val="16"/>
              </w:rPr>
            </w:pPr>
            <w:r w:rsidRPr="00372745">
              <w:rPr>
                <w:rFonts w:cs="Arial"/>
                <w:b/>
                <w:bCs/>
                <w:sz w:val="16"/>
                <w:szCs w:val="16"/>
              </w:rPr>
              <w:t>VΙΙ.</w:t>
            </w:r>
            <w:r w:rsidR="00CA2839">
              <w:rPr>
                <w:rFonts w:cs="Arial"/>
                <w:b/>
                <w:bCs/>
                <w:sz w:val="16"/>
                <w:szCs w:val="16"/>
              </w:rPr>
              <w:tab/>
            </w:r>
            <w:r w:rsidRPr="00372745">
              <w:rPr>
                <w:rFonts w:cs="Arial"/>
                <w:b/>
                <w:bCs/>
                <w:sz w:val="16"/>
                <w:szCs w:val="16"/>
              </w:rPr>
              <w:t>Ισοζύγιο Κεντρικής Κυβέρνησης κατά ESA (ΙII+V+VΙ)</w:t>
            </w:r>
          </w:p>
        </w:tc>
        <w:tc>
          <w:tcPr>
            <w:tcW w:w="1034" w:type="dxa"/>
            <w:tcBorders>
              <w:top w:val="nil"/>
              <w:bottom w:val="nil"/>
            </w:tcBorders>
            <w:shd w:val="clear" w:color="auto" w:fill="D5DCE4"/>
            <w:vAlign w:val="center"/>
          </w:tcPr>
          <w:p w14:paraId="40B109B3" w14:textId="207D0AAB" w:rsidR="00734128" w:rsidRPr="00734128" w:rsidRDefault="00734128" w:rsidP="009D02E9">
            <w:pPr>
              <w:spacing w:after="0" w:line="264" w:lineRule="auto"/>
              <w:jc w:val="right"/>
              <w:rPr>
                <w:rFonts w:cs="Arial"/>
                <w:b/>
                <w:bCs/>
                <w:sz w:val="16"/>
                <w:szCs w:val="16"/>
              </w:rPr>
            </w:pPr>
            <w:r w:rsidRPr="00734128">
              <w:rPr>
                <w:rFonts w:cs="Arial"/>
                <w:b/>
                <w:bCs/>
                <w:sz w:val="16"/>
                <w:szCs w:val="16"/>
              </w:rPr>
              <w:t>2.301</w:t>
            </w:r>
          </w:p>
        </w:tc>
        <w:tc>
          <w:tcPr>
            <w:tcW w:w="1551" w:type="dxa"/>
            <w:tcBorders>
              <w:top w:val="nil"/>
              <w:bottom w:val="nil"/>
            </w:tcBorders>
            <w:shd w:val="clear" w:color="auto" w:fill="D5DCE4"/>
            <w:vAlign w:val="center"/>
          </w:tcPr>
          <w:p w14:paraId="62CDFDA1" w14:textId="780EFC0A" w:rsidR="00734128" w:rsidRPr="00734128" w:rsidRDefault="00734128" w:rsidP="009D02E9">
            <w:pPr>
              <w:spacing w:after="0" w:line="264" w:lineRule="auto"/>
              <w:jc w:val="right"/>
              <w:rPr>
                <w:rFonts w:cs="Arial"/>
                <w:b/>
                <w:bCs/>
                <w:sz w:val="16"/>
                <w:szCs w:val="16"/>
              </w:rPr>
            </w:pPr>
            <w:r w:rsidRPr="00734128">
              <w:rPr>
                <w:rFonts w:cs="Arial"/>
                <w:b/>
                <w:bCs/>
                <w:sz w:val="16"/>
                <w:szCs w:val="16"/>
              </w:rPr>
              <w:t>-2.397</w:t>
            </w:r>
          </w:p>
        </w:tc>
        <w:tc>
          <w:tcPr>
            <w:tcW w:w="1037" w:type="dxa"/>
            <w:tcBorders>
              <w:top w:val="nil"/>
              <w:bottom w:val="nil"/>
            </w:tcBorders>
            <w:shd w:val="clear" w:color="auto" w:fill="D5DCE4"/>
            <w:vAlign w:val="center"/>
          </w:tcPr>
          <w:p w14:paraId="1387EF05" w14:textId="71E7F521" w:rsidR="00734128" w:rsidRPr="00734128" w:rsidRDefault="00734128" w:rsidP="009D02E9">
            <w:pPr>
              <w:spacing w:after="0" w:line="264" w:lineRule="auto"/>
              <w:jc w:val="right"/>
              <w:rPr>
                <w:rFonts w:cs="Arial"/>
                <w:b/>
                <w:bCs/>
                <w:sz w:val="16"/>
                <w:szCs w:val="16"/>
              </w:rPr>
            </w:pPr>
            <w:r w:rsidRPr="00734128">
              <w:rPr>
                <w:rFonts w:cs="Arial"/>
                <w:b/>
                <w:bCs/>
                <w:sz w:val="16"/>
                <w:szCs w:val="16"/>
              </w:rPr>
              <w:t>-93</w:t>
            </w:r>
          </w:p>
        </w:tc>
        <w:tc>
          <w:tcPr>
            <w:tcW w:w="1043" w:type="dxa"/>
            <w:tcBorders>
              <w:top w:val="nil"/>
              <w:bottom w:val="nil"/>
              <w:right w:val="single" w:sz="2" w:space="0" w:color="A6A6A6" w:themeColor="background1" w:themeShade="A6"/>
            </w:tcBorders>
            <w:shd w:val="clear" w:color="auto" w:fill="D5DCE4"/>
            <w:vAlign w:val="center"/>
          </w:tcPr>
          <w:p w14:paraId="60E94B03" w14:textId="6AB3E999" w:rsidR="00734128" w:rsidRPr="00734128" w:rsidRDefault="00734128" w:rsidP="009D02E9">
            <w:pPr>
              <w:spacing w:after="0" w:line="264" w:lineRule="auto"/>
              <w:jc w:val="right"/>
              <w:rPr>
                <w:rFonts w:cs="Arial"/>
                <w:b/>
                <w:bCs/>
                <w:sz w:val="16"/>
                <w:szCs w:val="16"/>
              </w:rPr>
            </w:pPr>
            <w:r w:rsidRPr="00734128">
              <w:rPr>
                <w:rFonts w:cs="Arial"/>
                <w:b/>
                <w:bCs/>
                <w:sz w:val="16"/>
                <w:szCs w:val="16"/>
              </w:rPr>
              <w:t>-1.730</w:t>
            </w:r>
          </w:p>
        </w:tc>
      </w:tr>
      <w:tr w:rsidR="008C0A0E" w:rsidRPr="00372745" w14:paraId="5A7FFCF8"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7FECEDB" w14:textId="44FC6349" w:rsidR="00EA5855" w:rsidRPr="00372745" w:rsidRDefault="00EA5855" w:rsidP="009D02E9">
            <w:pPr>
              <w:tabs>
                <w:tab w:val="left" w:pos="340"/>
              </w:tabs>
              <w:spacing w:after="0" w:line="264" w:lineRule="auto"/>
              <w:jc w:val="left"/>
              <w:rPr>
                <w:rFonts w:cs="Arial"/>
                <w:b/>
                <w:bCs/>
                <w:sz w:val="16"/>
                <w:szCs w:val="16"/>
              </w:rPr>
            </w:pPr>
            <w:r w:rsidRPr="00372745">
              <w:rPr>
                <w:rFonts w:cs="Arial"/>
                <w:b/>
                <w:bCs/>
                <w:sz w:val="16"/>
                <w:szCs w:val="16"/>
              </w:rPr>
              <w:t>VIII.</w:t>
            </w:r>
            <w:r w:rsidR="00CA2839">
              <w:rPr>
                <w:rFonts w:cs="Arial"/>
                <w:b/>
                <w:bCs/>
                <w:sz w:val="16"/>
                <w:szCs w:val="16"/>
              </w:rPr>
              <w:tab/>
            </w:r>
            <w:r w:rsidRPr="00372745">
              <w:rPr>
                <w:rFonts w:cs="Arial"/>
                <w:b/>
                <w:bCs/>
                <w:sz w:val="16"/>
                <w:szCs w:val="16"/>
              </w:rPr>
              <w:t>Ισοζύγιο OΤΑ κατά ESA</w:t>
            </w:r>
          </w:p>
        </w:tc>
        <w:tc>
          <w:tcPr>
            <w:tcW w:w="1034" w:type="dxa"/>
            <w:tcBorders>
              <w:top w:val="nil"/>
              <w:bottom w:val="nil"/>
            </w:tcBorders>
            <w:shd w:val="clear" w:color="auto" w:fill="D5DCE4"/>
            <w:vAlign w:val="center"/>
          </w:tcPr>
          <w:p w14:paraId="45528166" w14:textId="07AA51A1" w:rsidR="00EA5855" w:rsidRPr="00EA5855" w:rsidRDefault="00EA5855" w:rsidP="009D02E9">
            <w:pPr>
              <w:spacing w:after="0" w:line="264" w:lineRule="auto"/>
              <w:jc w:val="right"/>
              <w:rPr>
                <w:rFonts w:cs="Arial"/>
                <w:b/>
                <w:bCs/>
                <w:sz w:val="16"/>
                <w:szCs w:val="16"/>
              </w:rPr>
            </w:pPr>
            <w:r w:rsidRPr="00EA5855">
              <w:rPr>
                <w:rFonts w:cs="Arial"/>
                <w:b/>
                <w:bCs/>
                <w:sz w:val="16"/>
                <w:szCs w:val="16"/>
              </w:rPr>
              <w:t>230</w:t>
            </w:r>
          </w:p>
        </w:tc>
        <w:tc>
          <w:tcPr>
            <w:tcW w:w="1551" w:type="dxa"/>
            <w:tcBorders>
              <w:top w:val="nil"/>
              <w:bottom w:val="nil"/>
            </w:tcBorders>
            <w:shd w:val="clear" w:color="auto" w:fill="D5DCE4"/>
            <w:vAlign w:val="center"/>
          </w:tcPr>
          <w:p w14:paraId="093AF7BB" w14:textId="2C0A4A68" w:rsidR="00EA5855" w:rsidRPr="00EA5855" w:rsidRDefault="00EA5855" w:rsidP="009D02E9">
            <w:pPr>
              <w:spacing w:after="0" w:line="264" w:lineRule="auto"/>
              <w:jc w:val="right"/>
              <w:rPr>
                <w:rFonts w:cs="Arial"/>
                <w:b/>
                <w:bCs/>
                <w:sz w:val="16"/>
                <w:szCs w:val="16"/>
              </w:rPr>
            </w:pPr>
            <w:r w:rsidRPr="00EA5855">
              <w:rPr>
                <w:rFonts w:cs="Arial"/>
                <w:b/>
                <w:bCs/>
                <w:sz w:val="16"/>
                <w:szCs w:val="16"/>
              </w:rPr>
              <w:t>106</w:t>
            </w:r>
          </w:p>
        </w:tc>
        <w:tc>
          <w:tcPr>
            <w:tcW w:w="1037" w:type="dxa"/>
            <w:tcBorders>
              <w:top w:val="nil"/>
              <w:bottom w:val="nil"/>
            </w:tcBorders>
            <w:shd w:val="clear" w:color="auto" w:fill="D5DCE4"/>
            <w:vAlign w:val="center"/>
          </w:tcPr>
          <w:p w14:paraId="363E73F6" w14:textId="21D5451C" w:rsidR="00EA5855" w:rsidRPr="00EA5855" w:rsidRDefault="00EA5855" w:rsidP="009D02E9">
            <w:pPr>
              <w:spacing w:after="0" w:line="264" w:lineRule="auto"/>
              <w:jc w:val="right"/>
              <w:rPr>
                <w:rFonts w:cs="Arial"/>
                <w:b/>
                <w:bCs/>
                <w:sz w:val="16"/>
                <w:szCs w:val="16"/>
              </w:rPr>
            </w:pPr>
            <w:r w:rsidRPr="00EA5855">
              <w:rPr>
                <w:rFonts w:cs="Arial"/>
                <w:b/>
                <w:bCs/>
                <w:sz w:val="16"/>
                <w:szCs w:val="16"/>
              </w:rPr>
              <w:t>183</w:t>
            </w:r>
          </w:p>
        </w:tc>
        <w:tc>
          <w:tcPr>
            <w:tcW w:w="1043" w:type="dxa"/>
            <w:tcBorders>
              <w:top w:val="nil"/>
              <w:bottom w:val="nil"/>
              <w:right w:val="single" w:sz="2" w:space="0" w:color="A6A6A6" w:themeColor="background1" w:themeShade="A6"/>
            </w:tcBorders>
            <w:shd w:val="clear" w:color="auto" w:fill="D5DCE4"/>
            <w:vAlign w:val="center"/>
          </w:tcPr>
          <w:p w14:paraId="14F37298" w14:textId="0DC90809" w:rsidR="00EA5855" w:rsidRPr="00EA5855" w:rsidRDefault="00EA5855" w:rsidP="009D02E9">
            <w:pPr>
              <w:spacing w:after="0" w:line="264" w:lineRule="auto"/>
              <w:jc w:val="right"/>
              <w:rPr>
                <w:rFonts w:cs="Arial"/>
                <w:b/>
                <w:bCs/>
                <w:sz w:val="16"/>
                <w:szCs w:val="16"/>
              </w:rPr>
            </w:pPr>
            <w:r w:rsidRPr="00EA5855">
              <w:rPr>
                <w:rFonts w:cs="Arial"/>
                <w:b/>
                <w:bCs/>
                <w:sz w:val="16"/>
                <w:szCs w:val="16"/>
              </w:rPr>
              <w:t>41</w:t>
            </w:r>
          </w:p>
        </w:tc>
      </w:tr>
      <w:tr w:rsidR="008C0A0E" w:rsidRPr="00372745" w14:paraId="4C70E9C4"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B18A86E" w14:textId="0A76D3FE" w:rsidR="00EA5855"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A5855" w:rsidRPr="00372745">
              <w:rPr>
                <w:rFonts w:cs="Arial"/>
                <w:b/>
                <w:bCs/>
                <w:sz w:val="16"/>
                <w:szCs w:val="16"/>
              </w:rPr>
              <w:t>Έσοδα</w:t>
            </w:r>
          </w:p>
        </w:tc>
        <w:tc>
          <w:tcPr>
            <w:tcW w:w="1034" w:type="dxa"/>
            <w:tcBorders>
              <w:top w:val="nil"/>
              <w:bottom w:val="nil"/>
            </w:tcBorders>
            <w:vAlign w:val="center"/>
          </w:tcPr>
          <w:p w14:paraId="7C028B34" w14:textId="7445F1F8" w:rsidR="00EA5855" w:rsidRPr="00EA5855" w:rsidRDefault="00EA5855" w:rsidP="009D02E9">
            <w:pPr>
              <w:spacing w:after="0" w:line="264" w:lineRule="auto"/>
              <w:jc w:val="right"/>
              <w:rPr>
                <w:rFonts w:cs="Arial"/>
                <w:b/>
                <w:bCs/>
                <w:sz w:val="16"/>
                <w:szCs w:val="16"/>
              </w:rPr>
            </w:pPr>
            <w:r w:rsidRPr="00EA5855">
              <w:rPr>
                <w:rFonts w:cs="Arial"/>
                <w:b/>
                <w:bCs/>
                <w:sz w:val="16"/>
                <w:szCs w:val="16"/>
              </w:rPr>
              <w:t>9.660</w:t>
            </w:r>
          </w:p>
        </w:tc>
        <w:tc>
          <w:tcPr>
            <w:tcW w:w="1551" w:type="dxa"/>
            <w:tcBorders>
              <w:top w:val="nil"/>
              <w:bottom w:val="nil"/>
            </w:tcBorders>
            <w:vAlign w:val="center"/>
          </w:tcPr>
          <w:p w14:paraId="08A344DA" w14:textId="3A60B9D8" w:rsidR="00EA5855" w:rsidRPr="00EA5855" w:rsidRDefault="00EA5855" w:rsidP="009D02E9">
            <w:pPr>
              <w:spacing w:after="0" w:line="264" w:lineRule="auto"/>
              <w:jc w:val="right"/>
              <w:rPr>
                <w:rFonts w:cs="Arial"/>
                <w:b/>
                <w:bCs/>
                <w:sz w:val="16"/>
                <w:szCs w:val="16"/>
              </w:rPr>
            </w:pPr>
            <w:r w:rsidRPr="00EA5855">
              <w:rPr>
                <w:rFonts w:cs="Arial"/>
                <w:b/>
                <w:bCs/>
                <w:sz w:val="16"/>
                <w:szCs w:val="16"/>
              </w:rPr>
              <w:t>9.888</w:t>
            </w:r>
          </w:p>
        </w:tc>
        <w:tc>
          <w:tcPr>
            <w:tcW w:w="1037" w:type="dxa"/>
            <w:tcBorders>
              <w:top w:val="nil"/>
              <w:bottom w:val="nil"/>
            </w:tcBorders>
            <w:vAlign w:val="center"/>
          </w:tcPr>
          <w:p w14:paraId="7A951584" w14:textId="2BC66BF6" w:rsidR="00EA5855" w:rsidRPr="00EA5855" w:rsidRDefault="00EA5855" w:rsidP="009D02E9">
            <w:pPr>
              <w:spacing w:after="0" w:line="264" w:lineRule="auto"/>
              <w:jc w:val="right"/>
              <w:rPr>
                <w:rFonts w:cs="Arial"/>
                <w:b/>
                <w:bCs/>
                <w:sz w:val="16"/>
                <w:szCs w:val="16"/>
              </w:rPr>
            </w:pPr>
            <w:r w:rsidRPr="00EA5855">
              <w:rPr>
                <w:rFonts w:cs="Arial"/>
                <w:b/>
                <w:bCs/>
                <w:sz w:val="16"/>
                <w:szCs w:val="16"/>
              </w:rPr>
              <w:t>10.324</w:t>
            </w:r>
          </w:p>
        </w:tc>
        <w:tc>
          <w:tcPr>
            <w:tcW w:w="1043" w:type="dxa"/>
            <w:tcBorders>
              <w:top w:val="nil"/>
              <w:bottom w:val="nil"/>
              <w:right w:val="single" w:sz="2" w:space="0" w:color="A6A6A6" w:themeColor="background1" w:themeShade="A6"/>
            </w:tcBorders>
            <w:vAlign w:val="center"/>
          </w:tcPr>
          <w:p w14:paraId="44675D3E" w14:textId="762883B2" w:rsidR="00EA5855" w:rsidRPr="00EA5855" w:rsidRDefault="00EA5855" w:rsidP="009D02E9">
            <w:pPr>
              <w:spacing w:after="0" w:line="264" w:lineRule="auto"/>
              <w:jc w:val="right"/>
              <w:rPr>
                <w:rFonts w:cs="Arial"/>
                <w:b/>
                <w:bCs/>
                <w:sz w:val="16"/>
                <w:szCs w:val="16"/>
              </w:rPr>
            </w:pPr>
            <w:r w:rsidRPr="00EA5855">
              <w:rPr>
                <w:rFonts w:cs="Arial"/>
                <w:b/>
                <w:bCs/>
                <w:sz w:val="16"/>
                <w:szCs w:val="16"/>
              </w:rPr>
              <w:t>9.769</w:t>
            </w:r>
          </w:p>
        </w:tc>
      </w:tr>
      <w:tr w:rsidR="008C0A0E" w:rsidRPr="00372745" w14:paraId="3D259EC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2C4E0AB" w14:textId="0BAF7F5C"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 xml:space="preserve">Τρέχουσες </w:t>
            </w:r>
            <w:r w:rsidR="00EA5855">
              <w:rPr>
                <w:rFonts w:cs="Arial"/>
                <w:sz w:val="16"/>
                <w:szCs w:val="16"/>
              </w:rPr>
              <w:t>και</w:t>
            </w:r>
            <w:r w:rsidR="00EA5855"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75EBB923" w14:textId="0B5140DF" w:rsidR="00EA5855" w:rsidRPr="00EA5855" w:rsidRDefault="00EA5855" w:rsidP="009D02E9">
            <w:pPr>
              <w:spacing w:after="0" w:line="264" w:lineRule="auto"/>
              <w:jc w:val="right"/>
              <w:rPr>
                <w:rFonts w:cs="Arial"/>
                <w:sz w:val="16"/>
                <w:szCs w:val="16"/>
              </w:rPr>
            </w:pPr>
            <w:r w:rsidRPr="00EA5855">
              <w:rPr>
                <w:rFonts w:cs="Arial"/>
                <w:sz w:val="16"/>
                <w:szCs w:val="16"/>
              </w:rPr>
              <w:t>6.086</w:t>
            </w:r>
          </w:p>
        </w:tc>
        <w:tc>
          <w:tcPr>
            <w:tcW w:w="1551" w:type="dxa"/>
            <w:tcBorders>
              <w:top w:val="nil"/>
              <w:bottom w:val="nil"/>
            </w:tcBorders>
            <w:vAlign w:val="center"/>
          </w:tcPr>
          <w:p w14:paraId="6F2A7CAE" w14:textId="47327291" w:rsidR="00EA5855" w:rsidRPr="00EA5855" w:rsidRDefault="00EA5855" w:rsidP="009D02E9">
            <w:pPr>
              <w:spacing w:after="0" w:line="264" w:lineRule="auto"/>
              <w:jc w:val="right"/>
              <w:rPr>
                <w:rFonts w:cs="Arial"/>
                <w:sz w:val="16"/>
                <w:szCs w:val="16"/>
              </w:rPr>
            </w:pPr>
            <w:r w:rsidRPr="00EA5855">
              <w:rPr>
                <w:rFonts w:cs="Arial"/>
                <w:sz w:val="16"/>
                <w:szCs w:val="16"/>
              </w:rPr>
              <w:t>6.353</w:t>
            </w:r>
          </w:p>
        </w:tc>
        <w:tc>
          <w:tcPr>
            <w:tcW w:w="1037" w:type="dxa"/>
            <w:tcBorders>
              <w:top w:val="nil"/>
              <w:bottom w:val="nil"/>
            </w:tcBorders>
            <w:vAlign w:val="center"/>
          </w:tcPr>
          <w:p w14:paraId="4BFE20E9" w14:textId="7562106B" w:rsidR="00EA5855" w:rsidRPr="00EA5855" w:rsidRDefault="00EA5855" w:rsidP="009D02E9">
            <w:pPr>
              <w:spacing w:after="0" w:line="264" w:lineRule="auto"/>
              <w:jc w:val="right"/>
              <w:rPr>
                <w:rFonts w:cs="Arial"/>
                <w:sz w:val="16"/>
                <w:szCs w:val="16"/>
              </w:rPr>
            </w:pPr>
            <w:r w:rsidRPr="00EA5855">
              <w:rPr>
                <w:rFonts w:cs="Arial"/>
                <w:sz w:val="16"/>
                <w:szCs w:val="16"/>
              </w:rPr>
              <w:t>6.575</w:t>
            </w:r>
          </w:p>
        </w:tc>
        <w:tc>
          <w:tcPr>
            <w:tcW w:w="1043" w:type="dxa"/>
            <w:tcBorders>
              <w:top w:val="nil"/>
              <w:bottom w:val="nil"/>
              <w:right w:val="single" w:sz="2" w:space="0" w:color="A6A6A6" w:themeColor="background1" w:themeShade="A6"/>
            </w:tcBorders>
            <w:vAlign w:val="center"/>
          </w:tcPr>
          <w:p w14:paraId="6F4174AA" w14:textId="4E1CE0B7" w:rsidR="00EA5855" w:rsidRPr="00EA5855" w:rsidRDefault="00EA5855" w:rsidP="009D02E9">
            <w:pPr>
              <w:spacing w:after="0" w:line="264" w:lineRule="auto"/>
              <w:jc w:val="right"/>
              <w:rPr>
                <w:rFonts w:cs="Arial"/>
                <w:sz w:val="16"/>
                <w:szCs w:val="16"/>
              </w:rPr>
            </w:pPr>
            <w:r w:rsidRPr="00EA5855">
              <w:rPr>
                <w:rFonts w:cs="Arial"/>
                <w:sz w:val="16"/>
                <w:szCs w:val="16"/>
              </w:rPr>
              <w:t>5.905</w:t>
            </w:r>
          </w:p>
        </w:tc>
      </w:tr>
      <w:tr w:rsidR="008C0A0E" w:rsidRPr="00372745" w14:paraId="28561CC8"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74956C4" w14:textId="66B595DB"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Τόκοι πιστωτικοί</w:t>
            </w:r>
          </w:p>
        </w:tc>
        <w:tc>
          <w:tcPr>
            <w:tcW w:w="1034" w:type="dxa"/>
            <w:tcBorders>
              <w:top w:val="nil"/>
              <w:bottom w:val="nil"/>
            </w:tcBorders>
            <w:vAlign w:val="center"/>
          </w:tcPr>
          <w:p w14:paraId="03927D91" w14:textId="44E5B275" w:rsidR="00EA5855" w:rsidRPr="00EA5855" w:rsidRDefault="00EA5855" w:rsidP="009D02E9">
            <w:pPr>
              <w:spacing w:after="0" w:line="264" w:lineRule="auto"/>
              <w:jc w:val="right"/>
              <w:rPr>
                <w:rFonts w:cs="Arial"/>
                <w:sz w:val="16"/>
                <w:szCs w:val="16"/>
              </w:rPr>
            </w:pPr>
            <w:r w:rsidRPr="00EA5855">
              <w:rPr>
                <w:rFonts w:cs="Arial"/>
                <w:sz w:val="16"/>
                <w:szCs w:val="16"/>
              </w:rPr>
              <w:t>82</w:t>
            </w:r>
          </w:p>
        </w:tc>
        <w:tc>
          <w:tcPr>
            <w:tcW w:w="1551" w:type="dxa"/>
            <w:tcBorders>
              <w:top w:val="nil"/>
              <w:bottom w:val="nil"/>
            </w:tcBorders>
            <w:vAlign w:val="center"/>
          </w:tcPr>
          <w:p w14:paraId="25E7C76B" w14:textId="3AFC1483" w:rsidR="00EA5855" w:rsidRPr="00EA5855" w:rsidRDefault="00EA5855" w:rsidP="009D02E9">
            <w:pPr>
              <w:spacing w:after="0" w:line="264" w:lineRule="auto"/>
              <w:jc w:val="right"/>
              <w:rPr>
                <w:rFonts w:cs="Arial"/>
                <w:sz w:val="16"/>
                <w:szCs w:val="16"/>
              </w:rPr>
            </w:pPr>
            <w:r w:rsidRPr="00EA5855">
              <w:rPr>
                <w:rFonts w:cs="Arial"/>
                <w:sz w:val="16"/>
                <w:szCs w:val="16"/>
              </w:rPr>
              <w:t>81</w:t>
            </w:r>
          </w:p>
        </w:tc>
        <w:tc>
          <w:tcPr>
            <w:tcW w:w="1037" w:type="dxa"/>
            <w:tcBorders>
              <w:top w:val="nil"/>
              <w:bottom w:val="nil"/>
            </w:tcBorders>
            <w:vAlign w:val="center"/>
          </w:tcPr>
          <w:p w14:paraId="47DA2000" w14:textId="73ABAF8B" w:rsidR="00EA5855" w:rsidRPr="00EA5855" w:rsidRDefault="00EA5855" w:rsidP="009D02E9">
            <w:pPr>
              <w:spacing w:after="0" w:line="264" w:lineRule="auto"/>
              <w:jc w:val="right"/>
              <w:rPr>
                <w:rFonts w:cs="Arial"/>
                <w:sz w:val="16"/>
                <w:szCs w:val="16"/>
              </w:rPr>
            </w:pPr>
            <w:r w:rsidRPr="00EA5855">
              <w:rPr>
                <w:rFonts w:cs="Arial"/>
                <w:sz w:val="16"/>
                <w:szCs w:val="16"/>
              </w:rPr>
              <w:t>99</w:t>
            </w:r>
          </w:p>
        </w:tc>
        <w:tc>
          <w:tcPr>
            <w:tcW w:w="1043" w:type="dxa"/>
            <w:tcBorders>
              <w:top w:val="nil"/>
              <w:bottom w:val="nil"/>
              <w:right w:val="single" w:sz="2" w:space="0" w:color="A6A6A6" w:themeColor="background1" w:themeShade="A6"/>
            </w:tcBorders>
            <w:vAlign w:val="center"/>
          </w:tcPr>
          <w:p w14:paraId="160A6875" w14:textId="1C7A4C0D" w:rsidR="00EA5855" w:rsidRPr="00EA5855" w:rsidRDefault="00EA5855" w:rsidP="009D02E9">
            <w:pPr>
              <w:spacing w:after="0" w:line="264" w:lineRule="auto"/>
              <w:jc w:val="right"/>
              <w:rPr>
                <w:rFonts w:cs="Arial"/>
                <w:sz w:val="16"/>
                <w:szCs w:val="16"/>
              </w:rPr>
            </w:pPr>
            <w:r w:rsidRPr="00EA5855">
              <w:rPr>
                <w:rFonts w:cs="Arial"/>
                <w:sz w:val="16"/>
                <w:szCs w:val="16"/>
              </w:rPr>
              <w:t>99</w:t>
            </w:r>
          </w:p>
        </w:tc>
      </w:tr>
      <w:tr w:rsidR="008C0A0E" w:rsidRPr="00372745" w14:paraId="181E24D2"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549DBD1" w14:textId="39989B5A"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Φ</w:t>
            </w:r>
            <w:r w:rsidR="00EA5855">
              <w:rPr>
                <w:rFonts w:cs="Arial"/>
                <w:sz w:val="16"/>
                <w:szCs w:val="16"/>
              </w:rPr>
              <w:t>ό</w:t>
            </w:r>
            <w:r w:rsidR="00EA5855" w:rsidRPr="00372745">
              <w:rPr>
                <w:rFonts w:cs="Arial"/>
                <w:sz w:val="16"/>
                <w:szCs w:val="16"/>
              </w:rPr>
              <w:t>ροι</w:t>
            </w:r>
          </w:p>
        </w:tc>
        <w:tc>
          <w:tcPr>
            <w:tcW w:w="1034" w:type="dxa"/>
            <w:tcBorders>
              <w:top w:val="nil"/>
              <w:bottom w:val="nil"/>
            </w:tcBorders>
            <w:vAlign w:val="center"/>
          </w:tcPr>
          <w:p w14:paraId="2D82E39A" w14:textId="1AC45F93" w:rsidR="00EA5855" w:rsidRPr="00EA5855" w:rsidRDefault="00EA5855" w:rsidP="009D02E9">
            <w:pPr>
              <w:spacing w:after="0" w:line="264" w:lineRule="auto"/>
              <w:jc w:val="right"/>
              <w:rPr>
                <w:rFonts w:cs="Arial"/>
                <w:sz w:val="16"/>
                <w:szCs w:val="16"/>
              </w:rPr>
            </w:pPr>
            <w:r w:rsidRPr="00EA5855">
              <w:rPr>
                <w:rFonts w:cs="Arial"/>
                <w:sz w:val="16"/>
                <w:szCs w:val="16"/>
              </w:rPr>
              <w:t>2.221</w:t>
            </w:r>
          </w:p>
        </w:tc>
        <w:tc>
          <w:tcPr>
            <w:tcW w:w="1551" w:type="dxa"/>
            <w:tcBorders>
              <w:top w:val="nil"/>
              <w:bottom w:val="nil"/>
            </w:tcBorders>
            <w:vAlign w:val="center"/>
          </w:tcPr>
          <w:p w14:paraId="11625C65" w14:textId="7A933D80" w:rsidR="00EA5855" w:rsidRPr="00EA5855" w:rsidRDefault="00EA5855" w:rsidP="009D02E9">
            <w:pPr>
              <w:spacing w:after="0" w:line="264" w:lineRule="auto"/>
              <w:jc w:val="right"/>
              <w:rPr>
                <w:rFonts w:cs="Arial"/>
                <w:sz w:val="16"/>
                <w:szCs w:val="16"/>
              </w:rPr>
            </w:pPr>
            <w:r w:rsidRPr="00EA5855">
              <w:rPr>
                <w:rFonts w:cs="Arial"/>
                <w:sz w:val="16"/>
                <w:szCs w:val="16"/>
              </w:rPr>
              <w:t>2.261</w:t>
            </w:r>
          </w:p>
        </w:tc>
        <w:tc>
          <w:tcPr>
            <w:tcW w:w="1037" w:type="dxa"/>
            <w:tcBorders>
              <w:top w:val="nil"/>
              <w:bottom w:val="nil"/>
            </w:tcBorders>
            <w:vAlign w:val="center"/>
          </w:tcPr>
          <w:p w14:paraId="057F532E" w14:textId="7DAB530E" w:rsidR="00EA5855" w:rsidRPr="00EA5855" w:rsidRDefault="00EA5855" w:rsidP="009D02E9">
            <w:pPr>
              <w:spacing w:after="0" w:line="264" w:lineRule="auto"/>
              <w:jc w:val="right"/>
              <w:rPr>
                <w:rFonts w:cs="Arial"/>
                <w:sz w:val="16"/>
                <w:szCs w:val="16"/>
              </w:rPr>
            </w:pPr>
            <w:r w:rsidRPr="00EA5855">
              <w:rPr>
                <w:rFonts w:cs="Arial"/>
                <w:sz w:val="16"/>
                <w:szCs w:val="16"/>
              </w:rPr>
              <w:t>2.343</w:t>
            </w:r>
          </w:p>
        </w:tc>
        <w:tc>
          <w:tcPr>
            <w:tcW w:w="1043" w:type="dxa"/>
            <w:tcBorders>
              <w:top w:val="nil"/>
              <w:bottom w:val="nil"/>
              <w:right w:val="single" w:sz="2" w:space="0" w:color="A6A6A6" w:themeColor="background1" w:themeShade="A6"/>
            </w:tcBorders>
            <w:vAlign w:val="center"/>
          </w:tcPr>
          <w:p w14:paraId="00A6BFF1" w14:textId="309E2E28" w:rsidR="00EA5855" w:rsidRPr="00EA5855" w:rsidRDefault="00EA5855" w:rsidP="009D02E9">
            <w:pPr>
              <w:spacing w:after="0" w:line="264" w:lineRule="auto"/>
              <w:jc w:val="right"/>
              <w:rPr>
                <w:rFonts w:cs="Arial"/>
                <w:sz w:val="16"/>
                <w:szCs w:val="16"/>
              </w:rPr>
            </w:pPr>
            <w:r w:rsidRPr="00EA5855">
              <w:rPr>
                <w:rFonts w:cs="Arial"/>
                <w:sz w:val="16"/>
                <w:szCs w:val="16"/>
              </w:rPr>
              <w:t>2.417</w:t>
            </w:r>
          </w:p>
        </w:tc>
      </w:tr>
      <w:tr w:rsidR="008C0A0E" w:rsidRPr="00372745" w14:paraId="4B05741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7773C78" w14:textId="2E8C9115"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Λοιπά έσοδα</w:t>
            </w:r>
          </w:p>
        </w:tc>
        <w:tc>
          <w:tcPr>
            <w:tcW w:w="1034" w:type="dxa"/>
            <w:tcBorders>
              <w:top w:val="nil"/>
              <w:bottom w:val="nil"/>
            </w:tcBorders>
            <w:vAlign w:val="center"/>
          </w:tcPr>
          <w:p w14:paraId="1457A512" w14:textId="3F5D87ED" w:rsidR="00EA5855" w:rsidRPr="00EA5855" w:rsidRDefault="00EA5855" w:rsidP="009D02E9">
            <w:pPr>
              <w:spacing w:after="0" w:line="264" w:lineRule="auto"/>
              <w:jc w:val="right"/>
              <w:rPr>
                <w:rFonts w:cs="Arial"/>
                <w:sz w:val="16"/>
                <w:szCs w:val="16"/>
              </w:rPr>
            </w:pPr>
            <w:r w:rsidRPr="00EA5855">
              <w:rPr>
                <w:rFonts w:cs="Arial"/>
                <w:sz w:val="16"/>
                <w:szCs w:val="16"/>
              </w:rPr>
              <w:t>1.270</w:t>
            </w:r>
          </w:p>
        </w:tc>
        <w:tc>
          <w:tcPr>
            <w:tcW w:w="1551" w:type="dxa"/>
            <w:tcBorders>
              <w:top w:val="nil"/>
              <w:bottom w:val="nil"/>
            </w:tcBorders>
            <w:vAlign w:val="center"/>
          </w:tcPr>
          <w:p w14:paraId="01645AB1" w14:textId="02346F4F" w:rsidR="00EA5855" w:rsidRPr="00EA5855" w:rsidRDefault="00EA5855" w:rsidP="009D02E9">
            <w:pPr>
              <w:spacing w:after="0" w:line="264" w:lineRule="auto"/>
              <w:jc w:val="right"/>
              <w:rPr>
                <w:rFonts w:cs="Arial"/>
                <w:sz w:val="16"/>
                <w:szCs w:val="16"/>
              </w:rPr>
            </w:pPr>
            <w:r w:rsidRPr="00EA5855">
              <w:rPr>
                <w:rFonts w:cs="Arial"/>
                <w:sz w:val="16"/>
                <w:szCs w:val="16"/>
              </w:rPr>
              <w:t>1.192</w:t>
            </w:r>
          </w:p>
        </w:tc>
        <w:tc>
          <w:tcPr>
            <w:tcW w:w="1037" w:type="dxa"/>
            <w:tcBorders>
              <w:top w:val="nil"/>
              <w:bottom w:val="nil"/>
            </w:tcBorders>
            <w:vAlign w:val="center"/>
          </w:tcPr>
          <w:p w14:paraId="01F7DFCB" w14:textId="309EE5DE" w:rsidR="00EA5855" w:rsidRPr="00EA5855" w:rsidRDefault="00EA5855" w:rsidP="009D02E9">
            <w:pPr>
              <w:spacing w:after="0" w:line="264" w:lineRule="auto"/>
              <w:jc w:val="right"/>
              <w:rPr>
                <w:rFonts w:cs="Arial"/>
                <w:sz w:val="16"/>
                <w:szCs w:val="16"/>
              </w:rPr>
            </w:pPr>
            <w:r w:rsidRPr="00EA5855">
              <w:rPr>
                <w:rFonts w:cs="Arial"/>
                <w:sz w:val="16"/>
                <w:szCs w:val="16"/>
              </w:rPr>
              <w:t>1.307</w:t>
            </w:r>
          </w:p>
        </w:tc>
        <w:tc>
          <w:tcPr>
            <w:tcW w:w="1043" w:type="dxa"/>
            <w:tcBorders>
              <w:top w:val="nil"/>
              <w:bottom w:val="nil"/>
              <w:right w:val="single" w:sz="2" w:space="0" w:color="A6A6A6" w:themeColor="background1" w:themeShade="A6"/>
            </w:tcBorders>
            <w:vAlign w:val="center"/>
          </w:tcPr>
          <w:p w14:paraId="1D5117A9" w14:textId="5AE54A05" w:rsidR="00EA5855" w:rsidRPr="00EA5855" w:rsidRDefault="00EA5855" w:rsidP="009D02E9">
            <w:pPr>
              <w:spacing w:after="0" w:line="264" w:lineRule="auto"/>
              <w:jc w:val="right"/>
              <w:rPr>
                <w:rFonts w:cs="Arial"/>
                <w:sz w:val="16"/>
                <w:szCs w:val="16"/>
              </w:rPr>
            </w:pPr>
            <w:r w:rsidRPr="00EA5855">
              <w:rPr>
                <w:rFonts w:cs="Arial"/>
                <w:sz w:val="16"/>
                <w:szCs w:val="16"/>
              </w:rPr>
              <w:t>1.348</w:t>
            </w:r>
          </w:p>
        </w:tc>
      </w:tr>
      <w:tr w:rsidR="008C0A0E" w:rsidRPr="00372745" w14:paraId="1CEB25E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B445331" w14:textId="61A68DBF" w:rsidR="00EA5855"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A5855" w:rsidRPr="00372745">
              <w:rPr>
                <w:rFonts w:cs="Arial"/>
                <w:b/>
                <w:bCs/>
                <w:sz w:val="16"/>
                <w:szCs w:val="16"/>
              </w:rPr>
              <w:t>Έξοδα</w:t>
            </w:r>
          </w:p>
        </w:tc>
        <w:tc>
          <w:tcPr>
            <w:tcW w:w="1034" w:type="dxa"/>
            <w:tcBorders>
              <w:top w:val="nil"/>
              <w:bottom w:val="nil"/>
            </w:tcBorders>
            <w:vAlign w:val="center"/>
          </w:tcPr>
          <w:p w14:paraId="77384814" w14:textId="29558087" w:rsidR="00EA5855" w:rsidRPr="00EA5855" w:rsidRDefault="00EA5855" w:rsidP="009D02E9">
            <w:pPr>
              <w:spacing w:after="0" w:line="264" w:lineRule="auto"/>
              <w:jc w:val="right"/>
              <w:rPr>
                <w:rFonts w:cs="Arial"/>
                <w:b/>
                <w:bCs/>
                <w:sz w:val="16"/>
                <w:szCs w:val="16"/>
              </w:rPr>
            </w:pPr>
            <w:r w:rsidRPr="00EA5855">
              <w:rPr>
                <w:rFonts w:cs="Arial"/>
                <w:b/>
                <w:bCs/>
                <w:sz w:val="16"/>
                <w:szCs w:val="16"/>
              </w:rPr>
              <w:t>9.430</w:t>
            </w:r>
          </w:p>
        </w:tc>
        <w:tc>
          <w:tcPr>
            <w:tcW w:w="1551" w:type="dxa"/>
            <w:tcBorders>
              <w:top w:val="nil"/>
              <w:bottom w:val="nil"/>
            </w:tcBorders>
            <w:vAlign w:val="center"/>
          </w:tcPr>
          <w:p w14:paraId="453219D5" w14:textId="5030854C" w:rsidR="00EA5855" w:rsidRPr="00EA5855" w:rsidRDefault="00EA5855" w:rsidP="009D02E9">
            <w:pPr>
              <w:spacing w:after="0" w:line="264" w:lineRule="auto"/>
              <w:jc w:val="right"/>
              <w:rPr>
                <w:rFonts w:cs="Arial"/>
                <w:b/>
                <w:bCs/>
                <w:sz w:val="16"/>
                <w:szCs w:val="16"/>
              </w:rPr>
            </w:pPr>
            <w:r w:rsidRPr="00EA5855">
              <w:rPr>
                <w:rFonts w:cs="Arial"/>
                <w:b/>
                <w:bCs/>
                <w:sz w:val="16"/>
                <w:szCs w:val="16"/>
              </w:rPr>
              <w:t>9.782</w:t>
            </w:r>
          </w:p>
        </w:tc>
        <w:tc>
          <w:tcPr>
            <w:tcW w:w="1037" w:type="dxa"/>
            <w:tcBorders>
              <w:top w:val="nil"/>
              <w:bottom w:val="nil"/>
            </w:tcBorders>
            <w:vAlign w:val="center"/>
          </w:tcPr>
          <w:p w14:paraId="2E15CFE1" w14:textId="70768EAC" w:rsidR="00EA5855" w:rsidRPr="00EA5855" w:rsidRDefault="00EA5855" w:rsidP="009D02E9">
            <w:pPr>
              <w:spacing w:after="0" w:line="264" w:lineRule="auto"/>
              <w:jc w:val="right"/>
              <w:rPr>
                <w:rFonts w:cs="Arial"/>
                <w:b/>
                <w:bCs/>
                <w:sz w:val="16"/>
                <w:szCs w:val="16"/>
              </w:rPr>
            </w:pPr>
            <w:r w:rsidRPr="00EA5855">
              <w:rPr>
                <w:rFonts w:cs="Arial"/>
                <w:b/>
                <w:bCs/>
                <w:sz w:val="16"/>
                <w:szCs w:val="16"/>
              </w:rPr>
              <w:t>10.141</w:t>
            </w:r>
          </w:p>
        </w:tc>
        <w:tc>
          <w:tcPr>
            <w:tcW w:w="1043" w:type="dxa"/>
            <w:tcBorders>
              <w:top w:val="nil"/>
              <w:bottom w:val="nil"/>
              <w:right w:val="single" w:sz="2" w:space="0" w:color="A6A6A6" w:themeColor="background1" w:themeShade="A6"/>
            </w:tcBorders>
            <w:vAlign w:val="center"/>
          </w:tcPr>
          <w:p w14:paraId="15D4B9DE" w14:textId="0F4C4311" w:rsidR="00EA5855" w:rsidRPr="00EA5855" w:rsidRDefault="00EA5855" w:rsidP="009D02E9">
            <w:pPr>
              <w:spacing w:after="0" w:line="264" w:lineRule="auto"/>
              <w:jc w:val="right"/>
              <w:rPr>
                <w:rFonts w:cs="Arial"/>
                <w:b/>
                <w:bCs/>
                <w:sz w:val="16"/>
                <w:szCs w:val="16"/>
              </w:rPr>
            </w:pPr>
            <w:r w:rsidRPr="00EA5855">
              <w:rPr>
                <w:rFonts w:cs="Arial"/>
                <w:b/>
                <w:bCs/>
                <w:sz w:val="16"/>
                <w:szCs w:val="16"/>
              </w:rPr>
              <w:t>9.728</w:t>
            </w:r>
          </w:p>
        </w:tc>
      </w:tr>
      <w:tr w:rsidR="008C0A0E" w:rsidRPr="00372745" w14:paraId="5D4C618B"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041B02B7" w14:textId="4DA713B3"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 xml:space="preserve">Παροχές σε </w:t>
            </w:r>
            <w:r w:rsidR="00EA5855">
              <w:rPr>
                <w:rFonts w:cs="Arial"/>
                <w:sz w:val="16"/>
                <w:szCs w:val="16"/>
              </w:rPr>
              <w:t>ε</w:t>
            </w:r>
            <w:r w:rsidR="00EA5855" w:rsidRPr="00372745">
              <w:rPr>
                <w:rFonts w:cs="Arial"/>
                <w:sz w:val="16"/>
                <w:szCs w:val="16"/>
              </w:rPr>
              <w:t>ργαζόμενους</w:t>
            </w:r>
          </w:p>
        </w:tc>
        <w:tc>
          <w:tcPr>
            <w:tcW w:w="1034" w:type="dxa"/>
            <w:tcBorders>
              <w:top w:val="nil"/>
              <w:bottom w:val="nil"/>
            </w:tcBorders>
            <w:vAlign w:val="center"/>
          </w:tcPr>
          <w:p w14:paraId="1B43E57F" w14:textId="7BB589E9" w:rsidR="00EA5855" w:rsidRPr="00EA5855" w:rsidRDefault="00EA5855" w:rsidP="009D02E9">
            <w:pPr>
              <w:spacing w:after="0" w:line="264" w:lineRule="auto"/>
              <w:jc w:val="right"/>
              <w:rPr>
                <w:rFonts w:cs="Arial"/>
                <w:sz w:val="16"/>
                <w:szCs w:val="16"/>
              </w:rPr>
            </w:pPr>
            <w:r w:rsidRPr="00EA5855">
              <w:rPr>
                <w:rFonts w:cs="Arial"/>
                <w:sz w:val="16"/>
                <w:szCs w:val="16"/>
              </w:rPr>
              <w:t>3.127</w:t>
            </w:r>
          </w:p>
        </w:tc>
        <w:tc>
          <w:tcPr>
            <w:tcW w:w="1551" w:type="dxa"/>
            <w:tcBorders>
              <w:top w:val="nil"/>
              <w:bottom w:val="nil"/>
            </w:tcBorders>
            <w:vAlign w:val="center"/>
          </w:tcPr>
          <w:p w14:paraId="16C809C3" w14:textId="7E78AC52" w:rsidR="00EA5855" w:rsidRPr="00EA5855" w:rsidRDefault="00EA5855" w:rsidP="009D02E9">
            <w:pPr>
              <w:spacing w:after="0" w:line="264" w:lineRule="auto"/>
              <w:jc w:val="right"/>
              <w:rPr>
                <w:rFonts w:cs="Arial"/>
                <w:sz w:val="16"/>
                <w:szCs w:val="16"/>
              </w:rPr>
            </w:pPr>
            <w:r w:rsidRPr="00EA5855">
              <w:rPr>
                <w:rFonts w:cs="Arial"/>
                <w:sz w:val="16"/>
                <w:szCs w:val="16"/>
              </w:rPr>
              <w:t>3.216</w:t>
            </w:r>
          </w:p>
        </w:tc>
        <w:tc>
          <w:tcPr>
            <w:tcW w:w="1037" w:type="dxa"/>
            <w:tcBorders>
              <w:top w:val="nil"/>
              <w:bottom w:val="nil"/>
            </w:tcBorders>
            <w:vAlign w:val="center"/>
          </w:tcPr>
          <w:p w14:paraId="132B4267" w14:textId="7677CF94" w:rsidR="00EA5855" w:rsidRPr="00EA5855" w:rsidRDefault="00EA5855" w:rsidP="009D02E9">
            <w:pPr>
              <w:spacing w:after="0" w:line="264" w:lineRule="auto"/>
              <w:jc w:val="right"/>
              <w:rPr>
                <w:rFonts w:cs="Arial"/>
                <w:sz w:val="16"/>
                <w:szCs w:val="16"/>
              </w:rPr>
            </w:pPr>
            <w:r w:rsidRPr="00EA5855">
              <w:rPr>
                <w:rFonts w:cs="Arial"/>
                <w:sz w:val="16"/>
                <w:szCs w:val="16"/>
              </w:rPr>
              <w:t>3.373</w:t>
            </w:r>
          </w:p>
        </w:tc>
        <w:tc>
          <w:tcPr>
            <w:tcW w:w="1043" w:type="dxa"/>
            <w:tcBorders>
              <w:top w:val="nil"/>
              <w:bottom w:val="nil"/>
              <w:right w:val="single" w:sz="2" w:space="0" w:color="A6A6A6" w:themeColor="background1" w:themeShade="A6"/>
            </w:tcBorders>
            <w:vAlign w:val="center"/>
          </w:tcPr>
          <w:p w14:paraId="7D9F249C" w14:textId="6D636277" w:rsidR="00EA5855" w:rsidRPr="00EA5855" w:rsidRDefault="00EA5855" w:rsidP="009D02E9">
            <w:pPr>
              <w:spacing w:after="0" w:line="264" w:lineRule="auto"/>
              <w:jc w:val="right"/>
              <w:rPr>
                <w:rFonts w:cs="Arial"/>
                <w:sz w:val="16"/>
                <w:szCs w:val="16"/>
              </w:rPr>
            </w:pPr>
            <w:r w:rsidRPr="00EA5855">
              <w:rPr>
                <w:rFonts w:cs="Arial"/>
                <w:sz w:val="16"/>
                <w:szCs w:val="16"/>
              </w:rPr>
              <w:t>3.532</w:t>
            </w:r>
          </w:p>
        </w:tc>
      </w:tr>
      <w:tr w:rsidR="008C0A0E" w:rsidRPr="00372745" w14:paraId="4B637738"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646E87D" w14:textId="592077F7"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Τόκοι χρεωστικοί</w:t>
            </w:r>
          </w:p>
        </w:tc>
        <w:tc>
          <w:tcPr>
            <w:tcW w:w="1034" w:type="dxa"/>
            <w:tcBorders>
              <w:top w:val="nil"/>
              <w:bottom w:val="nil"/>
            </w:tcBorders>
            <w:vAlign w:val="center"/>
          </w:tcPr>
          <w:p w14:paraId="7951D8D3" w14:textId="18C55942" w:rsidR="00EA5855" w:rsidRPr="00EA5855" w:rsidRDefault="00EA5855" w:rsidP="009D02E9">
            <w:pPr>
              <w:spacing w:after="0" w:line="264" w:lineRule="auto"/>
              <w:jc w:val="right"/>
              <w:rPr>
                <w:rFonts w:cs="Arial"/>
                <w:sz w:val="16"/>
                <w:szCs w:val="16"/>
              </w:rPr>
            </w:pPr>
            <w:r w:rsidRPr="00EA5855">
              <w:rPr>
                <w:rFonts w:cs="Arial"/>
                <w:sz w:val="16"/>
                <w:szCs w:val="16"/>
              </w:rPr>
              <w:t>71</w:t>
            </w:r>
          </w:p>
        </w:tc>
        <w:tc>
          <w:tcPr>
            <w:tcW w:w="1551" w:type="dxa"/>
            <w:tcBorders>
              <w:top w:val="nil"/>
              <w:bottom w:val="nil"/>
            </w:tcBorders>
            <w:vAlign w:val="center"/>
          </w:tcPr>
          <w:p w14:paraId="53F8198D" w14:textId="65FDED59" w:rsidR="00EA5855" w:rsidRPr="00EA5855" w:rsidRDefault="00EA5855" w:rsidP="009D02E9">
            <w:pPr>
              <w:spacing w:after="0" w:line="264" w:lineRule="auto"/>
              <w:jc w:val="right"/>
              <w:rPr>
                <w:rFonts w:cs="Arial"/>
                <w:sz w:val="16"/>
                <w:szCs w:val="16"/>
              </w:rPr>
            </w:pPr>
            <w:r w:rsidRPr="00EA5855">
              <w:rPr>
                <w:rFonts w:cs="Arial"/>
                <w:sz w:val="16"/>
                <w:szCs w:val="16"/>
              </w:rPr>
              <w:t>50</w:t>
            </w:r>
          </w:p>
        </w:tc>
        <w:tc>
          <w:tcPr>
            <w:tcW w:w="1037" w:type="dxa"/>
            <w:tcBorders>
              <w:top w:val="nil"/>
              <w:bottom w:val="nil"/>
            </w:tcBorders>
            <w:vAlign w:val="center"/>
          </w:tcPr>
          <w:p w14:paraId="6FF91CA6" w14:textId="59876E42" w:rsidR="00EA5855" w:rsidRPr="00EA5855" w:rsidRDefault="00EA5855" w:rsidP="009D02E9">
            <w:pPr>
              <w:spacing w:after="0" w:line="264" w:lineRule="auto"/>
              <w:jc w:val="right"/>
              <w:rPr>
                <w:rFonts w:cs="Arial"/>
                <w:sz w:val="16"/>
                <w:szCs w:val="16"/>
              </w:rPr>
            </w:pPr>
            <w:r w:rsidRPr="00EA5855">
              <w:rPr>
                <w:rFonts w:cs="Arial"/>
                <w:sz w:val="16"/>
                <w:szCs w:val="16"/>
              </w:rPr>
              <w:t>70</w:t>
            </w:r>
          </w:p>
        </w:tc>
        <w:tc>
          <w:tcPr>
            <w:tcW w:w="1043" w:type="dxa"/>
            <w:tcBorders>
              <w:top w:val="nil"/>
              <w:bottom w:val="nil"/>
              <w:right w:val="single" w:sz="2" w:space="0" w:color="A6A6A6" w:themeColor="background1" w:themeShade="A6"/>
            </w:tcBorders>
            <w:vAlign w:val="center"/>
          </w:tcPr>
          <w:p w14:paraId="42CCF1C2" w14:textId="3B9DCEA4" w:rsidR="00EA5855" w:rsidRPr="00EA5855" w:rsidRDefault="00EA5855" w:rsidP="009D02E9">
            <w:pPr>
              <w:spacing w:after="0" w:line="264" w:lineRule="auto"/>
              <w:jc w:val="right"/>
              <w:rPr>
                <w:rFonts w:cs="Arial"/>
                <w:sz w:val="16"/>
                <w:szCs w:val="16"/>
              </w:rPr>
            </w:pPr>
            <w:r w:rsidRPr="00EA5855">
              <w:rPr>
                <w:rFonts w:cs="Arial"/>
                <w:sz w:val="16"/>
                <w:szCs w:val="16"/>
              </w:rPr>
              <w:t>70</w:t>
            </w:r>
          </w:p>
        </w:tc>
      </w:tr>
      <w:tr w:rsidR="008C0A0E" w:rsidRPr="00372745" w14:paraId="7A1673D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1E16DB8" w14:textId="3D9D5DB3"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Κοινωνικές παροχές</w:t>
            </w:r>
          </w:p>
        </w:tc>
        <w:tc>
          <w:tcPr>
            <w:tcW w:w="1034" w:type="dxa"/>
            <w:tcBorders>
              <w:top w:val="nil"/>
              <w:bottom w:val="nil"/>
            </w:tcBorders>
            <w:vAlign w:val="center"/>
          </w:tcPr>
          <w:p w14:paraId="003B058A" w14:textId="300D3C4D" w:rsidR="00EA5855" w:rsidRPr="00EA5855" w:rsidRDefault="00EA5855" w:rsidP="009D02E9">
            <w:pPr>
              <w:spacing w:after="0" w:line="264" w:lineRule="auto"/>
              <w:jc w:val="right"/>
              <w:rPr>
                <w:rFonts w:cs="Arial"/>
                <w:sz w:val="16"/>
                <w:szCs w:val="16"/>
              </w:rPr>
            </w:pPr>
            <w:r w:rsidRPr="00EA5855">
              <w:rPr>
                <w:rFonts w:cs="Arial"/>
                <w:sz w:val="16"/>
                <w:szCs w:val="16"/>
              </w:rPr>
              <w:t>236</w:t>
            </w:r>
          </w:p>
        </w:tc>
        <w:tc>
          <w:tcPr>
            <w:tcW w:w="1551" w:type="dxa"/>
            <w:tcBorders>
              <w:top w:val="nil"/>
              <w:bottom w:val="nil"/>
            </w:tcBorders>
            <w:vAlign w:val="center"/>
          </w:tcPr>
          <w:p w14:paraId="73501C80" w14:textId="06CF1DD5" w:rsidR="00EA5855" w:rsidRPr="00EA5855" w:rsidRDefault="00EA5855" w:rsidP="009D02E9">
            <w:pPr>
              <w:spacing w:after="0" w:line="264" w:lineRule="auto"/>
              <w:jc w:val="right"/>
              <w:rPr>
                <w:rFonts w:cs="Arial"/>
                <w:sz w:val="16"/>
                <w:szCs w:val="16"/>
              </w:rPr>
            </w:pPr>
            <w:r w:rsidRPr="00EA5855">
              <w:rPr>
                <w:rFonts w:cs="Arial"/>
                <w:sz w:val="16"/>
                <w:szCs w:val="16"/>
              </w:rPr>
              <w:t>260</w:t>
            </w:r>
          </w:p>
        </w:tc>
        <w:tc>
          <w:tcPr>
            <w:tcW w:w="1037" w:type="dxa"/>
            <w:tcBorders>
              <w:top w:val="nil"/>
              <w:bottom w:val="nil"/>
            </w:tcBorders>
            <w:vAlign w:val="center"/>
          </w:tcPr>
          <w:p w14:paraId="6362627F" w14:textId="52B82F46" w:rsidR="00EA5855" w:rsidRPr="00EA5855" w:rsidRDefault="00EA5855" w:rsidP="009D02E9">
            <w:pPr>
              <w:spacing w:after="0" w:line="264" w:lineRule="auto"/>
              <w:jc w:val="right"/>
              <w:rPr>
                <w:rFonts w:cs="Arial"/>
                <w:sz w:val="16"/>
                <w:szCs w:val="16"/>
              </w:rPr>
            </w:pPr>
            <w:r w:rsidRPr="00EA5855">
              <w:rPr>
                <w:rFonts w:cs="Arial"/>
                <w:sz w:val="16"/>
                <w:szCs w:val="16"/>
              </w:rPr>
              <w:t>351</w:t>
            </w:r>
          </w:p>
        </w:tc>
        <w:tc>
          <w:tcPr>
            <w:tcW w:w="1043" w:type="dxa"/>
            <w:tcBorders>
              <w:top w:val="nil"/>
              <w:bottom w:val="nil"/>
              <w:right w:val="single" w:sz="2" w:space="0" w:color="A6A6A6" w:themeColor="background1" w:themeShade="A6"/>
            </w:tcBorders>
            <w:vAlign w:val="center"/>
          </w:tcPr>
          <w:p w14:paraId="50697E13" w14:textId="7EFA616C" w:rsidR="00EA5855" w:rsidRPr="00EA5855" w:rsidRDefault="00EA5855" w:rsidP="009D02E9">
            <w:pPr>
              <w:spacing w:after="0" w:line="264" w:lineRule="auto"/>
              <w:jc w:val="right"/>
              <w:rPr>
                <w:rFonts w:cs="Arial"/>
                <w:sz w:val="16"/>
                <w:szCs w:val="16"/>
              </w:rPr>
            </w:pPr>
            <w:r w:rsidRPr="00EA5855">
              <w:rPr>
                <w:rFonts w:cs="Arial"/>
                <w:sz w:val="16"/>
                <w:szCs w:val="16"/>
              </w:rPr>
              <w:t>367</w:t>
            </w:r>
          </w:p>
        </w:tc>
      </w:tr>
      <w:tr w:rsidR="008C0A0E" w:rsidRPr="00372745" w14:paraId="43314021"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A680B1A" w14:textId="5FF10D70"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Λοιπά έξοδα</w:t>
            </w:r>
          </w:p>
        </w:tc>
        <w:tc>
          <w:tcPr>
            <w:tcW w:w="1034" w:type="dxa"/>
            <w:tcBorders>
              <w:top w:val="nil"/>
              <w:bottom w:val="nil"/>
            </w:tcBorders>
            <w:vAlign w:val="center"/>
          </w:tcPr>
          <w:p w14:paraId="147EBD3D" w14:textId="667879FF" w:rsidR="00EA5855" w:rsidRPr="00EA5855" w:rsidRDefault="00EA5855" w:rsidP="009D02E9">
            <w:pPr>
              <w:spacing w:after="0" w:line="264" w:lineRule="auto"/>
              <w:jc w:val="right"/>
              <w:rPr>
                <w:rFonts w:cs="Arial"/>
                <w:sz w:val="16"/>
                <w:szCs w:val="16"/>
              </w:rPr>
            </w:pPr>
            <w:r w:rsidRPr="00EA5855">
              <w:rPr>
                <w:rFonts w:cs="Arial"/>
                <w:sz w:val="16"/>
                <w:szCs w:val="16"/>
              </w:rPr>
              <w:t>2.934</w:t>
            </w:r>
          </w:p>
        </w:tc>
        <w:tc>
          <w:tcPr>
            <w:tcW w:w="1551" w:type="dxa"/>
            <w:tcBorders>
              <w:top w:val="nil"/>
              <w:bottom w:val="nil"/>
            </w:tcBorders>
            <w:vAlign w:val="center"/>
          </w:tcPr>
          <w:p w14:paraId="5D2E8A00" w14:textId="36ED1EF4" w:rsidR="00EA5855" w:rsidRPr="00EA5855" w:rsidRDefault="00EA5855" w:rsidP="009D02E9">
            <w:pPr>
              <w:spacing w:after="0" w:line="264" w:lineRule="auto"/>
              <w:jc w:val="right"/>
              <w:rPr>
                <w:rFonts w:cs="Arial"/>
                <w:sz w:val="16"/>
                <w:szCs w:val="16"/>
              </w:rPr>
            </w:pPr>
            <w:r w:rsidRPr="00EA5855">
              <w:rPr>
                <w:rFonts w:cs="Arial"/>
                <w:sz w:val="16"/>
                <w:szCs w:val="16"/>
              </w:rPr>
              <w:t>3.063</w:t>
            </w:r>
          </w:p>
        </w:tc>
        <w:tc>
          <w:tcPr>
            <w:tcW w:w="1037" w:type="dxa"/>
            <w:tcBorders>
              <w:top w:val="nil"/>
              <w:bottom w:val="nil"/>
            </w:tcBorders>
            <w:vAlign w:val="center"/>
          </w:tcPr>
          <w:p w14:paraId="5D710EB8" w14:textId="41C93F06" w:rsidR="00EA5855" w:rsidRPr="00EA5855" w:rsidRDefault="00EA5855" w:rsidP="009D02E9">
            <w:pPr>
              <w:spacing w:after="0" w:line="264" w:lineRule="auto"/>
              <w:jc w:val="right"/>
              <w:rPr>
                <w:rFonts w:cs="Arial"/>
                <w:sz w:val="16"/>
                <w:szCs w:val="16"/>
              </w:rPr>
            </w:pPr>
            <w:r w:rsidRPr="00EA5855">
              <w:rPr>
                <w:rFonts w:cs="Arial"/>
                <w:sz w:val="16"/>
                <w:szCs w:val="16"/>
              </w:rPr>
              <w:t>3.969</w:t>
            </w:r>
          </w:p>
        </w:tc>
        <w:tc>
          <w:tcPr>
            <w:tcW w:w="1043" w:type="dxa"/>
            <w:tcBorders>
              <w:top w:val="nil"/>
              <w:bottom w:val="nil"/>
              <w:right w:val="single" w:sz="2" w:space="0" w:color="A6A6A6" w:themeColor="background1" w:themeShade="A6"/>
            </w:tcBorders>
            <w:vAlign w:val="center"/>
          </w:tcPr>
          <w:p w14:paraId="554E9830" w14:textId="60838E7D" w:rsidR="00EA5855" w:rsidRPr="00EA5855" w:rsidRDefault="00EA5855" w:rsidP="009D02E9">
            <w:pPr>
              <w:spacing w:after="0" w:line="264" w:lineRule="auto"/>
              <w:jc w:val="right"/>
              <w:rPr>
                <w:rFonts w:cs="Arial"/>
                <w:sz w:val="16"/>
                <w:szCs w:val="16"/>
              </w:rPr>
            </w:pPr>
            <w:r w:rsidRPr="00EA5855">
              <w:rPr>
                <w:rFonts w:cs="Arial"/>
                <w:sz w:val="16"/>
                <w:szCs w:val="16"/>
              </w:rPr>
              <w:t>4.050</w:t>
            </w:r>
          </w:p>
        </w:tc>
      </w:tr>
      <w:tr w:rsidR="008C0A0E" w:rsidRPr="00372745" w14:paraId="7554979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37611E5" w14:textId="53F4586C"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Επενδυτικές δαπάνες</w:t>
            </w:r>
          </w:p>
        </w:tc>
        <w:tc>
          <w:tcPr>
            <w:tcW w:w="1034" w:type="dxa"/>
            <w:tcBorders>
              <w:top w:val="nil"/>
              <w:bottom w:val="nil"/>
            </w:tcBorders>
            <w:vAlign w:val="center"/>
          </w:tcPr>
          <w:p w14:paraId="73996B36" w14:textId="31FE2BED" w:rsidR="00EA5855" w:rsidRPr="00EA5855" w:rsidRDefault="00EA5855" w:rsidP="009D02E9">
            <w:pPr>
              <w:spacing w:after="0" w:line="264" w:lineRule="auto"/>
              <w:jc w:val="right"/>
              <w:rPr>
                <w:rFonts w:cs="Arial"/>
                <w:sz w:val="16"/>
                <w:szCs w:val="16"/>
              </w:rPr>
            </w:pPr>
            <w:r w:rsidRPr="00EA5855">
              <w:rPr>
                <w:rFonts w:cs="Arial"/>
                <w:sz w:val="16"/>
                <w:szCs w:val="16"/>
              </w:rPr>
              <w:t>3.062</w:t>
            </w:r>
          </w:p>
        </w:tc>
        <w:tc>
          <w:tcPr>
            <w:tcW w:w="1551" w:type="dxa"/>
            <w:tcBorders>
              <w:top w:val="nil"/>
              <w:bottom w:val="nil"/>
            </w:tcBorders>
            <w:vAlign w:val="center"/>
          </w:tcPr>
          <w:p w14:paraId="5FB2DB78" w14:textId="7EE7E6C1" w:rsidR="00EA5855" w:rsidRPr="00EA5855" w:rsidRDefault="00EA5855" w:rsidP="009D02E9">
            <w:pPr>
              <w:spacing w:after="0" w:line="264" w:lineRule="auto"/>
              <w:jc w:val="right"/>
              <w:rPr>
                <w:rFonts w:cs="Arial"/>
                <w:sz w:val="16"/>
                <w:szCs w:val="16"/>
              </w:rPr>
            </w:pPr>
            <w:r w:rsidRPr="00EA5855">
              <w:rPr>
                <w:rFonts w:cs="Arial"/>
                <w:sz w:val="16"/>
                <w:szCs w:val="16"/>
              </w:rPr>
              <w:t>3.193</w:t>
            </w:r>
          </w:p>
        </w:tc>
        <w:tc>
          <w:tcPr>
            <w:tcW w:w="1037" w:type="dxa"/>
            <w:tcBorders>
              <w:top w:val="nil"/>
              <w:bottom w:val="nil"/>
            </w:tcBorders>
            <w:vAlign w:val="center"/>
          </w:tcPr>
          <w:p w14:paraId="6B9A7750" w14:textId="218C7B24" w:rsidR="00EA5855" w:rsidRPr="00EA5855" w:rsidRDefault="00EA5855" w:rsidP="009D02E9">
            <w:pPr>
              <w:spacing w:after="0" w:line="264" w:lineRule="auto"/>
              <w:jc w:val="right"/>
              <w:rPr>
                <w:rFonts w:cs="Arial"/>
                <w:sz w:val="16"/>
                <w:szCs w:val="16"/>
              </w:rPr>
            </w:pPr>
            <w:r w:rsidRPr="00EA5855">
              <w:rPr>
                <w:rFonts w:cs="Arial"/>
                <w:sz w:val="16"/>
                <w:szCs w:val="16"/>
              </w:rPr>
              <w:t>2.378</w:t>
            </w:r>
          </w:p>
        </w:tc>
        <w:tc>
          <w:tcPr>
            <w:tcW w:w="1043" w:type="dxa"/>
            <w:tcBorders>
              <w:top w:val="nil"/>
              <w:bottom w:val="nil"/>
              <w:right w:val="single" w:sz="2" w:space="0" w:color="A6A6A6" w:themeColor="background1" w:themeShade="A6"/>
            </w:tcBorders>
            <w:vAlign w:val="center"/>
          </w:tcPr>
          <w:p w14:paraId="1FE02769" w14:textId="255CE5D4" w:rsidR="00EA5855" w:rsidRPr="00EA5855" w:rsidRDefault="00EA5855" w:rsidP="009D02E9">
            <w:pPr>
              <w:spacing w:after="0" w:line="264" w:lineRule="auto"/>
              <w:jc w:val="right"/>
              <w:rPr>
                <w:rFonts w:cs="Arial"/>
                <w:sz w:val="16"/>
                <w:szCs w:val="16"/>
              </w:rPr>
            </w:pPr>
            <w:r w:rsidRPr="00EA5855">
              <w:rPr>
                <w:rFonts w:cs="Arial"/>
                <w:sz w:val="16"/>
                <w:szCs w:val="16"/>
              </w:rPr>
              <w:t>1.710</w:t>
            </w:r>
          </w:p>
        </w:tc>
      </w:tr>
      <w:tr w:rsidR="008C0A0E" w:rsidRPr="00372745" w14:paraId="7446A154"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2716E57" w14:textId="54CB3150" w:rsidR="003130A0" w:rsidRPr="00372745" w:rsidRDefault="003130A0" w:rsidP="009D02E9">
            <w:pPr>
              <w:tabs>
                <w:tab w:val="left" w:pos="340"/>
              </w:tabs>
              <w:spacing w:after="0" w:line="264" w:lineRule="auto"/>
              <w:jc w:val="left"/>
              <w:rPr>
                <w:rFonts w:cs="Arial"/>
                <w:b/>
                <w:bCs/>
                <w:sz w:val="16"/>
                <w:szCs w:val="16"/>
              </w:rPr>
            </w:pPr>
            <w:r w:rsidRPr="00372745">
              <w:rPr>
                <w:rFonts w:cs="Arial"/>
                <w:b/>
                <w:bCs/>
                <w:sz w:val="16"/>
                <w:szCs w:val="16"/>
              </w:rPr>
              <w:t>IΧ.</w:t>
            </w:r>
            <w:r w:rsidR="00CA2839">
              <w:rPr>
                <w:rFonts w:cs="Arial"/>
                <w:b/>
                <w:bCs/>
                <w:sz w:val="16"/>
                <w:szCs w:val="16"/>
              </w:rPr>
              <w:tab/>
            </w:r>
            <w:r w:rsidRPr="00372745">
              <w:rPr>
                <w:rFonts w:cs="Arial"/>
                <w:b/>
                <w:bCs/>
                <w:sz w:val="16"/>
                <w:szCs w:val="16"/>
              </w:rPr>
              <w:t>Ισοζύγιο OKA κατά ESA</w:t>
            </w:r>
          </w:p>
        </w:tc>
        <w:tc>
          <w:tcPr>
            <w:tcW w:w="1034" w:type="dxa"/>
            <w:tcBorders>
              <w:top w:val="nil"/>
              <w:bottom w:val="nil"/>
            </w:tcBorders>
            <w:shd w:val="clear" w:color="auto" w:fill="D5DCE4"/>
            <w:vAlign w:val="center"/>
          </w:tcPr>
          <w:p w14:paraId="44A2C2D1" w14:textId="053C969F" w:rsidR="003130A0" w:rsidRPr="003130A0" w:rsidRDefault="003130A0" w:rsidP="009D02E9">
            <w:pPr>
              <w:spacing w:after="0" w:line="264" w:lineRule="auto"/>
              <w:jc w:val="right"/>
              <w:rPr>
                <w:rFonts w:cs="Arial"/>
                <w:b/>
                <w:bCs/>
                <w:sz w:val="16"/>
                <w:szCs w:val="16"/>
              </w:rPr>
            </w:pPr>
            <w:r w:rsidRPr="003130A0">
              <w:rPr>
                <w:rFonts w:cs="Arial"/>
                <w:b/>
                <w:bCs/>
                <w:sz w:val="16"/>
                <w:szCs w:val="16"/>
              </w:rPr>
              <w:t>1.758</w:t>
            </w:r>
          </w:p>
        </w:tc>
        <w:tc>
          <w:tcPr>
            <w:tcW w:w="1551" w:type="dxa"/>
            <w:tcBorders>
              <w:top w:val="nil"/>
              <w:bottom w:val="nil"/>
            </w:tcBorders>
            <w:shd w:val="clear" w:color="auto" w:fill="D5DCE4"/>
            <w:vAlign w:val="center"/>
          </w:tcPr>
          <w:p w14:paraId="3318A325" w14:textId="006AFA4D" w:rsidR="003130A0" w:rsidRPr="003130A0" w:rsidRDefault="003130A0" w:rsidP="009D02E9">
            <w:pPr>
              <w:spacing w:after="0" w:line="264" w:lineRule="auto"/>
              <w:jc w:val="right"/>
              <w:rPr>
                <w:rFonts w:cs="Arial"/>
                <w:b/>
                <w:bCs/>
                <w:sz w:val="16"/>
                <w:szCs w:val="16"/>
              </w:rPr>
            </w:pPr>
            <w:r w:rsidRPr="003130A0">
              <w:rPr>
                <w:rFonts w:cs="Arial"/>
                <w:b/>
                <w:bCs/>
                <w:sz w:val="16"/>
                <w:szCs w:val="16"/>
              </w:rPr>
              <w:t>1.790</w:t>
            </w:r>
          </w:p>
        </w:tc>
        <w:tc>
          <w:tcPr>
            <w:tcW w:w="1037" w:type="dxa"/>
            <w:tcBorders>
              <w:top w:val="nil"/>
              <w:bottom w:val="nil"/>
            </w:tcBorders>
            <w:shd w:val="clear" w:color="auto" w:fill="D5DCE4"/>
            <w:vAlign w:val="center"/>
          </w:tcPr>
          <w:p w14:paraId="53378667" w14:textId="231119B7" w:rsidR="003130A0" w:rsidRPr="003130A0" w:rsidRDefault="003130A0" w:rsidP="009D02E9">
            <w:pPr>
              <w:spacing w:after="0" w:line="264" w:lineRule="auto"/>
              <w:jc w:val="right"/>
              <w:rPr>
                <w:rFonts w:cs="Arial"/>
                <w:b/>
                <w:bCs/>
                <w:sz w:val="16"/>
                <w:szCs w:val="16"/>
              </w:rPr>
            </w:pPr>
            <w:r w:rsidRPr="003130A0">
              <w:rPr>
                <w:rFonts w:cs="Arial"/>
                <w:b/>
                <w:bCs/>
                <w:sz w:val="16"/>
                <w:szCs w:val="16"/>
              </w:rPr>
              <w:t>1.534</w:t>
            </w:r>
          </w:p>
        </w:tc>
        <w:tc>
          <w:tcPr>
            <w:tcW w:w="1043" w:type="dxa"/>
            <w:tcBorders>
              <w:top w:val="nil"/>
              <w:bottom w:val="nil"/>
              <w:right w:val="single" w:sz="2" w:space="0" w:color="A6A6A6" w:themeColor="background1" w:themeShade="A6"/>
            </w:tcBorders>
            <w:shd w:val="clear" w:color="auto" w:fill="D5DCE4"/>
            <w:vAlign w:val="center"/>
          </w:tcPr>
          <w:p w14:paraId="142BED98" w14:textId="62144EBB" w:rsidR="003130A0" w:rsidRPr="003130A0" w:rsidRDefault="003130A0" w:rsidP="009D02E9">
            <w:pPr>
              <w:spacing w:after="0" w:line="264" w:lineRule="auto"/>
              <w:jc w:val="right"/>
              <w:rPr>
                <w:rFonts w:cs="Arial"/>
                <w:b/>
                <w:bCs/>
                <w:sz w:val="16"/>
                <w:szCs w:val="16"/>
              </w:rPr>
            </w:pPr>
            <w:r w:rsidRPr="003130A0">
              <w:rPr>
                <w:rFonts w:cs="Arial"/>
                <w:b/>
                <w:bCs/>
                <w:sz w:val="16"/>
                <w:szCs w:val="16"/>
              </w:rPr>
              <w:t>2.432</w:t>
            </w:r>
          </w:p>
        </w:tc>
      </w:tr>
      <w:tr w:rsidR="008C0A0E" w:rsidRPr="00372745" w14:paraId="72F2B0B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4A80DCC" w14:textId="00ABA562" w:rsidR="003130A0"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3130A0" w:rsidRPr="00372745">
              <w:rPr>
                <w:rFonts w:cs="Arial"/>
                <w:b/>
                <w:bCs/>
                <w:sz w:val="16"/>
                <w:szCs w:val="16"/>
              </w:rPr>
              <w:t>Έσοδα</w:t>
            </w:r>
          </w:p>
        </w:tc>
        <w:tc>
          <w:tcPr>
            <w:tcW w:w="1034" w:type="dxa"/>
            <w:tcBorders>
              <w:top w:val="nil"/>
              <w:bottom w:val="nil"/>
            </w:tcBorders>
            <w:vAlign w:val="center"/>
          </w:tcPr>
          <w:p w14:paraId="4E2635BB" w14:textId="401D4BB1" w:rsidR="003130A0" w:rsidRPr="003130A0" w:rsidRDefault="003130A0" w:rsidP="009D02E9">
            <w:pPr>
              <w:spacing w:after="0" w:line="264" w:lineRule="auto"/>
              <w:jc w:val="right"/>
              <w:rPr>
                <w:rFonts w:cs="Arial"/>
                <w:b/>
                <w:bCs/>
                <w:sz w:val="16"/>
                <w:szCs w:val="16"/>
              </w:rPr>
            </w:pPr>
            <w:r w:rsidRPr="003130A0">
              <w:rPr>
                <w:rFonts w:cs="Arial"/>
                <w:b/>
                <w:bCs/>
                <w:sz w:val="16"/>
                <w:szCs w:val="16"/>
              </w:rPr>
              <w:t>52.588</w:t>
            </w:r>
          </w:p>
        </w:tc>
        <w:tc>
          <w:tcPr>
            <w:tcW w:w="1551" w:type="dxa"/>
            <w:tcBorders>
              <w:top w:val="nil"/>
              <w:bottom w:val="nil"/>
            </w:tcBorders>
            <w:vAlign w:val="center"/>
          </w:tcPr>
          <w:p w14:paraId="2AE832FB" w14:textId="3EED88BD" w:rsidR="003130A0" w:rsidRPr="003130A0" w:rsidRDefault="003130A0" w:rsidP="009D02E9">
            <w:pPr>
              <w:spacing w:after="0" w:line="264" w:lineRule="auto"/>
              <w:jc w:val="right"/>
              <w:rPr>
                <w:rFonts w:cs="Arial"/>
                <w:b/>
                <w:bCs/>
                <w:sz w:val="16"/>
                <w:szCs w:val="16"/>
              </w:rPr>
            </w:pPr>
            <w:r w:rsidRPr="003130A0">
              <w:rPr>
                <w:rFonts w:cs="Arial"/>
                <w:b/>
                <w:bCs/>
                <w:sz w:val="16"/>
                <w:szCs w:val="16"/>
              </w:rPr>
              <w:t>55.500</w:t>
            </w:r>
          </w:p>
        </w:tc>
        <w:tc>
          <w:tcPr>
            <w:tcW w:w="1037" w:type="dxa"/>
            <w:tcBorders>
              <w:top w:val="nil"/>
              <w:bottom w:val="nil"/>
            </w:tcBorders>
            <w:vAlign w:val="center"/>
          </w:tcPr>
          <w:p w14:paraId="28F89E2D" w14:textId="39A3806B" w:rsidR="003130A0" w:rsidRPr="003130A0" w:rsidRDefault="003130A0" w:rsidP="009D02E9">
            <w:pPr>
              <w:spacing w:after="0" w:line="264" w:lineRule="auto"/>
              <w:jc w:val="right"/>
              <w:rPr>
                <w:rFonts w:cs="Arial"/>
                <w:b/>
                <w:bCs/>
                <w:sz w:val="16"/>
                <w:szCs w:val="16"/>
              </w:rPr>
            </w:pPr>
            <w:r w:rsidRPr="003130A0">
              <w:rPr>
                <w:rFonts w:cs="Arial"/>
                <w:b/>
                <w:bCs/>
                <w:sz w:val="16"/>
                <w:szCs w:val="16"/>
              </w:rPr>
              <w:t>56.135</w:t>
            </w:r>
          </w:p>
        </w:tc>
        <w:tc>
          <w:tcPr>
            <w:tcW w:w="1043" w:type="dxa"/>
            <w:tcBorders>
              <w:top w:val="nil"/>
              <w:bottom w:val="nil"/>
              <w:right w:val="single" w:sz="2" w:space="0" w:color="A6A6A6" w:themeColor="background1" w:themeShade="A6"/>
            </w:tcBorders>
            <w:vAlign w:val="center"/>
          </w:tcPr>
          <w:p w14:paraId="64D8F9C4" w14:textId="508266D5" w:rsidR="003130A0" w:rsidRPr="003130A0" w:rsidRDefault="003130A0" w:rsidP="009D02E9">
            <w:pPr>
              <w:spacing w:after="0" w:line="264" w:lineRule="auto"/>
              <w:jc w:val="right"/>
              <w:rPr>
                <w:rFonts w:cs="Arial"/>
                <w:b/>
                <w:bCs/>
                <w:sz w:val="16"/>
                <w:szCs w:val="16"/>
              </w:rPr>
            </w:pPr>
            <w:r w:rsidRPr="003130A0">
              <w:rPr>
                <w:rFonts w:cs="Arial"/>
                <w:b/>
                <w:bCs/>
                <w:sz w:val="16"/>
                <w:szCs w:val="16"/>
              </w:rPr>
              <w:t>57.623</w:t>
            </w:r>
          </w:p>
        </w:tc>
      </w:tr>
      <w:tr w:rsidR="008C0A0E" w:rsidRPr="00372745" w14:paraId="1ED2AB9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63732903" w14:textId="695518F7"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 xml:space="preserve">Τρέχουσες </w:t>
            </w:r>
            <w:r w:rsidR="003130A0">
              <w:rPr>
                <w:rFonts w:cs="Arial"/>
                <w:sz w:val="16"/>
                <w:szCs w:val="16"/>
              </w:rPr>
              <w:t>και</w:t>
            </w:r>
            <w:r w:rsidR="003130A0"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53F936B9" w14:textId="35AFCAAD" w:rsidR="003130A0" w:rsidRPr="003130A0" w:rsidRDefault="003130A0" w:rsidP="009D02E9">
            <w:pPr>
              <w:spacing w:after="0" w:line="264" w:lineRule="auto"/>
              <w:jc w:val="right"/>
              <w:rPr>
                <w:rFonts w:cs="Arial"/>
                <w:sz w:val="16"/>
                <w:szCs w:val="16"/>
              </w:rPr>
            </w:pPr>
            <w:r w:rsidRPr="003130A0">
              <w:rPr>
                <w:rFonts w:cs="Arial"/>
                <w:sz w:val="16"/>
                <w:szCs w:val="16"/>
              </w:rPr>
              <w:t>21.523</w:t>
            </w:r>
          </w:p>
        </w:tc>
        <w:tc>
          <w:tcPr>
            <w:tcW w:w="1551" w:type="dxa"/>
            <w:tcBorders>
              <w:top w:val="nil"/>
              <w:bottom w:val="nil"/>
            </w:tcBorders>
            <w:vAlign w:val="center"/>
          </w:tcPr>
          <w:p w14:paraId="1AB540DC" w14:textId="33FF2BC3" w:rsidR="003130A0" w:rsidRPr="003130A0" w:rsidRDefault="003130A0" w:rsidP="009D02E9">
            <w:pPr>
              <w:spacing w:after="0" w:line="264" w:lineRule="auto"/>
              <w:jc w:val="right"/>
              <w:rPr>
                <w:rFonts w:cs="Arial"/>
                <w:sz w:val="16"/>
                <w:szCs w:val="16"/>
              </w:rPr>
            </w:pPr>
            <w:r w:rsidRPr="003130A0">
              <w:rPr>
                <w:rFonts w:cs="Arial"/>
                <w:sz w:val="16"/>
                <w:szCs w:val="16"/>
              </w:rPr>
              <w:t>23.611</w:t>
            </w:r>
          </w:p>
        </w:tc>
        <w:tc>
          <w:tcPr>
            <w:tcW w:w="1037" w:type="dxa"/>
            <w:tcBorders>
              <w:top w:val="nil"/>
              <w:bottom w:val="nil"/>
            </w:tcBorders>
            <w:vAlign w:val="center"/>
          </w:tcPr>
          <w:p w14:paraId="3685EFBF" w14:textId="5F3E944E" w:rsidR="003130A0" w:rsidRPr="003130A0" w:rsidRDefault="003130A0" w:rsidP="009D02E9">
            <w:pPr>
              <w:spacing w:after="0" w:line="264" w:lineRule="auto"/>
              <w:jc w:val="right"/>
              <w:rPr>
                <w:rFonts w:cs="Arial"/>
                <w:sz w:val="16"/>
                <w:szCs w:val="16"/>
              </w:rPr>
            </w:pPr>
            <w:r w:rsidRPr="003130A0">
              <w:rPr>
                <w:rFonts w:cs="Arial"/>
                <w:sz w:val="16"/>
                <w:szCs w:val="16"/>
              </w:rPr>
              <w:t>23.999</w:t>
            </w:r>
          </w:p>
        </w:tc>
        <w:tc>
          <w:tcPr>
            <w:tcW w:w="1043" w:type="dxa"/>
            <w:tcBorders>
              <w:top w:val="nil"/>
              <w:bottom w:val="nil"/>
              <w:right w:val="single" w:sz="2" w:space="0" w:color="A6A6A6" w:themeColor="background1" w:themeShade="A6"/>
            </w:tcBorders>
            <w:vAlign w:val="center"/>
          </w:tcPr>
          <w:p w14:paraId="4B4B323A" w14:textId="7ECC6493" w:rsidR="003130A0" w:rsidRPr="003130A0" w:rsidRDefault="003130A0" w:rsidP="009D02E9">
            <w:pPr>
              <w:spacing w:after="0" w:line="264" w:lineRule="auto"/>
              <w:jc w:val="right"/>
              <w:rPr>
                <w:rFonts w:cs="Arial"/>
                <w:sz w:val="16"/>
                <w:szCs w:val="16"/>
              </w:rPr>
            </w:pPr>
            <w:r w:rsidRPr="003130A0">
              <w:rPr>
                <w:rFonts w:cs="Arial"/>
                <w:sz w:val="16"/>
                <w:szCs w:val="16"/>
              </w:rPr>
              <w:t>24.238</w:t>
            </w:r>
          </w:p>
        </w:tc>
      </w:tr>
      <w:tr w:rsidR="008C0A0E" w:rsidRPr="00372745" w14:paraId="6C66CFB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130EB05B" w14:textId="1930345A"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Αποδόσεις περιουσίας</w:t>
            </w:r>
          </w:p>
        </w:tc>
        <w:tc>
          <w:tcPr>
            <w:tcW w:w="1034" w:type="dxa"/>
            <w:tcBorders>
              <w:top w:val="nil"/>
              <w:bottom w:val="nil"/>
            </w:tcBorders>
            <w:vAlign w:val="center"/>
          </w:tcPr>
          <w:p w14:paraId="35905260" w14:textId="023B5F5B" w:rsidR="003130A0" w:rsidRPr="003130A0" w:rsidRDefault="003130A0" w:rsidP="009D02E9">
            <w:pPr>
              <w:spacing w:after="0" w:line="264" w:lineRule="auto"/>
              <w:jc w:val="right"/>
              <w:rPr>
                <w:rFonts w:cs="Arial"/>
                <w:sz w:val="16"/>
                <w:szCs w:val="16"/>
              </w:rPr>
            </w:pPr>
            <w:r w:rsidRPr="003130A0">
              <w:rPr>
                <w:rFonts w:cs="Arial"/>
                <w:sz w:val="16"/>
                <w:szCs w:val="16"/>
              </w:rPr>
              <w:t>1.233</w:t>
            </w:r>
          </w:p>
        </w:tc>
        <w:tc>
          <w:tcPr>
            <w:tcW w:w="1551" w:type="dxa"/>
            <w:tcBorders>
              <w:top w:val="nil"/>
              <w:bottom w:val="nil"/>
            </w:tcBorders>
            <w:vAlign w:val="center"/>
          </w:tcPr>
          <w:p w14:paraId="7CB4F301" w14:textId="3AC5D497" w:rsidR="003130A0" w:rsidRPr="003130A0" w:rsidRDefault="003130A0" w:rsidP="009D02E9">
            <w:pPr>
              <w:spacing w:after="0" w:line="264" w:lineRule="auto"/>
              <w:jc w:val="right"/>
              <w:rPr>
                <w:rFonts w:cs="Arial"/>
                <w:sz w:val="16"/>
                <w:szCs w:val="16"/>
              </w:rPr>
            </w:pPr>
            <w:r w:rsidRPr="003130A0">
              <w:rPr>
                <w:rFonts w:cs="Arial"/>
                <w:sz w:val="16"/>
                <w:szCs w:val="16"/>
              </w:rPr>
              <w:t>1.293</w:t>
            </w:r>
          </w:p>
        </w:tc>
        <w:tc>
          <w:tcPr>
            <w:tcW w:w="1037" w:type="dxa"/>
            <w:tcBorders>
              <w:top w:val="nil"/>
              <w:bottom w:val="nil"/>
            </w:tcBorders>
            <w:vAlign w:val="center"/>
          </w:tcPr>
          <w:p w14:paraId="44DB6E2A" w14:textId="527976FA" w:rsidR="003130A0" w:rsidRPr="003130A0" w:rsidRDefault="003130A0" w:rsidP="009D02E9">
            <w:pPr>
              <w:spacing w:after="0" w:line="264" w:lineRule="auto"/>
              <w:jc w:val="right"/>
              <w:rPr>
                <w:rFonts w:cs="Arial"/>
                <w:sz w:val="16"/>
                <w:szCs w:val="16"/>
              </w:rPr>
            </w:pPr>
            <w:r w:rsidRPr="003130A0">
              <w:rPr>
                <w:rFonts w:cs="Arial"/>
                <w:sz w:val="16"/>
                <w:szCs w:val="16"/>
              </w:rPr>
              <w:t>1.186</w:t>
            </w:r>
          </w:p>
        </w:tc>
        <w:tc>
          <w:tcPr>
            <w:tcW w:w="1043" w:type="dxa"/>
            <w:tcBorders>
              <w:top w:val="nil"/>
              <w:bottom w:val="nil"/>
              <w:right w:val="single" w:sz="2" w:space="0" w:color="A6A6A6" w:themeColor="background1" w:themeShade="A6"/>
            </w:tcBorders>
            <w:vAlign w:val="center"/>
          </w:tcPr>
          <w:p w14:paraId="311E2464" w14:textId="18D648AA" w:rsidR="003130A0" w:rsidRPr="003130A0" w:rsidRDefault="003130A0" w:rsidP="009D02E9">
            <w:pPr>
              <w:spacing w:after="0" w:line="264" w:lineRule="auto"/>
              <w:jc w:val="right"/>
              <w:rPr>
                <w:rFonts w:cs="Arial"/>
                <w:sz w:val="16"/>
                <w:szCs w:val="16"/>
              </w:rPr>
            </w:pPr>
            <w:r w:rsidRPr="003130A0">
              <w:rPr>
                <w:rFonts w:cs="Arial"/>
                <w:sz w:val="16"/>
                <w:szCs w:val="16"/>
              </w:rPr>
              <w:t>1.264</w:t>
            </w:r>
          </w:p>
        </w:tc>
      </w:tr>
      <w:tr w:rsidR="008C0A0E" w:rsidRPr="00372745" w14:paraId="1B7DB74B"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F3B92F2" w14:textId="6C3DC80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Ασφαλιστικές εισφορές (πραγματικές)</w:t>
            </w:r>
          </w:p>
        </w:tc>
        <w:tc>
          <w:tcPr>
            <w:tcW w:w="1034" w:type="dxa"/>
            <w:tcBorders>
              <w:top w:val="nil"/>
              <w:bottom w:val="nil"/>
            </w:tcBorders>
            <w:vAlign w:val="center"/>
          </w:tcPr>
          <w:p w14:paraId="6B81244E" w14:textId="6FAE4E30" w:rsidR="003130A0" w:rsidRPr="003130A0" w:rsidRDefault="003130A0" w:rsidP="009D02E9">
            <w:pPr>
              <w:spacing w:after="0" w:line="264" w:lineRule="auto"/>
              <w:jc w:val="right"/>
              <w:rPr>
                <w:rFonts w:cs="Arial"/>
                <w:sz w:val="16"/>
                <w:szCs w:val="16"/>
              </w:rPr>
            </w:pPr>
            <w:r w:rsidRPr="003130A0">
              <w:rPr>
                <w:rFonts w:cs="Arial"/>
                <w:sz w:val="16"/>
                <w:szCs w:val="16"/>
              </w:rPr>
              <w:t>28.739</w:t>
            </w:r>
          </w:p>
        </w:tc>
        <w:tc>
          <w:tcPr>
            <w:tcW w:w="1551" w:type="dxa"/>
            <w:tcBorders>
              <w:top w:val="nil"/>
              <w:bottom w:val="nil"/>
            </w:tcBorders>
            <w:vAlign w:val="center"/>
          </w:tcPr>
          <w:p w14:paraId="545AAEBC" w14:textId="0CFA7CA1" w:rsidR="003130A0" w:rsidRPr="003130A0" w:rsidRDefault="003130A0" w:rsidP="009D02E9">
            <w:pPr>
              <w:spacing w:after="0" w:line="264" w:lineRule="auto"/>
              <w:jc w:val="right"/>
              <w:rPr>
                <w:rFonts w:cs="Arial"/>
                <w:sz w:val="16"/>
                <w:szCs w:val="16"/>
              </w:rPr>
            </w:pPr>
            <w:r w:rsidRPr="003130A0">
              <w:rPr>
                <w:rFonts w:cs="Arial"/>
                <w:sz w:val="16"/>
                <w:szCs w:val="16"/>
              </w:rPr>
              <w:t>29.547</w:t>
            </w:r>
          </w:p>
        </w:tc>
        <w:tc>
          <w:tcPr>
            <w:tcW w:w="1037" w:type="dxa"/>
            <w:tcBorders>
              <w:top w:val="nil"/>
              <w:bottom w:val="nil"/>
            </w:tcBorders>
            <w:vAlign w:val="center"/>
          </w:tcPr>
          <w:p w14:paraId="35EE3970" w14:textId="008BE344" w:rsidR="003130A0" w:rsidRPr="003130A0" w:rsidRDefault="003130A0" w:rsidP="009D02E9">
            <w:pPr>
              <w:spacing w:after="0" w:line="264" w:lineRule="auto"/>
              <w:jc w:val="right"/>
              <w:rPr>
                <w:rFonts w:cs="Arial"/>
                <w:sz w:val="16"/>
                <w:szCs w:val="16"/>
              </w:rPr>
            </w:pPr>
            <w:r w:rsidRPr="003130A0">
              <w:rPr>
                <w:rFonts w:cs="Arial"/>
                <w:sz w:val="16"/>
                <w:szCs w:val="16"/>
              </w:rPr>
              <w:t>29.870</w:t>
            </w:r>
          </w:p>
        </w:tc>
        <w:tc>
          <w:tcPr>
            <w:tcW w:w="1043" w:type="dxa"/>
            <w:tcBorders>
              <w:top w:val="nil"/>
              <w:bottom w:val="nil"/>
              <w:right w:val="single" w:sz="2" w:space="0" w:color="A6A6A6" w:themeColor="background1" w:themeShade="A6"/>
            </w:tcBorders>
            <w:vAlign w:val="center"/>
          </w:tcPr>
          <w:p w14:paraId="0F1E610C" w14:textId="119A52B7" w:rsidR="003130A0" w:rsidRPr="003130A0" w:rsidRDefault="003130A0" w:rsidP="009D02E9">
            <w:pPr>
              <w:spacing w:after="0" w:line="264" w:lineRule="auto"/>
              <w:jc w:val="right"/>
              <w:rPr>
                <w:rFonts w:cs="Arial"/>
                <w:sz w:val="16"/>
                <w:szCs w:val="16"/>
              </w:rPr>
            </w:pPr>
            <w:r w:rsidRPr="003130A0">
              <w:rPr>
                <w:rFonts w:cs="Arial"/>
                <w:sz w:val="16"/>
                <w:szCs w:val="16"/>
              </w:rPr>
              <w:t>31.071</w:t>
            </w:r>
          </w:p>
        </w:tc>
      </w:tr>
      <w:tr w:rsidR="008C0A0E" w:rsidRPr="00372745" w14:paraId="7043A17E"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0ED78FC" w14:textId="12629D6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Κοινωνικοί πόροι</w:t>
            </w:r>
          </w:p>
        </w:tc>
        <w:tc>
          <w:tcPr>
            <w:tcW w:w="1034" w:type="dxa"/>
            <w:tcBorders>
              <w:top w:val="nil"/>
              <w:bottom w:val="nil"/>
            </w:tcBorders>
            <w:vAlign w:val="center"/>
          </w:tcPr>
          <w:p w14:paraId="714732FC" w14:textId="6863F3FF" w:rsidR="003130A0" w:rsidRPr="003130A0" w:rsidRDefault="003130A0" w:rsidP="009D02E9">
            <w:pPr>
              <w:spacing w:after="0" w:line="264" w:lineRule="auto"/>
              <w:jc w:val="right"/>
              <w:rPr>
                <w:rFonts w:cs="Arial"/>
                <w:sz w:val="16"/>
                <w:szCs w:val="16"/>
              </w:rPr>
            </w:pPr>
            <w:r w:rsidRPr="003130A0">
              <w:rPr>
                <w:rFonts w:cs="Arial"/>
                <w:sz w:val="16"/>
                <w:szCs w:val="16"/>
              </w:rPr>
              <w:t>772</w:t>
            </w:r>
          </w:p>
        </w:tc>
        <w:tc>
          <w:tcPr>
            <w:tcW w:w="1551" w:type="dxa"/>
            <w:tcBorders>
              <w:top w:val="nil"/>
              <w:bottom w:val="nil"/>
            </w:tcBorders>
            <w:vAlign w:val="center"/>
          </w:tcPr>
          <w:p w14:paraId="537BECC6" w14:textId="5D9467D9" w:rsidR="003130A0" w:rsidRPr="003130A0" w:rsidRDefault="003130A0" w:rsidP="009D02E9">
            <w:pPr>
              <w:spacing w:after="0" w:line="264" w:lineRule="auto"/>
              <w:jc w:val="right"/>
              <w:rPr>
                <w:rFonts w:cs="Arial"/>
                <w:sz w:val="16"/>
                <w:szCs w:val="16"/>
              </w:rPr>
            </w:pPr>
            <w:r w:rsidRPr="003130A0">
              <w:rPr>
                <w:rFonts w:cs="Arial"/>
                <w:sz w:val="16"/>
                <w:szCs w:val="16"/>
              </w:rPr>
              <w:t>783</w:t>
            </w:r>
          </w:p>
        </w:tc>
        <w:tc>
          <w:tcPr>
            <w:tcW w:w="1037" w:type="dxa"/>
            <w:tcBorders>
              <w:top w:val="nil"/>
              <w:bottom w:val="nil"/>
            </w:tcBorders>
            <w:vAlign w:val="center"/>
          </w:tcPr>
          <w:p w14:paraId="54375241" w14:textId="2160C8B3" w:rsidR="003130A0" w:rsidRPr="003130A0" w:rsidRDefault="003130A0" w:rsidP="009D02E9">
            <w:pPr>
              <w:spacing w:after="0" w:line="264" w:lineRule="auto"/>
              <w:jc w:val="right"/>
              <w:rPr>
                <w:rFonts w:cs="Arial"/>
                <w:sz w:val="16"/>
                <w:szCs w:val="16"/>
              </w:rPr>
            </w:pPr>
            <w:r w:rsidRPr="003130A0">
              <w:rPr>
                <w:rFonts w:cs="Arial"/>
                <w:sz w:val="16"/>
                <w:szCs w:val="16"/>
              </w:rPr>
              <w:t>794</w:t>
            </w:r>
          </w:p>
        </w:tc>
        <w:tc>
          <w:tcPr>
            <w:tcW w:w="1043" w:type="dxa"/>
            <w:tcBorders>
              <w:top w:val="nil"/>
              <w:bottom w:val="nil"/>
              <w:right w:val="single" w:sz="2" w:space="0" w:color="A6A6A6" w:themeColor="background1" w:themeShade="A6"/>
            </w:tcBorders>
            <w:vAlign w:val="center"/>
          </w:tcPr>
          <w:p w14:paraId="695B57C9" w14:textId="19003ED7" w:rsidR="003130A0" w:rsidRPr="003130A0" w:rsidRDefault="003130A0" w:rsidP="009D02E9">
            <w:pPr>
              <w:spacing w:after="0" w:line="264" w:lineRule="auto"/>
              <w:jc w:val="right"/>
              <w:rPr>
                <w:rFonts w:cs="Arial"/>
                <w:sz w:val="16"/>
                <w:szCs w:val="16"/>
              </w:rPr>
            </w:pPr>
            <w:r w:rsidRPr="003130A0">
              <w:rPr>
                <w:rFonts w:cs="Arial"/>
                <w:sz w:val="16"/>
                <w:szCs w:val="16"/>
              </w:rPr>
              <w:t>793</w:t>
            </w:r>
          </w:p>
        </w:tc>
      </w:tr>
      <w:tr w:rsidR="008C0A0E" w:rsidRPr="00372745" w14:paraId="4461104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77E1F9D3" w14:textId="708AA82C"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Λοιπά έσοδα</w:t>
            </w:r>
          </w:p>
        </w:tc>
        <w:tc>
          <w:tcPr>
            <w:tcW w:w="1034" w:type="dxa"/>
            <w:tcBorders>
              <w:top w:val="nil"/>
              <w:bottom w:val="nil"/>
            </w:tcBorders>
            <w:vAlign w:val="center"/>
          </w:tcPr>
          <w:p w14:paraId="333A03E5" w14:textId="39778058" w:rsidR="003130A0" w:rsidRPr="003130A0" w:rsidRDefault="003130A0" w:rsidP="009D02E9">
            <w:pPr>
              <w:spacing w:after="0" w:line="264" w:lineRule="auto"/>
              <w:jc w:val="right"/>
              <w:rPr>
                <w:rFonts w:cs="Arial"/>
                <w:sz w:val="16"/>
                <w:szCs w:val="16"/>
              </w:rPr>
            </w:pPr>
            <w:r w:rsidRPr="003130A0">
              <w:rPr>
                <w:rFonts w:cs="Arial"/>
                <w:sz w:val="16"/>
                <w:szCs w:val="16"/>
              </w:rPr>
              <w:t>322</w:t>
            </w:r>
          </w:p>
        </w:tc>
        <w:tc>
          <w:tcPr>
            <w:tcW w:w="1551" w:type="dxa"/>
            <w:tcBorders>
              <w:top w:val="nil"/>
              <w:bottom w:val="nil"/>
            </w:tcBorders>
            <w:vAlign w:val="center"/>
          </w:tcPr>
          <w:p w14:paraId="53B445ED" w14:textId="38837953" w:rsidR="003130A0" w:rsidRPr="003130A0" w:rsidRDefault="003130A0" w:rsidP="009D02E9">
            <w:pPr>
              <w:spacing w:after="0" w:line="264" w:lineRule="auto"/>
              <w:jc w:val="right"/>
              <w:rPr>
                <w:rFonts w:cs="Arial"/>
                <w:sz w:val="16"/>
                <w:szCs w:val="16"/>
              </w:rPr>
            </w:pPr>
            <w:r w:rsidRPr="003130A0">
              <w:rPr>
                <w:rFonts w:cs="Arial"/>
                <w:sz w:val="16"/>
                <w:szCs w:val="16"/>
              </w:rPr>
              <w:t>266</w:t>
            </w:r>
          </w:p>
        </w:tc>
        <w:tc>
          <w:tcPr>
            <w:tcW w:w="1037" w:type="dxa"/>
            <w:tcBorders>
              <w:top w:val="nil"/>
              <w:bottom w:val="nil"/>
            </w:tcBorders>
            <w:vAlign w:val="center"/>
          </w:tcPr>
          <w:p w14:paraId="45EB77DA" w14:textId="26D23853" w:rsidR="003130A0" w:rsidRPr="003130A0" w:rsidRDefault="003130A0" w:rsidP="009D02E9">
            <w:pPr>
              <w:spacing w:after="0" w:line="264" w:lineRule="auto"/>
              <w:jc w:val="right"/>
              <w:rPr>
                <w:rFonts w:cs="Arial"/>
                <w:sz w:val="16"/>
                <w:szCs w:val="16"/>
              </w:rPr>
            </w:pPr>
            <w:r w:rsidRPr="003130A0">
              <w:rPr>
                <w:rFonts w:cs="Arial"/>
                <w:sz w:val="16"/>
                <w:szCs w:val="16"/>
              </w:rPr>
              <w:t>286</w:t>
            </w:r>
          </w:p>
        </w:tc>
        <w:tc>
          <w:tcPr>
            <w:tcW w:w="1043" w:type="dxa"/>
            <w:tcBorders>
              <w:top w:val="nil"/>
              <w:bottom w:val="nil"/>
              <w:right w:val="single" w:sz="2" w:space="0" w:color="A6A6A6" w:themeColor="background1" w:themeShade="A6"/>
            </w:tcBorders>
            <w:vAlign w:val="center"/>
          </w:tcPr>
          <w:p w14:paraId="7561CF77" w14:textId="69C79374" w:rsidR="003130A0" w:rsidRPr="003130A0" w:rsidRDefault="003130A0" w:rsidP="009D02E9">
            <w:pPr>
              <w:spacing w:after="0" w:line="264" w:lineRule="auto"/>
              <w:jc w:val="right"/>
              <w:rPr>
                <w:rFonts w:cs="Arial"/>
                <w:sz w:val="16"/>
                <w:szCs w:val="16"/>
              </w:rPr>
            </w:pPr>
            <w:r w:rsidRPr="003130A0">
              <w:rPr>
                <w:rFonts w:cs="Arial"/>
                <w:sz w:val="16"/>
                <w:szCs w:val="16"/>
              </w:rPr>
              <w:t>258</w:t>
            </w:r>
          </w:p>
        </w:tc>
      </w:tr>
      <w:tr w:rsidR="008C0A0E" w:rsidRPr="00372745" w14:paraId="0154DB4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ABB2E6A" w14:textId="0BE87985" w:rsidR="003130A0"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3130A0" w:rsidRPr="00372745">
              <w:rPr>
                <w:rFonts w:cs="Arial"/>
                <w:b/>
                <w:bCs/>
                <w:sz w:val="16"/>
                <w:szCs w:val="16"/>
              </w:rPr>
              <w:t>Έξοδα</w:t>
            </w:r>
          </w:p>
        </w:tc>
        <w:tc>
          <w:tcPr>
            <w:tcW w:w="1034" w:type="dxa"/>
            <w:tcBorders>
              <w:top w:val="nil"/>
              <w:bottom w:val="nil"/>
            </w:tcBorders>
            <w:vAlign w:val="center"/>
          </w:tcPr>
          <w:p w14:paraId="59F08D8B" w14:textId="2870B809" w:rsidR="003130A0" w:rsidRPr="003130A0" w:rsidRDefault="003130A0" w:rsidP="009D02E9">
            <w:pPr>
              <w:spacing w:after="0" w:line="264" w:lineRule="auto"/>
              <w:jc w:val="right"/>
              <w:rPr>
                <w:rFonts w:cs="Arial"/>
                <w:b/>
                <w:bCs/>
                <w:sz w:val="16"/>
                <w:szCs w:val="16"/>
              </w:rPr>
            </w:pPr>
            <w:r w:rsidRPr="003130A0">
              <w:rPr>
                <w:rFonts w:cs="Arial"/>
                <w:b/>
                <w:bCs/>
                <w:sz w:val="16"/>
                <w:szCs w:val="16"/>
              </w:rPr>
              <w:t>50.830</w:t>
            </w:r>
          </w:p>
        </w:tc>
        <w:tc>
          <w:tcPr>
            <w:tcW w:w="1551" w:type="dxa"/>
            <w:tcBorders>
              <w:top w:val="nil"/>
              <w:bottom w:val="nil"/>
            </w:tcBorders>
            <w:vAlign w:val="center"/>
          </w:tcPr>
          <w:p w14:paraId="7C73030E" w14:textId="07510485" w:rsidR="003130A0" w:rsidRPr="003130A0" w:rsidRDefault="003130A0" w:rsidP="009D02E9">
            <w:pPr>
              <w:spacing w:after="0" w:line="264" w:lineRule="auto"/>
              <w:jc w:val="right"/>
              <w:rPr>
                <w:rFonts w:cs="Arial"/>
                <w:b/>
                <w:bCs/>
                <w:sz w:val="16"/>
                <w:szCs w:val="16"/>
              </w:rPr>
            </w:pPr>
            <w:r w:rsidRPr="003130A0">
              <w:rPr>
                <w:rFonts w:cs="Arial"/>
                <w:b/>
                <w:bCs/>
                <w:sz w:val="16"/>
                <w:szCs w:val="16"/>
              </w:rPr>
              <w:t>53.710</w:t>
            </w:r>
          </w:p>
        </w:tc>
        <w:tc>
          <w:tcPr>
            <w:tcW w:w="1037" w:type="dxa"/>
            <w:tcBorders>
              <w:top w:val="nil"/>
              <w:bottom w:val="nil"/>
            </w:tcBorders>
            <w:vAlign w:val="center"/>
          </w:tcPr>
          <w:p w14:paraId="63493010" w14:textId="4A270E39" w:rsidR="003130A0" w:rsidRPr="003130A0" w:rsidRDefault="003130A0" w:rsidP="009D02E9">
            <w:pPr>
              <w:spacing w:after="0" w:line="264" w:lineRule="auto"/>
              <w:jc w:val="right"/>
              <w:rPr>
                <w:rFonts w:cs="Arial"/>
                <w:b/>
                <w:bCs/>
                <w:sz w:val="16"/>
                <w:szCs w:val="16"/>
              </w:rPr>
            </w:pPr>
            <w:r w:rsidRPr="003130A0">
              <w:rPr>
                <w:rFonts w:cs="Arial"/>
                <w:b/>
                <w:bCs/>
                <w:sz w:val="16"/>
                <w:szCs w:val="16"/>
              </w:rPr>
              <w:t>54.601</w:t>
            </w:r>
          </w:p>
        </w:tc>
        <w:tc>
          <w:tcPr>
            <w:tcW w:w="1043" w:type="dxa"/>
            <w:tcBorders>
              <w:top w:val="nil"/>
              <w:bottom w:val="nil"/>
              <w:right w:val="single" w:sz="2" w:space="0" w:color="A6A6A6" w:themeColor="background1" w:themeShade="A6"/>
            </w:tcBorders>
            <w:vAlign w:val="center"/>
          </w:tcPr>
          <w:p w14:paraId="09C5B8F2" w14:textId="57598B7B" w:rsidR="003130A0" w:rsidRPr="003130A0" w:rsidRDefault="003130A0" w:rsidP="009D02E9">
            <w:pPr>
              <w:spacing w:after="0" w:line="264" w:lineRule="auto"/>
              <w:jc w:val="right"/>
              <w:rPr>
                <w:rFonts w:cs="Arial"/>
                <w:b/>
                <w:bCs/>
                <w:sz w:val="16"/>
                <w:szCs w:val="16"/>
              </w:rPr>
            </w:pPr>
            <w:r w:rsidRPr="003130A0">
              <w:rPr>
                <w:rFonts w:cs="Arial"/>
                <w:b/>
                <w:bCs/>
                <w:sz w:val="16"/>
                <w:szCs w:val="16"/>
              </w:rPr>
              <w:t>55.191</w:t>
            </w:r>
          </w:p>
        </w:tc>
      </w:tr>
      <w:tr w:rsidR="008C0A0E" w:rsidRPr="00372745" w14:paraId="50B488E9"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F6E0C70" w14:textId="5FF317E4"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Παροχ</w:t>
            </w:r>
            <w:r w:rsidR="003130A0">
              <w:rPr>
                <w:rFonts w:cs="Arial"/>
                <w:sz w:val="16"/>
                <w:szCs w:val="16"/>
              </w:rPr>
              <w:t>έ</w:t>
            </w:r>
            <w:r w:rsidR="003130A0" w:rsidRPr="00372745">
              <w:rPr>
                <w:rFonts w:cs="Arial"/>
                <w:sz w:val="16"/>
                <w:szCs w:val="16"/>
              </w:rPr>
              <w:t xml:space="preserve">ς σε </w:t>
            </w:r>
            <w:r w:rsidR="003130A0">
              <w:rPr>
                <w:rFonts w:cs="Arial"/>
                <w:sz w:val="16"/>
                <w:szCs w:val="16"/>
              </w:rPr>
              <w:t>ε</w:t>
            </w:r>
            <w:r w:rsidR="003130A0" w:rsidRPr="00372745">
              <w:rPr>
                <w:rFonts w:cs="Arial"/>
                <w:sz w:val="16"/>
                <w:szCs w:val="16"/>
              </w:rPr>
              <w:t>ργαζ</w:t>
            </w:r>
            <w:r w:rsidR="003130A0">
              <w:rPr>
                <w:rFonts w:cs="Arial"/>
                <w:sz w:val="16"/>
                <w:szCs w:val="16"/>
              </w:rPr>
              <w:t>ό</w:t>
            </w:r>
            <w:r w:rsidR="003130A0" w:rsidRPr="00372745">
              <w:rPr>
                <w:rFonts w:cs="Arial"/>
                <w:sz w:val="16"/>
                <w:szCs w:val="16"/>
              </w:rPr>
              <w:t>μενους</w:t>
            </w:r>
          </w:p>
        </w:tc>
        <w:tc>
          <w:tcPr>
            <w:tcW w:w="1034" w:type="dxa"/>
            <w:tcBorders>
              <w:top w:val="nil"/>
              <w:bottom w:val="nil"/>
            </w:tcBorders>
            <w:vAlign w:val="center"/>
          </w:tcPr>
          <w:p w14:paraId="2BDFFB02" w14:textId="2148C14E" w:rsidR="003130A0" w:rsidRPr="003130A0" w:rsidRDefault="003130A0" w:rsidP="009D02E9">
            <w:pPr>
              <w:spacing w:after="0" w:line="264" w:lineRule="auto"/>
              <w:jc w:val="right"/>
              <w:rPr>
                <w:rFonts w:cs="Arial"/>
                <w:sz w:val="16"/>
                <w:szCs w:val="16"/>
              </w:rPr>
            </w:pPr>
            <w:r w:rsidRPr="003130A0">
              <w:rPr>
                <w:rFonts w:cs="Arial"/>
                <w:sz w:val="16"/>
                <w:szCs w:val="16"/>
              </w:rPr>
              <w:t>391</w:t>
            </w:r>
          </w:p>
        </w:tc>
        <w:tc>
          <w:tcPr>
            <w:tcW w:w="1551" w:type="dxa"/>
            <w:tcBorders>
              <w:top w:val="nil"/>
              <w:bottom w:val="nil"/>
            </w:tcBorders>
            <w:vAlign w:val="center"/>
          </w:tcPr>
          <w:p w14:paraId="4AAD444B" w14:textId="7F2C9C15" w:rsidR="003130A0" w:rsidRPr="003130A0" w:rsidRDefault="003130A0" w:rsidP="009D02E9">
            <w:pPr>
              <w:spacing w:after="0" w:line="264" w:lineRule="auto"/>
              <w:jc w:val="right"/>
              <w:rPr>
                <w:rFonts w:cs="Arial"/>
                <w:sz w:val="16"/>
                <w:szCs w:val="16"/>
              </w:rPr>
            </w:pPr>
            <w:r w:rsidRPr="003130A0">
              <w:rPr>
                <w:rFonts w:cs="Arial"/>
                <w:sz w:val="16"/>
                <w:szCs w:val="16"/>
              </w:rPr>
              <w:t>407</w:t>
            </w:r>
          </w:p>
        </w:tc>
        <w:tc>
          <w:tcPr>
            <w:tcW w:w="1037" w:type="dxa"/>
            <w:tcBorders>
              <w:top w:val="nil"/>
              <w:bottom w:val="nil"/>
            </w:tcBorders>
            <w:vAlign w:val="center"/>
          </w:tcPr>
          <w:p w14:paraId="7421DB28" w14:textId="6D6CCE28" w:rsidR="003130A0" w:rsidRPr="003130A0" w:rsidRDefault="003130A0" w:rsidP="009D02E9">
            <w:pPr>
              <w:spacing w:after="0" w:line="264" w:lineRule="auto"/>
              <w:jc w:val="right"/>
              <w:rPr>
                <w:rFonts w:cs="Arial"/>
                <w:sz w:val="16"/>
                <w:szCs w:val="16"/>
              </w:rPr>
            </w:pPr>
            <w:r w:rsidRPr="003130A0">
              <w:rPr>
                <w:rFonts w:cs="Arial"/>
                <w:sz w:val="16"/>
                <w:szCs w:val="16"/>
              </w:rPr>
              <w:t>425</w:t>
            </w:r>
          </w:p>
        </w:tc>
        <w:tc>
          <w:tcPr>
            <w:tcW w:w="1043" w:type="dxa"/>
            <w:tcBorders>
              <w:top w:val="nil"/>
              <w:bottom w:val="nil"/>
              <w:right w:val="single" w:sz="2" w:space="0" w:color="A6A6A6" w:themeColor="background1" w:themeShade="A6"/>
            </w:tcBorders>
            <w:vAlign w:val="center"/>
          </w:tcPr>
          <w:p w14:paraId="51E170E3" w14:textId="022DD08B" w:rsidR="003130A0" w:rsidRPr="003130A0" w:rsidRDefault="003130A0" w:rsidP="009D02E9">
            <w:pPr>
              <w:spacing w:after="0" w:line="264" w:lineRule="auto"/>
              <w:jc w:val="right"/>
              <w:rPr>
                <w:rFonts w:cs="Arial"/>
                <w:sz w:val="16"/>
                <w:szCs w:val="16"/>
              </w:rPr>
            </w:pPr>
            <w:r w:rsidRPr="003130A0">
              <w:rPr>
                <w:rFonts w:cs="Arial"/>
                <w:sz w:val="16"/>
                <w:szCs w:val="16"/>
              </w:rPr>
              <w:t>435</w:t>
            </w:r>
          </w:p>
        </w:tc>
      </w:tr>
      <w:tr w:rsidR="008C0A0E" w:rsidRPr="00372745" w14:paraId="39C7229D"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8F52152" w14:textId="50B8E341"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Κοινωνικές παροχές</w:t>
            </w:r>
          </w:p>
        </w:tc>
        <w:tc>
          <w:tcPr>
            <w:tcW w:w="1034" w:type="dxa"/>
            <w:tcBorders>
              <w:top w:val="nil"/>
              <w:bottom w:val="nil"/>
            </w:tcBorders>
            <w:vAlign w:val="center"/>
          </w:tcPr>
          <w:p w14:paraId="2F0C15FD" w14:textId="32A60949" w:rsidR="003130A0" w:rsidRPr="003130A0" w:rsidRDefault="003130A0" w:rsidP="009D02E9">
            <w:pPr>
              <w:spacing w:after="0" w:line="264" w:lineRule="auto"/>
              <w:jc w:val="right"/>
              <w:rPr>
                <w:rFonts w:cs="Arial"/>
                <w:sz w:val="16"/>
                <w:szCs w:val="16"/>
              </w:rPr>
            </w:pPr>
            <w:r w:rsidRPr="003130A0">
              <w:rPr>
                <w:rFonts w:cs="Arial"/>
                <w:sz w:val="16"/>
                <w:szCs w:val="16"/>
              </w:rPr>
              <w:t>41.255</w:t>
            </w:r>
          </w:p>
        </w:tc>
        <w:tc>
          <w:tcPr>
            <w:tcW w:w="1551" w:type="dxa"/>
            <w:tcBorders>
              <w:top w:val="nil"/>
              <w:bottom w:val="nil"/>
            </w:tcBorders>
            <w:vAlign w:val="center"/>
          </w:tcPr>
          <w:p w14:paraId="7DB46485" w14:textId="26BF167B" w:rsidR="003130A0" w:rsidRPr="003130A0" w:rsidRDefault="003130A0" w:rsidP="009D02E9">
            <w:pPr>
              <w:spacing w:after="0" w:line="264" w:lineRule="auto"/>
              <w:jc w:val="right"/>
              <w:rPr>
                <w:rFonts w:cs="Arial"/>
                <w:sz w:val="16"/>
                <w:szCs w:val="16"/>
              </w:rPr>
            </w:pPr>
            <w:r w:rsidRPr="003130A0">
              <w:rPr>
                <w:rFonts w:cs="Arial"/>
                <w:sz w:val="16"/>
                <w:szCs w:val="16"/>
              </w:rPr>
              <w:t>43.500</w:t>
            </w:r>
          </w:p>
        </w:tc>
        <w:tc>
          <w:tcPr>
            <w:tcW w:w="1037" w:type="dxa"/>
            <w:tcBorders>
              <w:top w:val="nil"/>
              <w:bottom w:val="nil"/>
            </w:tcBorders>
            <w:vAlign w:val="center"/>
          </w:tcPr>
          <w:p w14:paraId="0C814BD0" w14:textId="0BCE38D0" w:rsidR="003130A0" w:rsidRPr="003130A0" w:rsidRDefault="003130A0" w:rsidP="009D02E9">
            <w:pPr>
              <w:spacing w:after="0" w:line="264" w:lineRule="auto"/>
              <w:jc w:val="right"/>
              <w:rPr>
                <w:rFonts w:cs="Arial"/>
                <w:sz w:val="16"/>
                <w:szCs w:val="16"/>
              </w:rPr>
            </w:pPr>
            <w:r w:rsidRPr="003130A0">
              <w:rPr>
                <w:rFonts w:cs="Arial"/>
                <w:sz w:val="16"/>
                <w:szCs w:val="16"/>
              </w:rPr>
              <w:t>44.408</w:t>
            </w:r>
          </w:p>
        </w:tc>
        <w:tc>
          <w:tcPr>
            <w:tcW w:w="1043" w:type="dxa"/>
            <w:tcBorders>
              <w:top w:val="nil"/>
              <w:bottom w:val="nil"/>
              <w:right w:val="single" w:sz="2" w:space="0" w:color="A6A6A6" w:themeColor="background1" w:themeShade="A6"/>
            </w:tcBorders>
            <w:vAlign w:val="center"/>
          </w:tcPr>
          <w:p w14:paraId="57462A07" w14:textId="01664C06" w:rsidR="003130A0" w:rsidRPr="003130A0" w:rsidRDefault="003130A0" w:rsidP="009D02E9">
            <w:pPr>
              <w:spacing w:after="0" w:line="264" w:lineRule="auto"/>
              <w:jc w:val="right"/>
              <w:rPr>
                <w:rFonts w:cs="Arial"/>
                <w:sz w:val="16"/>
                <w:szCs w:val="16"/>
              </w:rPr>
            </w:pPr>
            <w:r w:rsidRPr="003130A0">
              <w:rPr>
                <w:rFonts w:cs="Arial"/>
                <w:sz w:val="16"/>
                <w:szCs w:val="16"/>
              </w:rPr>
              <w:t>45.028</w:t>
            </w:r>
          </w:p>
        </w:tc>
      </w:tr>
      <w:tr w:rsidR="008C0A0E" w:rsidRPr="00372745" w14:paraId="2EC78DAA"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2787B33C" w14:textId="4D6FAFD2"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εκ των οποίων</w:t>
            </w:r>
            <w:r w:rsidR="003130A0">
              <w:rPr>
                <w:rFonts w:cs="Arial"/>
                <w:sz w:val="16"/>
                <w:szCs w:val="16"/>
              </w:rPr>
              <w:t>:</w:t>
            </w:r>
            <w:r>
              <w:rPr>
                <w:rFonts w:cs="Arial"/>
                <w:sz w:val="16"/>
                <w:szCs w:val="16"/>
              </w:rPr>
              <w:t xml:space="preserve"> </w:t>
            </w:r>
            <w:r w:rsidR="003130A0" w:rsidRPr="00372745">
              <w:rPr>
                <w:rFonts w:cs="Arial"/>
                <w:sz w:val="16"/>
                <w:szCs w:val="16"/>
              </w:rPr>
              <w:t>συντάξεις</w:t>
            </w:r>
          </w:p>
        </w:tc>
        <w:tc>
          <w:tcPr>
            <w:tcW w:w="1034" w:type="dxa"/>
            <w:tcBorders>
              <w:top w:val="nil"/>
              <w:bottom w:val="nil"/>
            </w:tcBorders>
            <w:vAlign w:val="center"/>
          </w:tcPr>
          <w:p w14:paraId="1BF3C23E" w14:textId="4C7F2818" w:rsidR="003130A0" w:rsidRPr="003130A0" w:rsidRDefault="003130A0" w:rsidP="009D02E9">
            <w:pPr>
              <w:spacing w:after="0" w:line="264" w:lineRule="auto"/>
              <w:jc w:val="right"/>
              <w:rPr>
                <w:rFonts w:cs="Arial"/>
                <w:sz w:val="16"/>
                <w:szCs w:val="16"/>
              </w:rPr>
            </w:pPr>
            <w:r w:rsidRPr="003130A0">
              <w:rPr>
                <w:rFonts w:cs="Arial"/>
                <w:sz w:val="16"/>
                <w:szCs w:val="16"/>
              </w:rPr>
              <w:t>34.258</w:t>
            </w:r>
          </w:p>
        </w:tc>
        <w:tc>
          <w:tcPr>
            <w:tcW w:w="1551" w:type="dxa"/>
            <w:tcBorders>
              <w:top w:val="nil"/>
              <w:bottom w:val="nil"/>
            </w:tcBorders>
            <w:vAlign w:val="center"/>
          </w:tcPr>
          <w:p w14:paraId="716F75E6" w14:textId="4531F71D" w:rsidR="003130A0" w:rsidRPr="003130A0" w:rsidRDefault="003130A0" w:rsidP="009D02E9">
            <w:pPr>
              <w:spacing w:after="0" w:line="264" w:lineRule="auto"/>
              <w:jc w:val="right"/>
              <w:rPr>
                <w:rFonts w:cs="Arial"/>
                <w:sz w:val="16"/>
                <w:szCs w:val="16"/>
              </w:rPr>
            </w:pPr>
            <w:r w:rsidRPr="003130A0">
              <w:rPr>
                <w:rFonts w:cs="Arial"/>
                <w:sz w:val="16"/>
                <w:szCs w:val="16"/>
              </w:rPr>
              <w:t>35.660</w:t>
            </w:r>
          </w:p>
        </w:tc>
        <w:tc>
          <w:tcPr>
            <w:tcW w:w="1037" w:type="dxa"/>
            <w:tcBorders>
              <w:top w:val="nil"/>
              <w:bottom w:val="nil"/>
            </w:tcBorders>
            <w:vAlign w:val="center"/>
          </w:tcPr>
          <w:p w14:paraId="5C0AED4B" w14:textId="28E1E309" w:rsidR="003130A0" w:rsidRPr="003130A0" w:rsidRDefault="003130A0" w:rsidP="009D02E9">
            <w:pPr>
              <w:spacing w:after="0" w:line="264" w:lineRule="auto"/>
              <w:jc w:val="right"/>
              <w:rPr>
                <w:rFonts w:cs="Arial"/>
                <w:sz w:val="16"/>
                <w:szCs w:val="16"/>
              </w:rPr>
            </w:pPr>
            <w:r w:rsidRPr="003130A0">
              <w:rPr>
                <w:rFonts w:cs="Arial"/>
                <w:sz w:val="16"/>
                <w:szCs w:val="16"/>
              </w:rPr>
              <w:t>35.718</w:t>
            </w:r>
          </w:p>
        </w:tc>
        <w:tc>
          <w:tcPr>
            <w:tcW w:w="1043" w:type="dxa"/>
            <w:tcBorders>
              <w:top w:val="nil"/>
              <w:bottom w:val="nil"/>
              <w:right w:val="single" w:sz="2" w:space="0" w:color="A6A6A6" w:themeColor="background1" w:themeShade="A6"/>
            </w:tcBorders>
            <w:vAlign w:val="center"/>
          </w:tcPr>
          <w:p w14:paraId="2A3E3016" w14:textId="7CCF9F64" w:rsidR="003130A0" w:rsidRPr="003130A0" w:rsidRDefault="003130A0" w:rsidP="009D02E9">
            <w:pPr>
              <w:spacing w:after="0" w:line="264" w:lineRule="auto"/>
              <w:jc w:val="right"/>
              <w:rPr>
                <w:rFonts w:cs="Arial"/>
                <w:sz w:val="16"/>
                <w:szCs w:val="16"/>
              </w:rPr>
            </w:pPr>
            <w:r w:rsidRPr="003130A0">
              <w:rPr>
                <w:rFonts w:cs="Arial"/>
                <w:sz w:val="16"/>
                <w:szCs w:val="16"/>
              </w:rPr>
              <w:t>36.768</w:t>
            </w:r>
          </w:p>
        </w:tc>
      </w:tr>
      <w:tr w:rsidR="008C0A0E" w:rsidRPr="00372745" w14:paraId="12E0E937"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8928C26" w14:textId="19A55389"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Κοινωνικές παροχές σε είδος</w:t>
            </w:r>
          </w:p>
        </w:tc>
        <w:tc>
          <w:tcPr>
            <w:tcW w:w="1034" w:type="dxa"/>
            <w:tcBorders>
              <w:top w:val="nil"/>
              <w:bottom w:val="nil"/>
            </w:tcBorders>
            <w:vAlign w:val="center"/>
          </w:tcPr>
          <w:p w14:paraId="69175C07" w14:textId="4422B856" w:rsidR="003130A0" w:rsidRPr="003130A0" w:rsidRDefault="003130A0" w:rsidP="009D02E9">
            <w:pPr>
              <w:spacing w:after="0" w:line="264" w:lineRule="auto"/>
              <w:jc w:val="right"/>
              <w:rPr>
                <w:rFonts w:cs="Arial"/>
                <w:sz w:val="16"/>
                <w:szCs w:val="16"/>
              </w:rPr>
            </w:pPr>
            <w:r w:rsidRPr="003130A0">
              <w:rPr>
                <w:rFonts w:cs="Arial"/>
                <w:sz w:val="16"/>
                <w:szCs w:val="16"/>
              </w:rPr>
              <w:t>5.426</w:t>
            </w:r>
          </w:p>
        </w:tc>
        <w:tc>
          <w:tcPr>
            <w:tcW w:w="1551" w:type="dxa"/>
            <w:tcBorders>
              <w:top w:val="nil"/>
              <w:bottom w:val="nil"/>
            </w:tcBorders>
            <w:vAlign w:val="center"/>
          </w:tcPr>
          <w:p w14:paraId="40326AA9" w14:textId="0306A293" w:rsidR="003130A0" w:rsidRPr="003130A0" w:rsidRDefault="003130A0" w:rsidP="009D02E9">
            <w:pPr>
              <w:spacing w:after="0" w:line="264" w:lineRule="auto"/>
              <w:jc w:val="right"/>
              <w:rPr>
                <w:rFonts w:cs="Arial"/>
                <w:sz w:val="16"/>
                <w:szCs w:val="16"/>
              </w:rPr>
            </w:pPr>
            <w:r w:rsidRPr="003130A0">
              <w:rPr>
                <w:rFonts w:cs="Arial"/>
                <w:sz w:val="16"/>
                <w:szCs w:val="16"/>
              </w:rPr>
              <w:t>5.758</w:t>
            </w:r>
          </w:p>
        </w:tc>
        <w:tc>
          <w:tcPr>
            <w:tcW w:w="1037" w:type="dxa"/>
            <w:tcBorders>
              <w:top w:val="nil"/>
              <w:bottom w:val="nil"/>
            </w:tcBorders>
            <w:vAlign w:val="center"/>
          </w:tcPr>
          <w:p w14:paraId="6932A15F" w14:textId="30978106" w:rsidR="003130A0" w:rsidRPr="003130A0" w:rsidRDefault="003130A0" w:rsidP="009D02E9">
            <w:pPr>
              <w:spacing w:after="0" w:line="264" w:lineRule="auto"/>
              <w:jc w:val="right"/>
              <w:rPr>
                <w:rFonts w:cs="Arial"/>
                <w:sz w:val="16"/>
                <w:szCs w:val="16"/>
              </w:rPr>
            </w:pPr>
            <w:r w:rsidRPr="003130A0">
              <w:rPr>
                <w:rFonts w:cs="Arial"/>
                <w:sz w:val="16"/>
                <w:szCs w:val="16"/>
              </w:rPr>
              <w:t>5.881</w:t>
            </w:r>
          </w:p>
        </w:tc>
        <w:tc>
          <w:tcPr>
            <w:tcW w:w="1043" w:type="dxa"/>
            <w:tcBorders>
              <w:top w:val="nil"/>
              <w:bottom w:val="nil"/>
              <w:right w:val="single" w:sz="2" w:space="0" w:color="A6A6A6" w:themeColor="background1" w:themeShade="A6"/>
            </w:tcBorders>
            <w:vAlign w:val="center"/>
          </w:tcPr>
          <w:p w14:paraId="56659A65" w14:textId="3F3D8FAF" w:rsidR="003130A0" w:rsidRPr="003130A0" w:rsidRDefault="003130A0" w:rsidP="009D02E9">
            <w:pPr>
              <w:spacing w:after="0" w:line="264" w:lineRule="auto"/>
              <w:jc w:val="right"/>
              <w:rPr>
                <w:rFonts w:cs="Arial"/>
                <w:sz w:val="16"/>
                <w:szCs w:val="16"/>
              </w:rPr>
            </w:pPr>
            <w:r w:rsidRPr="003130A0">
              <w:rPr>
                <w:rFonts w:cs="Arial"/>
                <w:sz w:val="16"/>
                <w:szCs w:val="16"/>
              </w:rPr>
              <w:t>6.007</w:t>
            </w:r>
          </w:p>
        </w:tc>
      </w:tr>
      <w:tr w:rsidR="008C0A0E" w:rsidRPr="00372745" w14:paraId="6F7F888F"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595F9242" w14:textId="60B84E6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Λοιπά έξοδα</w:t>
            </w:r>
          </w:p>
        </w:tc>
        <w:tc>
          <w:tcPr>
            <w:tcW w:w="1034" w:type="dxa"/>
            <w:tcBorders>
              <w:top w:val="nil"/>
              <w:bottom w:val="nil"/>
            </w:tcBorders>
            <w:vAlign w:val="center"/>
          </w:tcPr>
          <w:p w14:paraId="427ADF6B" w14:textId="37BE0883" w:rsidR="003130A0" w:rsidRPr="003130A0" w:rsidRDefault="003130A0" w:rsidP="009D02E9">
            <w:pPr>
              <w:spacing w:after="0" w:line="264" w:lineRule="auto"/>
              <w:jc w:val="right"/>
              <w:rPr>
                <w:rFonts w:cs="Arial"/>
                <w:sz w:val="16"/>
                <w:szCs w:val="16"/>
              </w:rPr>
            </w:pPr>
            <w:r w:rsidRPr="003130A0">
              <w:rPr>
                <w:rFonts w:cs="Arial"/>
                <w:sz w:val="16"/>
                <w:szCs w:val="16"/>
              </w:rPr>
              <w:t>605</w:t>
            </w:r>
          </w:p>
        </w:tc>
        <w:tc>
          <w:tcPr>
            <w:tcW w:w="1551" w:type="dxa"/>
            <w:tcBorders>
              <w:top w:val="nil"/>
              <w:bottom w:val="nil"/>
            </w:tcBorders>
            <w:vAlign w:val="center"/>
          </w:tcPr>
          <w:p w14:paraId="7ED9E5DB" w14:textId="10595E90" w:rsidR="003130A0" w:rsidRPr="003130A0" w:rsidRDefault="003130A0" w:rsidP="009D02E9">
            <w:pPr>
              <w:spacing w:after="0" w:line="264" w:lineRule="auto"/>
              <w:jc w:val="right"/>
              <w:rPr>
                <w:rFonts w:cs="Arial"/>
                <w:sz w:val="16"/>
                <w:szCs w:val="16"/>
              </w:rPr>
            </w:pPr>
            <w:r w:rsidRPr="003130A0">
              <w:rPr>
                <w:rFonts w:cs="Arial"/>
                <w:sz w:val="16"/>
                <w:szCs w:val="16"/>
              </w:rPr>
              <w:t>795</w:t>
            </w:r>
          </w:p>
        </w:tc>
        <w:tc>
          <w:tcPr>
            <w:tcW w:w="1037" w:type="dxa"/>
            <w:tcBorders>
              <w:top w:val="nil"/>
              <w:bottom w:val="nil"/>
            </w:tcBorders>
            <w:vAlign w:val="center"/>
          </w:tcPr>
          <w:p w14:paraId="08540889" w14:textId="4F8D6D0A" w:rsidR="003130A0" w:rsidRPr="003130A0" w:rsidRDefault="003130A0" w:rsidP="009D02E9">
            <w:pPr>
              <w:spacing w:after="0" w:line="264" w:lineRule="auto"/>
              <w:jc w:val="right"/>
              <w:rPr>
                <w:rFonts w:cs="Arial"/>
                <w:sz w:val="16"/>
                <w:szCs w:val="16"/>
              </w:rPr>
            </w:pPr>
            <w:r w:rsidRPr="003130A0">
              <w:rPr>
                <w:rFonts w:cs="Arial"/>
                <w:sz w:val="16"/>
                <w:szCs w:val="16"/>
              </w:rPr>
              <w:t>607</w:t>
            </w:r>
          </w:p>
        </w:tc>
        <w:tc>
          <w:tcPr>
            <w:tcW w:w="1043" w:type="dxa"/>
            <w:tcBorders>
              <w:top w:val="nil"/>
              <w:bottom w:val="nil"/>
              <w:right w:val="single" w:sz="2" w:space="0" w:color="A6A6A6" w:themeColor="background1" w:themeShade="A6"/>
            </w:tcBorders>
            <w:vAlign w:val="center"/>
          </w:tcPr>
          <w:p w14:paraId="1AD81A8E" w14:textId="7F9CF158" w:rsidR="003130A0" w:rsidRPr="003130A0" w:rsidRDefault="003130A0" w:rsidP="009D02E9">
            <w:pPr>
              <w:spacing w:after="0" w:line="264" w:lineRule="auto"/>
              <w:jc w:val="right"/>
              <w:rPr>
                <w:rFonts w:cs="Arial"/>
                <w:sz w:val="16"/>
                <w:szCs w:val="16"/>
              </w:rPr>
            </w:pPr>
            <w:r w:rsidRPr="003130A0">
              <w:rPr>
                <w:rFonts w:cs="Arial"/>
                <w:sz w:val="16"/>
                <w:szCs w:val="16"/>
              </w:rPr>
              <w:t>702</w:t>
            </w:r>
          </w:p>
        </w:tc>
      </w:tr>
      <w:tr w:rsidR="008C0A0E" w:rsidRPr="00372745" w14:paraId="7A94DEBB"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0AA6C106" w14:textId="4850D997"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Επενδυτικές δαπάνες</w:t>
            </w:r>
          </w:p>
        </w:tc>
        <w:tc>
          <w:tcPr>
            <w:tcW w:w="1034" w:type="dxa"/>
            <w:tcBorders>
              <w:top w:val="nil"/>
              <w:bottom w:val="nil"/>
            </w:tcBorders>
            <w:vAlign w:val="center"/>
          </w:tcPr>
          <w:p w14:paraId="3A47CC63" w14:textId="42E3BF92" w:rsidR="003130A0" w:rsidRPr="003130A0" w:rsidRDefault="003130A0" w:rsidP="009D02E9">
            <w:pPr>
              <w:spacing w:after="0" w:line="264" w:lineRule="auto"/>
              <w:jc w:val="right"/>
              <w:rPr>
                <w:rFonts w:cs="Arial"/>
                <w:sz w:val="16"/>
                <w:szCs w:val="16"/>
              </w:rPr>
            </w:pPr>
            <w:r w:rsidRPr="003130A0">
              <w:rPr>
                <w:rFonts w:cs="Arial"/>
                <w:sz w:val="16"/>
                <w:szCs w:val="16"/>
              </w:rPr>
              <w:t>64</w:t>
            </w:r>
          </w:p>
        </w:tc>
        <w:tc>
          <w:tcPr>
            <w:tcW w:w="1551" w:type="dxa"/>
            <w:tcBorders>
              <w:top w:val="nil"/>
              <w:bottom w:val="nil"/>
            </w:tcBorders>
            <w:vAlign w:val="center"/>
          </w:tcPr>
          <w:p w14:paraId="6F78B732" w14:textId="36390E98" w:rsidR="003130A0" w:rsidRPr="003130A0" w:rsidRDefault="003130A0" w:rsidP="009D02E9">
            <w:pPr>
              <w:spacing w:after="0" w:line="264" w:lineRule="auto"/>
              <w:jc w:val="right"/>
              <w:rPr>
                <w:rFonts w:cs="Arial"/>
                <w:sz w:val="16"/>
                <w:szCs w:val="16"/>
              </w:rPr>
            </w:pPr>
            <w:r w:rsidRPr="003130A0">
              <w:rPr>
                <w:rFonts w:cs="Arial"/>
                <w:sz w:val="16"/>
                <w:szCs w:val="16"/>
              </w:rPr>
              <w:t>23</w:t>
            </w:r>
          </w:p>
        </w:tc>
        <w:tc>
          <w:tcPr>
            <w:tcW w:w="1037" w:type="dxa"/>
            <w:tcBorders>
              <w:top w:val="nil"/>
              <w:bottom w:val="nil"/>
            </w:tcBorders>
            <w:vAlign w:val="center"/>
          </w:tcPr>
          <w:p w14:paraId="0518F314" w14:textId="45F1ACCB" w:rsidR="003130A0" w:rsidRPr="003130A0" w:rsidRDefault="003130A0" w:rsidP="009D02E9">
            <w:pPr>
              <w:spacing w:after="0" w:line="264" w:lineRule="auto"/>
              <w:jc w:val="right"/>
              <w:rPr>
                <w:rFonts w:cs="Arial"/>
                <w:sz w:val="16"/>
                <w:szCs w:val="16"/>
              </w:rPr>
            </w:pPr>
            <w:r w:rsidRPr="003130A0">
              <w:rPr>
                <w:rFonts w:cs="Arial"/>
                <w:sz w:val="16"/>
                <w:szCs w:val="16"/>
              </w:rPr>
              <w:t>47</w:t>
            </w:r>
          </w:p>
        </w:tc>
        <w:tc>
          <w:tcPr>
            <w:tcW w:w="1043" w:type="dxa"/>
            <w:tcBorders>
              <w:top w:val="nil"/>
              <w:bottom w:val="nil"/>
              <w:right w:val="single" w:sz="2" w:space="0" w:color="A6A6A6" w:themeColor="background1" w:themeShade="A6"/>
            </w:tcBorders>
            <w:vAlign w:val="center"/>
          </w:tcPr>
          <w:p w14:paraId="2931E7C3" w14:textId="637EBDD6" w:rsidR="003130A0" w:rsidRPr="003130A0" w:rsidRDefault="003130A0" w:rsidP="009D02E9">
            <w:pPr>
              <w:spacing w:after="0" w:line="264" w:lineRule="auto"/>
              <w:jc w:val="right"/>
              <w:rPr>
                <w:rFonts w:cs="Arial"/>
                <w:sz w:val="16"/>
                <w:szCs w:val="16"/>
              </w:rPr>
            </w:pPr>
            <w:r w:rsidRPr="003130A0">
              <w:rPr>
                <w:rFonts w:cs="Arial"/>
                <w:sz w:val="16"/>
                <w:szCs w:val="16"/>
              </w:rPr>
              <w:t>44</w:t>
            </w:r>
          </w:p>
        </w:tc>
      </w:tr>
      <w:tr w:rsidR="008C0A0E" w:rsidRPr="00372745" w14:paraId="1C0A05D2"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3C31A34C" w14:textId="30AF18A2"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Μεταβιβάσεις</w:t>
            </w:r>
          </w:p>
        </w:tc>
        <w:tc>
          <w:tcPr>
            <w:tcW w:w="1034" w:type="dxa"/>
            <w:tcBorders>
              <w:top w:val="nil"/>
              <w:bottom w:val="nil"/>
            </w:tcBorders>
            <w:vAlign w:val="center"/>
          </w:tcPr>
          <w:p w14:paraId="57525BB9" w14:textId="1045AFA2" w:rsidR="003130A0" w:rsidRPr="003130A0" w:rsidRDefault="003130A0" w:rsidP="009D02E9">
            <w:pPr>
              <w:spacing w:after="0" w:line="264" w:lineRule="auto"/>
              <w:jc w:val="right"/>
              <w:rPr>
                <w:rFonts w:cs="Arial"/>
                <w:sz w:val="16"/>
                <w:szCs w:val="16"/>
              </w:rPr>
            </w:pPr>
            <w:r w:rsidRPr="003130A0">
              <w:rPr>
                <w:rFonts w:cs="Arial"/>
                <w:sz w:val="16"/>
                <w:szCs w:val="16"/>
              </w:rPr>
              <w:t>2.371</w:t>
            </w:r>
          </w:p>
        </w:tc>
        <w:tc>
          <w:tcPr>
            <w:tcW w:w="1551" w:type="dxa"/>
            <w:tcBorders>
              <w:top w:val="nil"/>
              <w:bottom w:val="nil"/>
            </w:tcBorders>
            <w:vAlign w:val="center"/>
          </w:tcPr>
          <w:p w14:paraId="0D959C21" w14:textId="5C6F9B1D" w:rsidR="003130A0" w:rsidRPr="003130A0" w:rsidRDefault="003130A0" w:rsidP="009D02E9">
            <w:pPr>
              <w:spacing w:after="0" w:line="264" w:lineRule="auto"/>
              <w:jc w:val="right"/>
              <w:rPr>
                <w:rFonts w:cs="Arial"/>
                <w:sz w:val="16"/>
                <w:szCs w:val="16"/>
              </w:rPr>
            </w:pPr>
            <w:r w:rsidRPr="003130A0">
              <w:rPr>
                <w:rFonts w:cs="Arial"/>
                <w:sz w:val="16"/>
                <w:szCs w:val="16"/>
              </w:rPr>
              <w:t>2.625</w:t>
            </w:r>
          </w:p>
        </w:tc>
        <w:tc>
          <w:tcPr>
            <w:tcW w:w="1037" w:type="dxa"/>
            <w:tcBorders>
              <w:top w:val="nil"/>
              <w:bottom w:val="nil"/>
            </w:tcBorders>
            <w:vAlign w:val="center"/>
          </w:tcPr>
          <w:p w14:paraId="3F936240" w14:textId="409E8964" w:rsidR="003130A0" w:rsidRPr="003130A0" w:rsidRDefault="003130A0" w:rsidP="009D02E9">
            <w:pPr>
              <w:spacing w:after="0" w:line="264" w:lineRule="auto"/>
              <w:jc w:val="right"/>
              <w:rPr>
                <w:rFonts w:cs="Arial"/>
                <w:sz w:val="16"/>
                <w:szCs w:val="16"/>
              </w:rPr>
            </w:pPr>
            <w:r w:rsidRPr="003130A0">
              <w:rPr>
                <w:rFonts w:cs="Arial"/>
                <w:sz w:val="16"/>
                <w:szCs w:val="16"/>
              </w:rPr>
              <w:t>2.667</w:t>
            </w:r>
          </w:p>
        </w:tc>
        <w:tc>
          <w:tcPr>
            <w:tcW w:w="1043" w:type="dxa"/>
            <w:tcBorders>
              <w:top w:val="nil"/>
              <w:bottom w:val="nil"/>
              <w:right w:val="single" w:sz="2" w:space="0" w:color="A6A6A6" w:themeColor="background1" w:themeShade="A6"/>
            </w:tcBorders>
            <w:vAlign w:val="center"/>
          </w:tcPr>
          <w:p w14:paraId="142CF6F0" w14:textId="1D09A3B6" w:rsidR="003130A0" w:rsidRPr="003130A0" w:rsidRDefault="003130A0" w:rsidP="009D02E9">
            <w:pPr>
              <w:spacing w:after="0" w:line="264" w:lineRule="auto"/>
              <w:jc w:val="right"/>
              <w:rPr>
                <w:rFonts w:cs="Arial"/>
                <w:sz w:val="16"/>
                <w:szCs w:val="16"/>
              </w:rPr>
            </w:pPr>
            <w:r w:rsidRPr="003130A0">
              <w:rPr>
                <w:rFonts w:cs="Arial"/>
                <w:sz w:val="16"/>
                <w:szCs w:val="16"/>
              </w:rPr>
              <w:t>2.412</w:t>
            </w:r>
          </w:p>
        </w:tc>
      </w:tr>
      <w:tr w:rsidR="008C0A0E" w:rsidRPr="00372745" w14:paraId="43157AFA" w14:textId="77777777" w:rsidTr="00596BB1">
        <w:trPr>
          <w:cantSplit/>
          <w:jc w:val="center"/>
        </w:trPr>
        <w:tc>
          <w:tcPr>
            <w:tcW w:w="4587" w:type="dxa"/>
            <w:tcBorders>
              <w:top w:val="nil"/>
              <w:left w:val="single" w:sz="2" w:space="0" w:color="A6A6A6" w:themeColor="background1" w:themeShade="A6"/>
              <w:bottom w:val="nil"/>
            </w:tcBorders>
            <w:vAlign w:val="center"/>
            <w:hideMark/>
          </w:tcPr>
          <w:p w14:paraId="478DF858" w14:textId="64B9383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Επιδοτήσεις</w:t>
            </w:r>
          </w:p>
        </w:tc>
        <w:tc>
          <w:tcPr>
            <w:tcW w:w="1034" w:type="dxa"/>
            <w:tcBorders>
              <w:top w:val="nil"/>
              <w:bottom w:val="nil"/>
            </w:tcBorders>
            <w:vAlign w:val="center"/>
          </w:tcPr>
          <w:p w14:paraId="2C7D2482" w14:textId="15DA438D" w:rsidR="003130A0" w:rsidRPr="003130A0" w:rsidRDefault="003130A0" w:rsidP="009D02E9">
            <w:pPr>
              <w:spacing w:after="0" w:line="264" w:lineRule="auto"/>
              <w:jc w:val="right"/>
              <w:rPr>
                <w:rFonts w:cs="Arial"/>
                <w:sz w:val="16"/>
                <w:szCs w:val="16"/>
              </w:rPr>
            </w:pPr>
            <w:r w:rsidRPr="003130A0">
              <w:rPr>
                <w:rFonts w:cs="Arial"/>
                <w:sz w:val="16"/>
                <w:szCs w:val="16"/>
              </w:rPr>
              <w:t>718</w:t>
            </w:r>
          </w:p>
        </w:tc>
        <w:tc>
          <w:tcPr>
            <w:tcW w:w="1551" w:type="dxa"/>
            <w:tcBorders>
              <w:top w:val="nil"/>
              <w:bottom w:val="nil"/>
            </w:tcBorders>
            <w:vAlign w:val="center"/>
          </w:tcPr>
          <w:p w14:paraId="57EE4F37" w14:textId="715E482B" w:rsidR="003130A0" w:rsidRPr="003130A0" w:rsidRDefault="003130A0" w:rsidP="009D02E9">
            <w:pPr>
              <w:spacing w:after="0" w:line="264" w:lineRule="auto"/>
              <w:jc w:val="right"/>
              <w:rPr>
                <w:rFonts w:cs="Arial"/>
                <w:sz w:val="16"/>
                <w:szCs w:val="16"/>
              </w:rPr>
            </w:pPr>
            <w:r w:rsidRPr="003130A0">
              <w:rPr>
                <w:rFonts w:cs="Arial"/>
                <w:sz w:val="16"/>
                <w:szCs w:val="16"/>
              </w:rPr>
              <w:t>601</w:t>
            </w:r>
          </w:p>
        </w:tc>
        <w:tc>
          <w:tcPr>
            <w:tcW w:w="1037" w:type="dxa"/>
            <w:tcBorders>
              <w:top w:val="nil"/>
              <w:bottom w:val="nil"/>
            </w:tcBorders>
            <w:vAlign w:val="center"/>
          </w:tcPr>
          <w:p w14:paraId="6C61CF76" w14:textId="4903928E" w:rsidR="003130A0" w:rsidRPr="003130A0" w:rsidRDefault="003130A0" w:rsidP="009D02E9">
            <w:pPr>
              <w:spacing w:after="0" w:line="264" w:lineRule="auto"/>
              <w:jc w:val="right"/>
              <w:rPr>
                <w:rFonts w:cs="Arial"/>
                <w:sz w:val="16"/>
                <w:szCs w:val="16"/>
              </w:rPr>
            </w:pPr>
            <w:r w:rsidRPr="003130A0">
              <w:rPr>
                <w:rFonts w:cs="Arial"/>
                <w:sz w:val="16"/>
                <w:szCs w:val="16"/>
              </w:rPr>
              <w:t>565</w:t>
            </w:r>
          </w:p>
        </w:tc>
        <w:tc>
          <w:tcPr>
            <w:tcW w:w="1043" w:type="dxa"/>
            <w:tcBorders>
              <w:top w:val="nil"/>
              <w:bottom w:val="nil"/>
              <w:right w:val="single" w:sz="2" w:space="0" w:color="A6A6A6" w:themeColor="background1" w:themeShade="A6"/>
            </w:tcBorders>
            <w:vAlign w:val="center"/>
          </w:tcPr>
          <w:p w14:paraId="7F60E3F0" w14:textId="291A3205" w:rsidR="003130A0" w:rsidRPr="003130A0" w:rsidRDefault="003130A0" w:rsidP="009D02E9">
            <w:pPr>
              <w:spacing w:after="0" w:line="264" w:lineRule="auto"/>
              <w:jc w:val="right"/>
              <w:rPr>
                <w:rFonts w:cs="Arial"/>
                <w:sz w:val="16"/>
                <w:szCs w:val="16"/>
              </w:rPr>
            </w:pPr>
            <w:r w:rsidRPr="003130A0">
              <w:rPr>
                <w:rFonts w:cs="Arial"/>
                <w:sz w:val="16"/>
                <w:szCs w:val="16"/>
              </w:rPr>
              <w:t>564</w:t>
            </w:r>
          </w:p>
        </w:tc>
      </w:tr>
      <w:tr w:rsidR="008C0A0E" w:rsidRPr="00372745" w14:paraId="4F411198"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29924F48" w14:textId="4850CADB" w:rsidR="00BA5DFA" w:rsidRPr="00372745" w:rsidRDefault="00BA5DFA" w:rsidP="009D02E9">
            <w:pPr>
              <w:tabs>
                <w:tab w:val="left" w:pos="340"/>
              </w:tabs>
              <w:spacing w:after="0" w:line="264" w:lineRule="auto"/>
              <w:jc w:val="left"/>
              <w:rPr>
                <w:rFonts w:cs="Arial"/>
                <w:b/>
                <w:bCs/>
                <w:sz w:val="16"/>
                <w:szCs w:val="16"/>
              </w:rPr>
            </w:pPr>
            <w:r w:rsidRPr="00372745">
              <w:rPr>
                <w:rFonts w:cs="Arial"/>
                <w:b/>
                <w:bCs/>
                <w:sz w:val="16"/>
                <w:szCs w:val="16"/>
              </w:rPr>
              <w:t>Χ.</w:t>
            </w:r>
            <w:r w:rsidR="00CA2839">
              <w:rPr>
                <w:rFonts w:cs="Arial"/>
                <w:b/>
                <w:bCs/>
                <w:sz w:val="16"/>
                <w:szCs w:val="16"/>
              </w:rPr>
              <w:tab/>
            </w:r>
            <w:r w:rsidRPr="00372745">
              <w:rPr>
                <w:rFonts w:cs="Arial"/>
                <w:b/>
                <w:bCs/>
                <w:sz w:val="16"/>
                <w:szCs w:val="16"/>
              </w:rPr>
              <w:t>Ισοζύγιο Γενικής Κυβέρνησης κατά ESA (VΙΙ+VIII+IX)</w:t>
            </w:r>
          </w:p>
        </w:tc>
        <w:tc>
          <w:tcPr>
            <w:tcW w:w="1034" w:type="dxa"/>
            <w:tcBorders>
              <w:top w:val="nil"/>
              <w:bottom w:val="nil"/>
            </w:tcBorders>
            <w:shd w:val="clear" w:color="auto" w:fill="D5DCE4"/>
            <w:vAlign w:val="center"/>
          </w:tcPr>
          <w:p w14:paraId="6CF83A85" w14:textId="1629EE6F" w:rsidR="00BA5DFA" w:rsidRPr="00BA5DFA" w:rsidRDefault="00BA5DFA" w:rsidP="009D02E9">
            <w:pPr>
              <w:spacing w:after="0" w:line="264" w:lineRule="auto"/>
              <w:jc w:val="right"/>
              <w:rPr>
                <w:rFonts w:cs="Arial"/>
                <w:b/>
                <w:bCs/>
                <w:sz w:val="16"/>
                <w:szCs w:val="16"/>
              </w:rPr>
            </w:pPr>
            <w:r w:rsidRPr="00BA5DFA">
              <w:rPr>
                <w:rFonts w:cs="Arial"/>
                <w:b/>
                <w:bCs/>
                <w:sz w:val="16"/>
                <w:szCs w:val="16"/>
              </w:rPr>
              <w:t>4.290</w:t>
            </w:r>
          </w:p>
        </w:tc>
        <w:tc>
          <w:tcPr>
            <w:tcW w:w="1551" w:type="dxa"/>
            <w:tcBorders>
              <w:top w:val="nil"/>
              <w:bottom w:val="nil"/>
            </w:tcBorders>
            <w:shd w:val="clear" w:color="auto" w:fill="D5DCE4"/>
            <w:vAlign w:val="center"/>
          </w:tcPr>
          <w:p w14:paraId="09E9F775" w14:textId="61ACD58A" w:rsidR="00BA5DFA" w:rsidRPr="00BA5DFA" w:rsidRDefault="00BA5DFA" w:rsidP="009D02E9">
            <w:pPr>
              <w:spacing w:after="0" w:line="264" w:lineRule="auto"/>
              <w:jc w:val="right"/>
              <w:rPr>
                <w:rFonts w:cs="Arial"/>
                <w:b/>
                <w:bCs/>
                <w:sz w:val="16"/>
                <w:szCs w:val="16"/>
              </w:rPr>
            </w:pPr>
            <w:r w:rsidRPr="00BA5DFA">
              <w:rPr>
                <w:rFonts w:cs="Arial"/>
                <w:b/>
                <w:bCs/>
                <w:sz w:val="16"/>
                <w:szCs w:val="16"/>
              </w:rPr>
              <w:t>-501</w:t>
            </w:r>
          </w:p>
        </w:tc>
        <w:tc>
          <w:tcPr>
            <w:tcW w:w="1037" w:type="dxa"/>
            <w:tcBorders>
              <w:top w:val="nil"/>
              <w:bottom w:val="nil"/>
            </w:tcBorders>
            <w:shd w:val="clear" w:color="auto" w:fill="D5DCE4"/>
            <w:vAlign w:val="center"/>
          </w:tcPr>
          <w:p w14:paraId="6FC6EFC9" w14:textId="3E88F855" w:rsidR="00BA5DFA" w:rsidRPr="00BA5DFA" w:rsidRDefault="00BA5DFA" w:rsidP="009D02E9">
            <w:pPr>
              <w:spacing w:after="0" w:line="264" w:lineRule="auto"/>
              <w:jc w:val="right"/>
              <w:rPr>
                <w:rFonts w:cs="Arial"/>
                <w:b/>
                <w:bCs/>
                <w:sz w:val="16"/>
                <w:szCs w:val="16"/>
              </w:rPr>
            </w:pPr>
            <w:r w:rsidRPr="00BA5DFA">
              <w:rPr>
                <w:rFonts w:cs="Arial"/>
                <w:b/>
                <w:bCs/>
                <w:sz w:val="16"/>
                <w:szCs w:val="16"/>
              </w:rPr>
              <w:t>1.624</w:t>
            </w:r>
          </w:p>
        </w:tc>
        <w:tc>
          <w:tcPr>
            <w:tcW w:w="1043" w:type="dxa"/>
            <w:tcBorders>
              <w:top w:val="nil"/>
              <w:bottom w:val="nil"/>
              <w:right w:val="single" w:sz="2" w:space="0" w:color="A6A6A6" w:themeColor="background1" w:themeShade="A6"/>
            </w:tcBorders>
            <w:shd w:val="clear" w:color="auto" w:fill="D5DCE4"/>
            <w:vAlign w:val="center"/>
          </w:tcPr>
          <w:p w14:paraId="3DE9D945" w14:textId="27ABAF9E" w:rsidR="00BA5DFA" w:rsidRPr="00BA5DFA" w:rsidRDefault="00BA5DFA" w:rsidP="009D02E9">
            <w:pPr>
              <w:spacing w:after="0" w:line="264" w:lineRule="auto"/>
              <w:jc w:val="right"/>
              <w:rPr>
                <w:rFonts w:cs="Arial"/>
                <w:b/>
                <w:bCs/>
                <w:sz w:val="16"/>
                <w:szCs w:val="16"/>
              </w:rPr>
            </w:pPr>
            <w:r w:rsidRPr="00BA5DFA">
              <w:rPr>
                <w:rFonts w:cs="Arial"/>
                <w:b/>
                <w:bCs/>
                <w:sz w:val="16"/>
                <w:szCs w:val="16"/>
              </w:rPr>
              <w:t>743</w:t>
            </w:r>
          </w:p>
        </w:tc>
      </w:tr>
      <w:tr w:rsidR="0055125E" w:rsidRPr="00372745" w14:paraId="302913F2"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0E4CD2C8" w14:textId="02A31C74" w:rsidR="00BA5DFA"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BA5DFA"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343EFEF9" w14:textId="007D18F8" w:rsidR="00BA5DFA" w:rsidRPr="00BA5DFA" w:rsidRDefault="00BA5DFA" w:rsidP="009D02E9">
            <w:pPr>
              <w:spacing w:after="0" w:line="264" w:lineRule="auto"/>
              <w:jc w:val="right"/>
              <w:rPr>
                <w:rFonts w:cs="Arial"/>
                <w:b/>
                <w:bCs/>
                <w:sz w:val="16"/>
                <w:szCs w:val="16"/>
              </w:rPr>
            </w:pPr>
            <w:r w:rsidRPr="00BA5DFA">
              <w:rPr>
                <w:rFonts w:cs="Arial"/>
                <w:b/>
                <w:bCs/>
                <w:sz w:val="16"/>
                <w:szCs w:val="16"/>
              </w:rPr>
              <w:t>1,7%</w:t>
            </w:r>
          </w:p>
        </w:tc>
        <w:tc>
          <w:tcPr>
            <w:tcW w:w="1551" w:type="dxa"/>
            <w:tcBorders>
              <w:top w:val="nil"/>
              <w:bottom w:val="nil"/>
            </w:tcBorders>
            <w:shd w:val="clear" w:color="auto" w:fill="F2F2F2" w:themeFill="background1" w:themeFillShade="F2"/>
            <w:vAlign w:val="center"/>
          </w:tcPr>
          <w:p w14:paraId="6FC878C3" w14:textId="5A338A07" w:rsidR="00BA5DFA" w:rsidRPr="00BA5DFA" w:rsidRDefault="00BA5DFA" w:rsidP="009D02E9">
            <w:pPr>
              <w:spacing w:after="0" w:line="264" w:lineRule="auto"/>
              <w:jc w:val="right"/>
              <w:rPr>
                <w:rFonts w:cs="Arial"/>
                <w:b/>
                <w:bCs/>
                <w:sz w:val="16"/>
                <w:szCs w:val="16"/>
              </w:rPr>
            </w:pPr>
            <w:r w:rsidRPr="00BA5DFA">
              <w:rPr>
                <w:rFonts w:cs="Arial"/>
                <w:b/>
                <w:bCs/>
                <w:sz w:val="16"/>
                <w:szCs w:val="16"/>
              </w:rPr>
              <w:t>-0,2%</w:t>
            </w:r>
          </w:p>
        </w:tc>
        <w:tc>
          <w:tcPr>
            <w:tcW w:w="1037" w:type="dxa"/>
            <w:tcBorders>
              <w:top w:val="nil"/>
              <w:bottom w:val="nil"/>
            </w:tcBorders>
            <w:shd w:val="clear" w:color="auto" w:fill="F2F2F2" w:themeFill="background1" w:themeFillShade="F2"/>
            <w:vAlign w:val="center"/>
          </w:tcPr>
          <w:p w14:paraId="78CDB6AA" w14:textId="064327A2" w:rsidR="00BA5DFA" w:rsidRPr="00BA5DFA" w:rsidRDefault="00BA5DFA" w:rsidP="009D02E9">
            <w:pPr>
              <w:spacing w:after="0" w:line="264" w:lineRule="auto"/>
              <w:jc w:val="right"/>
              <w:rPr>
                <w:rFonts w:cs="Arial"/>
                <w:b/>
                <w:bCs/>
                <w:sz w:val="16"/>
                <w:szCs w:val="16"/>
              </w:rPr>
            </w:pPr>
            <w:r w:rsidRPr="00BA5DFA">
              <w:rPr>
                <w:rFonts w:cs="Arial"/>
                <w:b/>
                <w:bCs/>
                <w:sz w:val="16"/>
                <w:szCs w:val="16"/>
              </w:rPr>
              <w:t>0,6%</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06E59245" w14:textId="59541ECF" w:rsidR="00BA5DFA" w:rsidRPr="00BA5DFA" w:rsidRDefault="00BA5DFA" w:rsidP="009D02E9">
            <w:pPr>
              <w:spacing w:after="0" w:line="264" w:lineRule="auto"/>
              <w:jc w:val="right"/>
              <w:rPr>
                <w:rFonts w:cs="Arial"/>
                <w:b/>
                <w:bCs/>
                <w:sz w:val="16"/>
                <w:szCs w:val="16"/>
              </w:rPr>
            </w:pPr>
            <w:r w:rsidRPr="00BA5DFA">
              <w:rPr>
                <w:rFonts w:cs="Arial"/>
                <w:b/>
                <w:bCs/>
                <w:sz w:val="16"/>
                <w:szCs w:val="16"/>
              </w:rPr>
              <w:t>0,3%</w:t>
            </w:r>
          </w:p>
        </w:tc>
      </w:tr>
      <w:tr w:rsidR="008C0A0E" w:rsidRPr="00372745" w14:paraId="5817F895"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2EEEB34" w14:textId="27F413C9" w:rsidR="00BA5DFA" w:rsidRPr="00823400" w:rsidRDefault="00BA5DFA" w:rsidP="009D02E9">
            <w:pPr>
              <w:tabs>
                <w:tab w:val="left" w:pos="340"/>
              </w:tabs>
              <w:spacing w:after="0" w:line="264" w:lineRule="auto"/>
              <w:jc w:val="left"/>
              <w:rPr>
                <w:rFonts w:cs="Arial"/>
                <w:b/>
                <w:bCs/>
                <w:sz w:val="16"/>
                <w:szCs w:val="16"/>
              </w:rPr>
            </w:pPr>
            <w:r w:rsidRPr="00823400">
              <w:rPr>
                <w:rFonts w:cs="Arial"/>
                <w:b/>
                <w:bCs/>
                <w:sz w:val="16"/>
                <w:szCs w:val="16"/>
              </w:rPr>
              <w:t>ΧΙ.</w:t>
            </w:r>
            <w:r w:rsidR="00CA2839" w:rsidRPr="00823400">
              <w:rPr>
                <w:rFonts w:cs="Arial"/>
                <w:b/>
                <w:bCs/>
                <w:sz w:val="16"/>
                <w:szCs w:val="16"/>
              </w:rPr>
              <w:tab/>
            </w:r>
            <w:r w:rsidRPr="00823400">
              <w:rPr>
                <w:rFonts w:cs="Arial"/>
                <w:b/>
                <w:bCs/>
                <w:sz w:val="16"/>
                <w:szCs w:val="16"/>
              </w:rPr>
              <w:t xml:space="preserve">Ενοποιημένοι </w:t>
            </w:r>
            <w:r w:rsidR="00823400" w:rsidRPr="00823400">
              <w:rPr>
                <w:rFonts w:cs="Arial"/>
                <w:b/>
                <w:bCs/>
                <w:sz w:val="16"/>
                <w:szCs w:val="16"/>
              </w:rPr>
              <w:t>τ</w:t>
            </w:r>
            <w:r w:rsidRPr="00823400">
              <w:rPr>
                <w:rFonts w:cs="Arial"/>
                <w:b/>
                <w:bCs/>
                <w:sz w:val="16"/>
                <w:szCs w:val="16"/>
              </w:rPr>
              <w:t>όκοι Γενικής Κυβέρνησης</w:t>
            </w:r>
          </w:p>
        </w:tc>
        <w:tc>
          <w:tcPr>
            <w:tcW w:w="1034" w:type="dxa"/>
            <w:tcBorders>
              <w:top w:val="nil"/>
              <w:bottom w:val="nil"/>
            </w:tcBorders>
            <w:shd w:val="clear" w:color="auto" w:fill="D5DCE4"/>
            <w:vAlign w:val="center"/>
          </w:tcPr>
          <w:p w14:paraId="12C1FDE3" w14:textId="0B2EC471" w:rsidR="00BA5DFA" w:rsidRPr="00BA5DFA" w:rsidRDefault="00BA5DFA" w:rsidP="009D02E9">
            <w:pPr>
              <w:spacing w:after="0" w:line="264" w:lineRule="auto"/>
              <w:jc w:val="right"/>
              <w:rPr>
                <w:rFonts w:cs="Arial"/>
                <w:b/>
                <w:bCs/>
                <w:sz w:val="16"/>
                <w:szCs w:val="16"/>
              </w:rPr>
            </w:pPr>
            <w:r w:rsidRPr="00BA5DFA">
              <w:rPr>
                <w:rFonts w:cs="Arial"/>
                <w:b/>
                <w:bCs/>
                <w:sz w:val="16"/>
                <w:szCs w:val="16"/>
              </w:rPr>
              <w:t>7.840</w:t>
            </w:r>
          </w:p>
        </w:tc>
        <w:tc>
          <w:tcPr>
            <w:tcW w:w="1551" w:type="dxa"/>
            <w:tcBorders>
              <w:top w:val="nil"/>
              <w:bottom w:val="nil"/>
            </w:tcBorders>
            <w:shd w:val="clear" w:color="auto" w:fill="D5DCE4"/>
            <w:vAlign w:val="center"/>
          </w:tcPr>
          <w:p w14:paraId="3735B8B2" w14:textId="1C32E357" w:rsidR="00BA5DFA" w:rsidRPr="00BA5DFA" w:rsidRDefault="00BA5DFA" w:rsidP="009D02E9">
            <w:pPr>
              <w:spacing w:after="0" w:line="264" w:lineRule="auto"/>
              <w:jc w:val="right"/>
              <w:rPr>
                <w:rFonts w:cs="Arial"/>
                <w:b/>
                <w:bCs/>
                <w:sz w:val="16"/>
                <w:szCs w:val="16"/>
              </w:rPr>
            </w:pPr>
            <w:r w:rsidRPr="00BA5DFA">
              <w:rPr>
                <w:rFonts w:cs="Arial"/>
                <w:b/>
                <w:bCs/>
                <w:sz w:val="16"/>
                <w:szCs w:val="16"/>
              </w:rPr>
              <w:t>7.713</w:t>
            </w:r>
          </w:p>
        </w:tc>
        <w:tc>
          <w:tcPr>
            <w:tcW w:w="1037" w:type="dxa"/>
            <w:tcBorders>
              <w:top w:val="nil"/>
              <w:bottom w:val="nil"/>
            </w:tcBorders>
            <w:shd w:val="clear" w:color="auto" w:fill="D5DCE4"/>
            <w:vAlign w:val="center"/>
          </w:tcPr>
          <w:p w14:paraId="22FB463A" w14:textId="67485499" w:rsidR="00BA5DFA" w:rsidRPr="00BA5DFA" w:rsidRDefault="00BA5DFA" w:rsidP="009D02E9">
            <w:pPr>
              <w:spacing w:after="0" w:line="264" w:lineRule="auto"/>
              <w:jc w:val="right"/>
              <w:rPr>
                <w:rFonts w:cs="Arial"/>
                <w:b/>
                <w:bCs/>
                <w:sz w:val="16"/>
                <w:szCs w:val="16"/>
              </w:rPr>
            </w:pPr>
            <w:r w:rsidRPr="00BA5DFA">
              <w:rPr>
                <w:rFonts w:cs="Arial"/>
                <w:b/>
                <w:bCs/>
                <w:sz w:val="16"/>
                <w:szCs w:val="16"/>
              </w:rPr>
              <w:t>7.924</w:t>
            </w:r>
          </w:p>
        </w:tc>
        <w:tc>
          <w:tcPr>
            <w:tcW w:w="1043" w:type="dxa"/>
            <w:tcBorders>
              <w:top w:val="nil"/>
              <w:bottom w:val="nil"/>
              <w:right w:val="single" w:sz="2" w:space="0" w:color="A6A6A6" w:themeColor="background1" w:themeShade="A6"/>
            </w:tcBorders>
            <w:shd w:val="clear" w:color="auto" w:fill="D5DCE4"/>
            <w:vAlign w:val="center"/>
          </w:tcPr>
          <w:p w14:paraId="1CC1F670" w14:textId="5CE2632C" w:rsidR="00BA5DFA" w:rsidRPr="00BA5DFA" w:rsidRDefault="00BA5DFA" w:rsidP="009D02E9">
            <w:pPr>
              <w:spacing w:after="0" w:line="264" w:lineRule="auto"/>
              <w:jc w:val="right"/>
              <w:rPr>
                <w:rFonts w:cs="Arial"/>
                <w:b/>
                <w:bCs/>
                <w:sz w:val="16"/>
                <w:szCs w:val="16"/>
              </w:rPr>
            </w:pPr>
            <w:r w:rsidRPr="00BA5DFA">
              <w:rPr>
                <w:rFonts w:cs="Arial"/>
                <w:b/>
                <w:bCs/>
                <w:sz w:val="16"/>
                <w:szCs w:val="16"/>
              </w:rPr>
              <w:t>8.409</w:t>
            </w:r>
          </w:p>
        </w:tc>
      </w:tr>
      <w:tr w:rsidR="0055125E" w:rsidRPr="00372745" w14:paraId="2A24350F"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2AA85A6D" w14:textId="46873ADF" w:rsidR="00BA5DFA"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BA5DFA"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17A1C976" w14:textId="740376E8" w:rsidR="00BA5DFA" w:rsidRPr="00BA5DFA" w:rsidRDefault="00BA5DFA" w:rsidP="009D02E9">
            <w:pPr>
              <w:spacing w:after="0" w:line="264" w:lineRule="auto"/>
              <w:jc w:val="right"/>
              <w:rPr>
                <w:rFonts w:cs="Arial"/>
                <w:b/>
                <w:bCs/>
                <w:sz w:val="16"/>
                <w:szCs w:val="16"/>
              </w:rPr>
            </w:pPr>
            <w:r w:rsidRPr="00BA5DFA">
              <w:rPr>
                <w:rFonts w:cs="Arial"/>
                <w:b/>
                <w:bCs/>
                <w:sz w:val="16"/>
                <w:szCs w:val="16"/>
              </w:rPr>
              <w:t>3,2%</w:t>
            </w:r>
          </w:p>
        </w:tc>
        <w:tc>
          <w:tcPr>
            <w:tcW w:w="1551" w:type="dxa"/>
            <w:tcBorders>
              <w:top w:val="nil"/>
              <w:bottom w:val="nil"/>
            </w:tcBorders>
            <w:shd w:val="clear" w:color="auto" w:fill="F2F2F2" w:themeFill="background1" w:themeFillShade="F2"/>
            <w:vAlign w:val="center"/>
          </w:tcPr>
          <w:p w14:paraId="34BA80BF" w14:textId="43F5A003" w:rsidR="00BA5DFA" w:rsidRPr="00BA5DFA" w:rsidRDefault="00BA5DFA" w:rsidP="009D02E9">
            <w:pPr>
              <w:spacing w:after="0" w:line="264" w:lineRule="auto"/>
              <w:jc w:val="right"/>
              <w:rPr>
                <w:rFonts w:cs="Arial"/>
                <w:b/>
                <w:bCs/>
                <w:sz w:val="16"/>
                <w:szCs w:val="16"/>
              </w:rPr>
            </w:pPr>
            <w:r w:rsidRPr="00BA5DFA">
              <w:rPr>
                <w:rFonts w:cs="Arial"/>
                <w:b/>
                <w:bCs/>
                <w:sz w:val="16"/>
                <w:szCs w:val="16"/>
              </w:rPr>
              <w:t>3,0%</w:t>
            </w:r>
          </w:p>
        </w:tc>
        <w:tc>
          <w:tcPr>
            <w:tcW w:w="1037" w:type="dxa"/>
            <w:tcBorders>
              <w:top w:val="nil"/>
              <w:bottom w:val="nil"/>
            </w:tcBorders>
            <w:shd w:val="clear" w:color="auto" w:fill="F2F2F2" w:themeFill="background1" w:themeFillShade="F2"/>
            <w:vAlign w:val="center"/>
          </w:tcPr>
          <w:p w14:paraId="71E9E0CC" w14:textId="41086523" w:rsidR="00BA5DFA" w:rsidRPr="00BA5DFA" w:rsidRDefault="00BA5DFA" w:rsidP="009D02E9">
            <w:pPr>
              <w:spacing w:after="0" w:line="264" w:lineRule="auto"/>
              <w:jc w:val="right"/>
              <w:rPr>
                <w:rFonts w:cs="Arial"/>
                <w:b/>
                <w:bCs/>
                <w:sz w:val="16"/>
                <w:szCs w:val="16"/>
              </w:rPr>
            </w:pPr>
            <w:r w:rsidRPr="00BA5DFA">
              <w:rPr>
                <w:rFonts w:cs="Arial"/>
                <w:b/>
                <w:bCs/>
                <w:sz w:val="16"/>
                <w:szCs w:val="16"/>
              </w:rPr>
              <w:t>3,0%</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3461E1E7" w14:textId="7A1CC594" w:rsidR="00BA5DFA" w:rsidRPr="00BA5DFA" w:rsidRDefault="00BA5DFA" w:rsidP="009D02E9">
            <w:pPr>
              <w:spacing w:after="0" w:line="264" w:lineRule="auto"/>
              <w:jc w:val="right"/>
              <w:rPr>
                <w:rFonts w:cs="Arial"/>
                <w:b/>
                <w:bCs/>
                <w:sz w:val="16"/>
                <w:szCs w:val="16"/>
              </w:rPr>
            </w:pPr>
            <w:r w:rsidRPr="00BA5DFA">
              <w:rPr>
                <w:rFonts w:cs="Arial"/>
                <w:b/>
                <w:bCs/>
                <w:sz w:val="16"/>
                <w:szCs w:val="16"/>
              </w:rPr>
              <w:t>3,1%</w:t>
            </w:r>
          </w:p>
        </w:tc>
      </w:tr>
      <w:tr w:rsidR="008C0A0E" w:rsidRPr="00372745" w14:paraId="616C660B"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1A6F1304" w14:textId="35172075" w:rsidR="00EC5693" w:rsidRPr="00372745" w:rsidRDefault="00EC5693" w:rsidP="009D02E9">
            <w:pPr>
              <w:tabs>
                <w:tab w:val="left" w:pos="340"/>
              </w:tabs>
              <w:spacing w:after="0" w:line="264" w:lineRule="auto"/>
              <w:jc w:val="left"/>
              <w:rPr>
                <w:rFonts w:cs="Arial"/>
                <w:b/>
                <w:bCs/>
                <w:sz w:val="16"/>
                <w:szCs w:val="16"/>
              </w:rPr>
            </w:pPr>
            <w:r w:rsidRPr="00372745">
              <w:rPr>
                <w:rFonts w:cs="Arial"/>
                <w:b/>
                <w:bCs/>
                <w:sz w:val="16"/>
                <w:szCs w:val="16"/>
              </w:rPr>
              <w:t>ΧΙΙ.</w:t>
            </w:r>
            <w:r w:rsidR="00CA2839">
              <w:rPr>
                <w:rFonts w:cs="Arial"/>
                <w:b/>
                <w:bCs/>
                <w:sz w:val="16"/>
                <w:szCs w:val="16"/>
              </w:rPr>
              <w:tab/>
            </w:r>
            <w:r w:rsidRPr="00372745">
              <w:rPr>
                <w:rFonts w:cs="Arial"/>
                <w:b/>
                <w:bCs/>
                <w:sz w:val="16"/>
                <w:szCs w:val="16"/>
              </w:rPr>
              <w:t xml:space="preserve">Πρωτογενές αποτέλεσμα Γενικής Κυβέρνησης κατά </w:t>
            </w:r>
            <w:r w:rsidR="00CA2839">
              <w:rPr>
                <w:rFonts w:cs="Arial"/>
                <w:b/>
                <w:bCs/>
                <w:sz w:val="16"/>
                <w:szCs w:val="16"/>
              </w:rPr>
              <w:tab/>
            </w:r>
            <w:r w:rsidRPr="00372745">
              <w:rPr>
                <w:rFonts w:cs="Arial"/>
                <w:b/>
                <w:bCs/>
                <w:sz w:val="16"/>
                <w:szCs w:val="16"/>
              </w:rPr>
              <w:t>ESA (Χ+ΧΙ)</w:t>
            </w:r>
          </w:p>
        </w:tc>
        <w:tc>
          <w:tcPr>
            <w:tcW w:w="1034" w:type="dxa"/>
            <w:tcBorders>
              <w:top w:val="nil"/>
              <w:bottom w:val="nil"/>
            </w:tcBorders>
            <w:shd w:val="clear" w:color="auto" w:fill="D5DCE4"/>
            <w:vAlign w:val="center"/>
          </w:tcPr>
          <w:p w14:paraId="323939A0" w14:textId="28A21987" w:rsidR="00EC5693" w:rsidRPr="00EC5693" w:rsidRDefault="00EC5693" w:rsidP="009D02E9">
            <w:pPr>
              <w:spacing w:after="0" w:line="264" w:lineRule="auto"/>
              <w:jc w:val="right"/>
              <w:rPr>
                <w:rFonts w:cs="Arial"/>
                <w:b/>
                <w:bCs/>
                <w:sz w:val="16"/>
                <w:szCs w:val="16"/>
              </w:rPr>
            </w:pPr>
            <w:r w:rsidRPr="00EC5693">
              <w:rPr>
                <w:rFonts w:cs="Arial"/>
                <w:b/>
                <w:bCs/>
                <w:sz w:val="16"/>
                <w:szCs w:val="16"/>
              </w:rPr>
              <w:t>12.129</w:t>
            </w:r>
          </w:p>
        </w:tc>
        <w:tc>
          <w:tcPr>
            <w:tcW w:w="1551" w:type="dxa"/>
            <w:tcBorders>
              <w:top w:val="nil"/>
              <w:bottom w:val="nil"/>
            </w:tcBorders>
            <w:shd w:val="clear" w:color="auto" w:fill="D5DCE4"/>
            <w:vAlign w:val="center"/>
          </w:tcPr>
          <w:p w14:paraId="5864794E" w14:textId="6DBA0730" w:rsidR="00EC5693" w:rsidRPr="00EC5693" w:rsidRDefault="00EC5693" w:rsidP="009D02E9">
            <w:pPr>
              <w:spacing w:after="0" w:line="264" w:lineRule="auto"/>
              <w:jc w:val="right"/>
              <w:rPr>
                <w:rFonts w:cs="Arial"/>
                <w:b/>
                <w:bCs/>
                <w:sz w:val="16"/>
                <w:szCs w:val="16"/>
              </w:rPr>
            </w:pPr>
            <w:r w:rsidRPr="00EC5693">
              <w:rPr>
                <w:rFonts w:cs="Arial"/>
                <w:b/>
                <w:bCs/>
                <w:sz w:val="16"/>
                <w:szCs w:val="16"/>
              </w:rPr>
              <w:t>7.211</w:t>
            </w:r>
          </w:p>
        </w:tc>
        <w:tc>
          <w:tcPr>
            <w:tcW w:w="1037" w:type="dxa"/>
            <w:tcBorders>
              <w:top w:val="nil"/>
              <w:bottom w:val="nil"/>
            </w:tcBorders>
            <w:shd w:val="clear" w:color="auto" w:fill="D5DCE4"/>
            <w:vAlign w:val="center"/>
          </w:tcPr>
          <w:p w14:paraId="218E786F" w14:textId="14B2B0A7" w:rsidR="00EC5693" w:rsidRPr="00EC5693" w:rsidRDefault="00EC5693" w:rsidP="009D02E9">
            <w:pPr>
              <w:spacing w:after="0" w:line="264" w:lineRule="auto"/>
              <w:jc w:val="right"/>
              <w:rPr>
                <w:rFonts w:cs="Arial"/>
                <w:b/>
                <w:bCs/>
                <w:sz w:val="16"/>
                <w:szCs w:val="16"/>
              </w:rPr>
            </w:pPr>
            <w:r w:rsidRPr="00EC5693">
              <w:rPr>
                <w:rFonts w:cs="Arial"/>
                <w:b/>
                <w:bCs/>
                <w:sz w:val="16"/>
                <w:szCs w:val="16"/>
              </w:rPr>
              <w:t>9.548</w:t>
            </w:r>
          </w:p>
        </w:tc>
        <w:tc>
          <w:tcPr>
            <w:tcW w:w="1043" w:type="dxa"/>
            <w:tcBorders>
              <w:top w:val="nil"/>
              <w:bottom w:val="nil"/>
              <w:right w:val="single" w:sz="2" w:space="0" w:color="A6A6A6" w:themeColor="background1" w:themeShade="A6"/>
            </w:tcBorders>
            <w:shd w:val="clear" w:color="auto" w:fill="D5DCE4"/>
            <w:vAlign w:val="center"/>
          </w:tcPr>
          <w:p w14:paraId="71AEFEA8" w14:textId="262FC605" w:rsidR="00EC5693" w:rsidRPr="00EC5693" w:rsidRDefault="00EC5693" w:rsidP="009D02E9">
            <w:pPr>
              <w:spacing w:after="0" w:line="264" w:lineRule="auto"/>
              <w:jc w:val="right"/>
              <w:rPr>
                <w:rFonts w:cs="Arial"/>
                <w:b/>
                <w:bCs/>
                <w:sz w:val="16"/>
                <w:szCs w:val="16"/>
              </w:rPr>
            </w:pPr>
            <w:r w:rsidRPr="00EC5693">
              <w:rPr>
                <w:rFonts w:cs="Arial"/>
                <w:b/>
                <w:bCs/>
                <w:sz w:val="16"/>
                <w:szCs w:val="16"/>
              </w:rPr>
              <w:t>9.152</w:t>
            </w:r>
          </w:p>
        </w:tc>
      </w:tr>
      <w:tr w:rsidR="0055125E" w:rsidRPr="00372745" w14:paraId="255930D4"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1693AD4F" w14:textId="4CEA67B6" w:rsidR="00EC5693"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EC5693"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3A6C6619" w14:textId="11CC6F02" w:rsidR="00EC5693" w:rsidRPr="00EC5693" w:rsidRDefault="00EC5693" w:rsidP="009D02E9">
            <w:pPr>
              <w:spacing w:after="0" w:line="264" w:lineRule="auto"/>
              <w:jc w:val="right"/>
              <w:rPr>
                <w:rFonts w:cs="Arial"/>
                <w:b/>
                <w:bCs/>
                <w:sz w:val="16"/>
                <w:szCs w:val="16"/>
              </w:rPr>
            </w:pPr>
            <w:r w:rsidRPr="00EC5693">
              <w:rPr>
                <w:rFonts w:cs="Arial"/>
                <w:b/>
                <w:bCs/>
                <w:sz w:val="16"/>
                <w:szCs w:val="16"/>
              </w:rPr>
              <w:t>4,9%</w:t>
            </w:r>
          </w:p>
        </w:tc>
        <w:tc>
          <w:tcPr>
            <w:tcW w:w="1551" w:type="dxa"/>
            <w:tcBorders>
              <w:top w:val="nil"/>
              <w:bottom w:val="nil"/>
            </w:tcBorders>
            <w:shd w:val="clear" w:color="auto" w:fill="F2F2F2" w:themeFill="background1" w:themeFillShade="F2"/>
            <w:vAlign w:val="center"/>
          </w:tcPr>
          <w:p w14:paraId="6B95A1F9" w14:textId="6ACB5440" w:rsidR="00EC5693" w:rsidRPr="00EC5693" w:rsidRDefault="00EC5693" w:rsidP="009D02E9">
            <w:pPr>
              <w:spacing w:after="0" w:line="264" w:lineRule="auto"/>
              <w:jc w:val="right"/>
              <w:rPr>
                <w:rFonts w:cs="Arial"/>
                <w:b/>
                <w:bCs/>
                <w:sz w:val="16"/>
                <w:szCs w:val="16"/>
              </w:rPr>
            </w:pPr>
            <w:r w:rsidRPr="00EC5693">
              <w:rPr>
                <w:rFonts w:cs="Arial"/>
                <w:b/>
                <w:bCs/>
                <w:sz w:val="16"/>
                <w:szCs w:val="16"/>
              </w:rPr>
              <w:t>2,8%</w:t>
            </w:r>
          </w:p>
        </w:tc>
        <w:tc>
          <w:tcPr>
            <w:tcW w:w="1037" w:type="dxa"/>
            <w:tcBorders>
              <w:top w:val="nil"/>
              <w:bottom w:val="nil"/>
            </w:tcBorders>
            <w:shd w:val="clear" w:color="auto" w:fill="F2F2F2" w:themeFill="background1" w:themeFillShade="F2"/>
            <w:vAlign w:val="center"/>
          </w:tcPr>
          <w:p w14:paraId="6673C5F1" w14:textId="156C01C1" w:rsidR="00EC5693" w:rsidRPr="00EC5693" w:rsidRDefault="00EC5693" w:rsidP="009D02E9">
            <w:pPr>
              <w:spacing w:after="0" w:line="264" w:lineRule="auto"/>
              <w:jc w:val="right"/>
              <w:rPr>
                <w:rFonts w:cs="Arial"/>
                <w:b/>
                <w:bCs/>
                <w:sz w:val="16"/>
                <w:szCs w:val="16"/>
              </w:rPr>
            </w:pPr>
            <w:r w:rsidRPr="00EC5693">
              <w:rPr>
                <w:rFonts w:cs="Arial"/>
                <w:b/>
                <w:bCs/>
                <w:sz w:val="16"/>
                <w:szCs w:val="16"/>
              </w:rPr>
              <w:t>3,6%</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027D8B64" w14:textId="6B8C0F2B" w:rsidR="00EC5693" w:rsidRPr="00EC5693" w:rsidRDefault="00EC5693" w:rsidP="009D02E9">
            <w:pPr>
              <w:spacing w:after="0" w:line="264" w:lineRule="auto"/>
              <w:jc w:val="right"/>
              <w:rPr>
                <w:rFonts w:cs="Arial"/>
                <w:b/>
                <w:bCs/>
                <w:sz w:val="16"/>
                <w:szCs w:val="16"/>
              </w:rPr>
            </w:pPr>
            <w:r w:rsidRPr="00EC5693">
              <w:rPr>
                <w:rFonts w:cs="Arial"/>
                <w:b/>
                <w:bCs/>
                <w:sz w:val="16"/>
                <w:szCs w:val="16"/>
              </w:rPr>
              <w:t>3,3%</w:t>
            </w:r>
          </w:p>
        </w:tc>
      </w:tr>
      <w:tr w:rsidR="0055125E" w:rsidRPr="00372745" w14:paraId="2EA884D2" w14:textId="77777777" w:rsidTr="005853A6">
        <w:trPr>
          <w:cantSplit/>
          <w:trHeight w:val="283"/>
          <w:jc w:val="center"/>
        </w:trPr>
        <w:tc>
          <w:tcPr>
            <w:tcW w:w="4587" w:type="dxa"/>
            <w:tcBorders>
              <w:top w:val="nil"/>
              <w:left w:val="single" w:sz="2" w:space="0" w:color="A6A6A6" w:themeColor="background1" w:themeShade="A6"/>
              <w:bottom w:val="single" w:sz="2" w:space="0" w:color="A6A6A6" w:themeColor="background1" w:themeShade="A6"/>
            </w:tcBorders>
            <w:shd w:val="clear" w:color="auto" w:fill="D5DCE4"/>
            <w:vAlign w:val="center"/>
            <w:hideMark/>
          </w:tcPr>
          <w:p w14:paraId="69B30304" w14:textId="5CCCB7EA" w:rsidR="00EC5693"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EC5693" w:rsidRPr="00372745">
              <w:rPr>
                <w:rFonts w:cs="Arial"/>
                <w:b/>
                <w:bCs/>
                <w:sz w:val="16"/>
                <w:szCs w:val="16"/>
              </w:rPr>
              <w:t>ΑΕΠ</w:t>
            </w:r>
          </w:p>
        </w:tc>
        <w:tc>
          <w:tcPr>
            <w:tcW w:w="1034" w:type="dxa"/>
            <w:tcBorders>
              <w:top w:val="nil"/>
              <w:bottom w:val="single" w:sz="2" w:space="0" w:color="A6A6A6" w:themeColor="background1" w:themeShade="A6"/>
            </w:tcBorders>
            <w:shd w:val="clear" w:color="auto" w:fill="D5DCE4"/>
            <w:vAlign w:val="center"/>
          </w:tcPr>
          <w:p w14:paraId="1387A4AC" w14:textId="772EDE74" w:rsidR="00EC5693" w:rsidRPr="00EC5693" w:rsidRDefault="00EC5693" w:rsidP="009D02E9">
            <w:pPr>
              <w:spacing w:after="0" w:line="264" w:lineRule="auto"/>
              <w:jc w:val="right"/>
              <w:rPr>
                <w:rFonts w:cs="Arial"/>
                <w:b/>
                <w:bCs/>
                <w:sz w:val="16"/>
                <w:szCs w:val="16"/>
              </w:rPr>
            </w:pPr>
            <w:r w:rsidRPr="00EC5693">
              <w:rPr>
                <w:rFonts w:cs="Arial"/>
                <w:b/>
                <w:bCs/>
                <w:sz w:val="16"/>
                <w:szCs w:val="16"/>
              </w:rPr>
              <w:t>248.354</w:t>
            </w:r>
          </w:p>
        </w:tc>
        <w:tc>
          <w:tcPr>
            <w:tcW w:w="1551" w:type="dxa"/>
            <w:tcBorders>
              <w:top w:val="nil"/>
              <w:bottom w:val="single" w:sz="2" w:space="0" w:color="A6A6A6" w:themeColor="background1" w:themeShade="A6"/>
            </w:tcBorders>
            <w:shd w:val="clear" w:color="auto" w:fill="D5DCE4"/>
            <w:vAlign w:val="center"/>
          </w:tcPr>
          <w:p w14:paraId="55C50365" w14:textId="5C18EF77" w:rsidR="00EC5693" w:rsidRPr="00EC5693" w:rsidRDefault="00EC5693" w:rsidP="009D02E9">
            <w:pPr>
              <w:spacing w:after="0" w:line="264" w:lineRule="auto"/>
              <w:jc w:val="right"/>
              <w:rPr>
                <w:rFonts w:cs="Arial"/>
                <w:b/>
                <w:bCs/>
                <w:sz w:val="16"/>
                <w:szCs w:val="16"/>
              </w:rPr>
            </w:pPr>
            <w:r w:rsidRPr="00EC5693">
              <w:rPr>
                <w:rFonts w:cs="Arial"/>
                <w:b/>
                <w:bCs/>
                <w:sz w:val="16"/>
                <w:szCs w:val="16"/>
              </w:rPr>
              <w:t>260.035</w:t>
            </w:r>
          </w:p>
        </w:tc>
        <w:tc>
          <w:tcPr>
            <w:tcW w:w="1037" w:type="dxa"/>
            <w:tcBorders>
              <w:top w:val="nil"/>
              <w:bottom w:val="single" w:sz="2" w:space="0" w:color="A6A6A6" w:themeColor="background1" w:themeShade="A6"/>
            </w:tcBorders>
            <w:shd w:val="clear" w:color="auto" w:fill="D5DCE4"/>
            <w:vAlign w:val="center"/>
          </w:tcPr>
          <w:p w14:paraId="02201A47" w14:textId="43A794A7" w:rsidR="00EC5693" w:rsidRPr="00EC5693" w:rsidRDefault="00EC5693" w:rsidP="009D02E9">
            <w:pPr>
              <w:spacing w:after="0" w:line="264" w:lineRule="auto"/>
              <w:jc w:val="right"/>
              <w:rPr>
                <w:rFonts w:cs="Arial"/>
                <w:b/>
                <w:bCs/>
                <w:sz w:val="16"/>
                <w:szCs w:val="16"/>
              </w:rPr>
            </w:pPr>
            <w:r w:rsidRPr="00EC5693">
              <w:rPr>
                <w:rFonts w:cs="Arial"/>
                <w:b/>
                <w:bCs/>
                <w:sz w:val="16"/>
                <w:szCs w:val="16"/>
              </w:rPr>
              <w:t>262.012</w:t>
            </w:r>
          </w:p>
        </w:tc>
        <w:tc>
          <w:tcPr>
            <w:tcW w:w="1043" w:type="dxa"/>
            <w:tcBorders>
              <w:top w:val="nil"/>
              <w:bottom w:val="single" w:sz="2" w:space="0" w:color="A6A6A6" w:themeColor="background1" w:themeShade="A6"/>
              <w:right w:val="single" w:sz="2" w:space="0" w:color="A6A6A6" w:themeColor="background1" w:themeShade="A6"/>
            </w:tcBorders>
            <w:shd w:val="clear" w:color="auto" w:fill="D5DCE4"/>
            <w:vAlign w:val="center"/>
          </w:tcPr>
          <w:p w14:paraId="249CCE71" w14:textId="0EFE9E24" w:rsidR="00EC5693" w:rsidRPr="00EC5693" w:rsidRDefault="00EC5693" w:rsidP="009D02E9">
            <w:pPr>
              <w:spacing w:after="0" w:line="264" w:lineRule="auto"/>
              <w:jc w:val="right"/>
              <w:rPr>
                <w:rFonts w:cs="Arial"/>
                <w:b/>
                <w:bCs/>
                <w:sz w:val="16"/>
                <w:szCs w:val="16"/>
              </w:rPr>
            </w:pPr>
            <w:r w:rsidRPr="00EC5693">
              <w:rPr>
                <w:rFonts w:cs="Arial"/>
                <w:b/>
                <w:bCs/>
                <w:sz w:val="16"/>
                <w:szCs w:val="16"/>
              </w:rPr>
              <w:t>274.592</w:t>
            </w:r>
          </w:p>
        </w:tc>
      </w:tr>
      <w:tr w:rsidR="00EE405C" w:rsidRPr="00372745" w14:paraId="4AEF0FA3" w14:textId="77777777" w:rsidTr="000D5B62">
        <w:trPr>
          <w:cantSplit/>
          <w:jc w:val="center"/>
        </w:trPr>
        <w:tc>
          <w:tcPr>
            <w:tcW w:w="9252" w:type="dxa"/>
            <w:gridSpan w:val="5"/>
            <w:tcBorders>
              <w:top w:val="single" w:sz="2" w:space="0" w:color="A6A6A6" w:themeColor="background1" w:themeShade="A6"/>
              <w:left w:val="nil"/>
              <w:bottom w:val="nil"/>
              <w:right w:val="nil"/>
            </w:tcBorders>
            <w:vAlign w:val="center"/>
            <w:hideMark/>
          </w:tcPr>
          <w:p w14:paraId="224D92AA" w14:textId="77777777" w:rsidR="00EE405C" w:rsidRDefault="00040EDC" w:rsidP="00BE2019">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1</w:t>
            </w:r>
            <w:r w:rsidRPr="003D26C2">
              <w:rPr>
                <w:rFonts w:cs="Arial"/>
                <w:sz w:val="16"/>
                <w:szCs w:val="16"/>
              </w:rPr>
              <w:tab/>
            </w:r>
            <w:r w:rsidR="003D26C2" w:rsidRPr="003D26C2">
              <w:rPr>
                <w:rFonts w:cs="Arial"/>
                <w:sz w:val="16"/>
                <w:szCs w:val="16"/>
              </w:rPr>
              <w:t xml:space="preserve">Τα έσοδα του προϋπολογισμού δημοσίων επενδύσεων περιέχονται στις μεταβιβάσεις και στα λοιπά τρέχοντα έσοδα και για λόγους συγκρισιμότητας οι δαπάνες </w:t>
            </w:r>
            <w:r w:rsidR="003D26C2" w:rsidRPr="009212CD">
              <w:rPr>
                <w:rFonts w:cs="Arial"/>
                <w:sz w:val="16"/>
                <w:szCs w:val="16"/>
              </w:rPr>
              <w:t xml:space="preserve">του </w:t>
            </w:r>
            <w:r w:rsidR="009212CD" w:rsidRPr="009212CD">
              <w:rPr>
                <w:rFonts w:cs="Arial"/>
                <w:sz w:val="16"/>
                <w:szCs w:val="16"/>
              </w:rPr>
              <w:t>προϋπολογισμού δημοσίων επενδύσεων</w:t>
            </w:r>
            <w:r w:rsidR="003D26C2" w:rsidRPr="009212CD">
              <w:rPr>
                <w:rFonts w:cs="Arial"/>
                <w:sz w:val="16"/>
                <w:szCs w:val="16"/>
              </w:rPr>
              <w:t xml:space="preserve"> περιέχονται</w:t>
            </w:r>
            <w:r w:rsidR="003D26C2" w:rsidRPr="003D26C2">
              <w:rPr>
                <w:rFonts w:cs="Arial"/>
                <w:sz w:val="16"/>
                <w:szCs w:val="16"/>
              </w:rPr>
              <w:t xml:space="preserve"> στις πιστώσεις υπό κατανομή.</w:t>
            </w:r>
          </w:p>
          <w:p w14:paraId="65936900" w14:textId="64128FF9" w:rsidR="007E0080" w:rsidRDefault="007E0080" w:rsidP="007E0080">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2</w:t>
            </w:r>
            <w:r w:rsidRPr="00A54B02">
              <w:rPr>
                <w:rFonts w:cs="Arial"/>
                <w:sz w:val="16"/>
                <w:szCs w:val="16"/>
              </w:rPr>
              <w:tab/>
            </w:r>
            <w:r w:rsidRPr="00183432">
              <w:rPr>
                <w:rFonts w:cs="Arial"/>
                <w:sz w:val="16"/>
                <w:szCs w:val="16"/>
              </w:rPr>
              <w:t>Τα έσοδα του ΤΑΑ περιέχονται στις μεταβιβάσεις και για λόγους συγκρισιμότητας οι δαπάνες περιέχονται στις πιστώσεις υπό κατανομή.</w:t>
            </w:r>
          </w:p>
          <w:p w14:paraId="461EEF72" w14:textId="7174CCAA" w:rsidR="007E0080" w:rsidRDefault="007E0080" w:rsidP="007E0080">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3</w:t>
            </w:r>
            <w:r>
              <w:rPr>
                <w:rFonts w:cs="Arial"/>
                <w:sz w:val="16"/>
                <w:szCs w:val="16"/>
              </w:rPr>
              <w:tab/>
            </w:r>
            <w:r w:rsidRPr="00372745">
              <w:rPr>
                <w:rFonts w:cs="Arial"/>
                <w:sz w:val="16"/>
                <w:szCs w:val="16"/>
              </w:rPr>
              <w:t xml:space="preserve">Οι δαπάνες της Κεντρικής Διοίκησης αναλύονται σύμφωνα με τις μείζονες κατηγορίες του </w:t>
            </w:r>
            <w:proofErr w:type="spellStart"/>
            <w:r>
              <w:rPr>
                <w:rFonts w:cs="Arial"/>
                <w:sz w:val="16"/>
                <w:szCs w:val="16"/>
              </w:rPr>
              <w:t>π.δ.</w:t>
            </w:r>
            <w:proofErr w:type="spellEnd"/>
            <w:r>
              <w:rPr>
                <w:rFonts w:cs="Arial"/>
                <w:sz w:val="16"/>
                <w:szCs w:val="16"/>
              </w:rPr>
              <w:t xml:space="preserve"> </w:t>
            </w:r>
            <w:r w:rsidRPr="00372745">
              <w:rPr>
                <w:rFonts w:cs="Arial"/>
                <w:sz w:val="16"/>
                <w:szCs w:val="16"/>
              </w:rPr>
              <w:t>54/2018 (Α' 103).</w:t>
            </w:r>
          </w:p>
          <w:p w14:paraId="3D60F04A" w14:textId="74C6FAF6" w:rsidR="007E0080" w:rsidRPr="00372745" w:rsidRDefault="007E0080" w:rsidP="00BE2019">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4</w:t>
            </w:r>
            <w:r>
              <w:rPr>
                <w:rFonts w:cs="Arial"/>
                <w:sz w:val="16"/>
                <w:szCs w:val="16"/>
              </w:rPr>
              <w:tab/>
            </w:r>
            <w:r w:rsidRPr="009212CD">
              <w:rPr>
                <w:rFonts w:cs="Arial"/>
                <w:sz w:val="16"/>
                <w:szCs w:val="16"/>
              </w:rPr>
              <w:t>Πιθανές διαφορές</w:t>
            </w:r>
            <w:r w:rsidRPr="00183432">
              <w:rPr>
                <w:rFonts w:cs="Arial"/>
                <w:sz w:val="16"/>
                <w:szCs w:val="16"/>
              </w:rPr>
              <w:t xml:space="preserve"> των στοιχείων του πίνακα με τη ΔΥΕ Απριλίου οφείλονται σε στρογγυλοποιήσεις.</w:t>
            </w:r>
          </w:p>
        </w:tc>
      </w:tr>
    </w:tbl>
    <w:p w14:paraId="7F96BB59" w14:textId="77777777" w:rsidR="001C4403" w:rsidRDefault="001C4403"/>
    <w:p w14:paraId="2EAA84D2" w14:textId="549E3C18" w:rsidR="001C4403" w:rsidRDefault="001C4403">
      <w:r>
        <w:br w:type="page"/>
      </w:r>
    </w:p>
    <w:p w14:paraId="7338653F" w14:textId="77777777" w:rsidR="00013EFD" w:rsidRPr="000160CD" w:rsidRDefault="00013EFD" w:rsidP="00DC6F26">
      <w:pPr>
        <w:pStyle w:val="4"/>
        <w:keepNext w:val="0"/>
      </w:pPr>
      <w:bookmarkStart w:id="59" w:name="_Toc114142023"/>
      <w:bookmarkStart w:id="60" w:name="_Toc114142277"/>
      <w:bookmarkStart w:id="61" w:name="_Toc114142360"/>
      <w:bookmarkStart w:id="62" w:name="_Toc114142409"/>
      <w:bookmarkStart w:id="63" w:name="_Toc114149866"/>
      <w:bookmarkStart w:id="64" w:name="_Toc114219154"/>
      <w:bookmarkStart w:id="65" w:name="_Toc114219330"/>
      <w:bookmarkStart w:id="66" w:name="_Toc114219379"/>
      <w:bookmarkStart w:id="67" w:name="_Toc114219847"/>
      <w:bookmarkStart w:id="68" w:name="_Toc114234840"/>
      <w:bookmarkStart w:id="69" w:name="_Toc114489510"/>
      <w:bookmarkStart w:id="70" w:name="_Toc114489588"/>
      <w:bookmarkStart w:id="71" w:name="_Toc114489675"/>
      <w:bookmarkStart w:id="72" w:name="_Toc115338145"/>
      <w:bookmarkStart w:id="73" w:name="_Toc115358122"/>
      <w:bookmarkStart w:id="74" w:name="_Toc115424350"/>
      <w:bookmarkStart w:id="75" w:name="_Toc115435217"/>
      <w:bookmarkStart w:id="76" w:name="_Toc115437951"/>
      <w:bookmarkStart w:id="77" w:name="_Toc115526128"/>
      <w:bookmarkStart w:id="78" w:name="_Toc146645046"/>
      <w:bookmarkStart w:id="79" w:name="_Toc146819074"/>
      <w:bookmarkStart w:id="80" w:name="_Toc147015713"/>
      <w:bookmarkStart w:id="81" w:name="_Toc178751201"/>
      <w:bookmarkStart w:id="82" w:name="_Toc114142024"/>
      <w:bookmarkStart w:id="83" w:name="_Toc114142278"/>
      <w:bookmarkStart w:id="84" w:name="_Toc114142361"/>
      <w:bookmarkStart w:id="85" w:name="_Toc114142410"/>
      <w:bookmarkStart w:id="86" w:name="_Toc114149867"/>
      <w:bookmarkStart w:id="87" w:name="_Toc114219155"/>
      <w:bookmarkStart w:id="88" w:name="_Toc114219331"/>
      <w:bookmarkStart w:id="89" w:name="_Toc114219380"/>
      <w:bookmarkStart w:id="90" w:name="_Toc114219848"/>
      <w:bookmarkStart w:id="91" w:name="_Toc114234841"/>
      <w:bookmarkStart w:id="92" w:name="_Toc114489511"/>
      <w:bookmarkStart w:id="93" w:name="_Toc114489589"/>
      <w:bookmarkStart w:id="94" w:name="_Toc114489676"/>
      <w:bookmarkStart w:id="95" w:name="_Toc115338146"/>
      <w:bookmarkStart w:id="96" w:name="_Toc115358123"/>
      <w:bookmarkStart w:id="97" w:name="_Toc115424351"/>
      <w:bookmarkStart w:id="98" w:name="_Toc115435218"/>
      <w:bookmarkStart w:id="99" w:name="_Toc115437952"/>
      <w:bookmarkStart w:id="100" w:name="_Toc115526129"/>
      <w:bookmarkStart w:id="101" w:name="_Toc146645047"/>
      <w:bookmarkStart w:id="102" w:name="_Toc146819075"/>
      <w:bookmarkStart w:id="103" w:name="_Toc147015714"/>
      <w:bookmarkStart w:id="104" w:name="_Toc178751202"/>
      <w:bookmarkStart w:id="105" w:name="_Toc114142025"/>
      <w:bookmarkStart w:id="106" w:name="_Toc114142279"/>
      <w:bookmarkStart w:id="107" w:name="_Toc114142362"/>
      <w:bookmarkStart w:id="108" w:name="_Toc114142411"/>
      <w:bookmarkStart w:id="109" w:name="_Toc114149868"/>
      <w:bookmarkStart w:id="110" w:name="_Toc114219156"/>
      <w:bookmarkStart w:id="111" w:name="_Toc114219332"/>
      <w:bookmarkStart w:id="112" w:name="_Toc114219381"/>
      <w:bookmarkStart w:id="113" w:name="_Toc114219849"/>
      <w:bookmarkStart w:id="114" w:name="_Toc114234842"/>
      <w:bookmarkStart w:id="115" w:name="_Toc114489512"/>
      <w:bookmarkStart w:id="116" w:name="_Toc114489590"/>
      <w:bookmarkStart w:id="117" w:name="_Toc114489677"/>
      <w:bookmarkStart w:id="118" w:name="_Toc115338147"/>
      <w:bookmarkStart w:id="119" w:name="_Toc115358124"/>
      <w:bookmarkStart w:id="120" w:name="_Toc115424352"/>
      <w:bookmarkStart w:id="121" w:name="_Toc115435219"/>
      <w:bookmarkStart w:id="122" w:name="_Toc115437953"/>
      <w:bookmarkStart w:id="123" w:name="_Toc115526130"/>
      <w:bookmarkStart w:id="124" w:name="_Toc146645048"/>
      <w:bookmarkStart w:id="125" w:name="_Toc146819076"/>
      <w:bookmarkStart w:id="126" w:name="_Toc147015715"/>
      <w:bookmarkStart w:id="127" w:name="_Toc178751203"/>
      <w:bookmarkStart w:id="128" w:name="_Toc242019541"/>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0160CD">
        <w:t>Κρατικός Προϋπολογισμός</w:t>
      </w:r>
      <w:bookmarkEnd w:id="128"/>
    </w:p>
    <w:p w14:paraId="55912409" w14:textId="77777777" w:rsidR="00476DAC" w:rsidRPr="009B5D05" w:rsidRDefault="00AF2EB7" w:rsidP="00DC6F26">
      <w:pPr>
        <w:pStyle w:val="5"/>
        <w:keepNext w:val="0"/>
        <w:numPr>
          <w:ilvl w:val="0"/>
          <w:numId w:val="0"/>
        </w:numPr>
        <w:spacing w:before="360" w:after="240"/>
        <w:rPr>
          <w:sz w:val="22"/>
        </w:rPr>
      </w:pPr>
      <w:bookmarkStart w:id="129" w:name="_Toc242019542"/>
      <w:r w:rsidRPr="009B5D05">
        <w:rPr>
          <w:bCs/>
          <w:sz w:val="22"/>
        </w:rPr>
        <w:t>Έσοδα</w:t>
      </w:r>
      <w:r w:rsidR="00476DAC" w:rsidRPr="009B5D05">
        <w:rPr>
          <w:bCs/>
          <w:sz w:val="22"/>
        </w:rPr>
        <w:t xml:space="preserve"> - </w:t>
      </w:r>
      <w:r w:rsidR="00476DAC" w:rsidRPr="009B5D05">
        <w:rPr>
          <w:sz w:val="22"/>
        </w:rPr>
        <w:t>Ανάλυση σε δημοσιονομική βάση</w:t>
      </w:r>
      <w:bookmarkEnd w:id="129"/>
    </w:p>
    <w:p w14:paraId="5337A113" w14:textId="77777777" w:rsidR="00BA1658" w:rsidRPr="00671279" w:rsidRDefault="00BA1658" w:rsidP="00BA1658">
      <w:r w:rsidRPr="00671279">
        <w:t>Τα καθαρά έσοδα του κρατικού προϋπολογισμού σε δημοσιονομική βάση, μετά την αφαίρεση των επιστροφών φόρων, εκτιμάται ότι θα διαμορφωθούν σε 82.872 εκατ. ευρώ, παρουσιάζοντας αύξηση κατά 2.889 εκατ. ευρώ ή 3,6% έναντι του στόχου του προϋπολογισμού 2026. Αναλυτικότερα:</w:t>
      </w:r>
    </w:p>
    <w:p w14:paraId="4045ECF6" w14:textId="10609389" w:rsidR="00AF2EB7" w:rsidRPr="009622B0" w:rsidRDefault="00AF2EB7" w:rsidP="00D96226">
      <w:pPr>
        <w:spacing w:before="240"/>
        <w:rPr>
          <w:rFonts w:cs="Arial"/>
          <w:b/>
          <w:szCs w:val="22"/>
        </w:rPr>
      </w:pPr>
      <w:r w:rsidRPr="009622B0">
        <w:rPr>
          <w:rFonts w:cs="Arial"/>
          <w:b/>
          <w:szCs w:val="22"/>
        </w:rPr>
        <w:t>Φόροι</w:t>
      </w:r>
    </w:p>
    <w:p w14:paraId="0C51C462" w14:textId="77777777" w:rsidR="00B301DC" w:rsidRDefault="009622B0" w:rsidP="009622B0">
      <w:r w:rsidRPr="00671279">
        <w:t>Τα έσοδα από φόρους αναμένεται να ανέλθουν στο ύψος των 75.729 εκατ. ευρώ, αυξημένα κατά 2.085 εκατ. ευρώ ή 2,8% έναντι του στόχου του προϋπολογισμού 2026. Η αύξηση αυτή οφείλεται κυρίως:</w:t>
      </w:r>
    </w:p>
    <w:p w14:paraId="571A00EF" w14:textId="03B45A57" w:rsidR="000556B1" w:rsidRPr="000556B1" w:rsidRDefault="000E7BAA" w:rsidP="00B301DC">
      <w:pPr>
        <w:numPr>
          <w:ilvl w:val="0"/>
          <w:numId w:val="1"/>
        </w:numPr>
        <w:spacing w:before="120" w:after="60"/>
        <w:ind w:left="568" w:hanging="284"/>
      </w:pPr>
      <w:r>
        <w:t>στην ενίσχυση των εσόδων από</w:t>
      </w:r>
      <w:r w:rsidRPr="00BE5A34">
        <w:t xml:space="preserve"> </w:t>
      </w:r>
      <w:r>
        <w:t xml:space="preserve">τον Φόρο Προστιθέμενης Αξίας (ΦΠΑ) </w:t>
      </w:r>
      <w:r w:rsidRPr="00BE5A34">
        <w:t>κατά 1.548 εκατ. ευρώ σε σύγκριση με τον προϋπολογισμό</w:t>
      </w:r>
      <w:r>
        <w:t>, συμπεριλαμβανομένης της</w:t>
      </w:r>
      <w:r w:rsidRPr="00BE5A34">
        <w:t xml:space="preserve"> είσπραξη</w:t>
      </w:r>
      <w:r>
        <w:t>ς</w:t>
      </w:r>
      <w:r w:rsidRPr="00BE5A34">
        <w:t xml:space="preserve"> μη επαναλαμβανόμενου (</w:t>
      </w:r>
      <w:proofErr w:type="spellStart"/>
      <w:r w:rsidRPr="00BE5A34">
        <w:t>one</w:t>
      </w:r>
      <w:proofErr w:type="spellEnd"/>
      <w:r w:rsidRPr="00BE5A34">
        <w:t xml:space="preserve"> - </w:t>
      </w:r>
      <w:proofErr w:type="spellStart"/>
      <w:r w:rsidRPr="00BE5A34">
        <w:t>off</w:t>
      </w:r>
      <w:proofErr w:type="spellEnd"/>
      <w:r w:rsidRPr="00BE5A34">
        <w:t>) ποσού 306 εκατ. ευρώ από τη σύμβαση παραχώρησης της Εγνατίας Οδού, που δεν είχε προβλεφθεί</w:t>
      </w:r>
      <w:r>
        <w:t xml:space="preserve"> </w:t>
      </w:r>
      <w:r w:rsidR="009622B0" w:rsidRPr="000556B1">
        <w:t>και</w:t>
      </w:r>
    </w:p>
    <w:p w14:paraId="2E601FBE" w14:textId="700D9A98" w:rsidR="00637C1D" w:rsidRDefault="009622B0" w:rsidP="000556B1">
      <w:pPr>
        <w:numPr>
          <w:ilvl w:val="0"/>
          <w:numId w:val="1"/>
        </w:numPr>
        <w:spacing w:before="60"/>
        <w:ind w:left="568" w:hanging="284"/>
        <w:rPr>
          <w:rFonts w:cs="Arial"/>
        </w:rPr>
      </w:pPr>
      <w:r w:rsidRPr="000556B1">
        <w:rPr>
          <w:rFonts w:cs="Arial"/>
        </w:rPr>
        <w:t>στην αύξηση των αμοιβών</w:t>
      </w:r>
      <w:r w:rsidR="009437B9">
        <w:rPr>
          <w:rFonts w:cs="Arial"/>
        </w:rPr>
        <w:t xml:space="preserve"> και τη μείωση της ανεργίας</w:t>
      </w:r>
      <w:r w:rsidR="000556B1">
        <w:rPr>
          <w:rFonts w:cs="Arial"/>
        </w:rPr>
        <w:t xml:space="preserve">, </w:t>
      </w:r>
      <w:r w:rsidR="00F66369">
        <w:rPr>
          <w:rFonts w:cs="Arial"/>
        </w:rPr>
        <w:t>που</w:t>
      </w:r>
      <w:r w:rsidR="000556B1">
        <w:rPr>
          <w:rFonts w:cs="Arial"/>
        </w:rPr>
        <w:t xml:space="preserve"> </w:t>
      </w:r>
      <w:r w:rsidRPr="000556B1">
        <w:rPr>
          <w:rFonts w:cs="Arial"/>
        </w:rPr>
        <w:t>επηρεάζ</w:t>
      </w:r>
      <w:r w:rsidR="00F66369">
        <w:rPr>
          <w:rFonts w:cs="Arial"/>
        </w:rPr>
        <w:t>ουν</w:t>
      </w:r>
      <w:r w:rsidRPr="000556B1">
        <w:rPr>
          <w:rFonts w:cs="Arial"/>
        </w:rPr>
        <w:t xml:space="preserve"> κυρίως τα έσοδα από τον φόρο εισοδήματος φυσικών προσώπων (αύξηση κατά 560 εκατ. ευρώ </w:t>
      </w:r>
      <w:r w:rsidR="000556B1">
        <w:rPr>
          <w:rFonts w:cs="Arial"/>
        </w:rPr>
        <w:t xml:space="preserve">σε σύγκριση με τον </w:t>
      </w:r>
      <w:r w:rsidRPr="000556B1">
        <w:rPr>
          <w:rFonts w:cs="Arial"/>
        </w:rPr>
        <w:t>προϋπολογισμ</w:t>
      </w:r>
      <w:r w:rsidR="000556B1">
        <w:rPr>
          <w:rFonts w:cs="Arial"/>
        </w:rPr>
        <w:t>ό</w:t>
      </w:r>
      <w:r w:rsidRPr="000556B1">
        <w:rPr>
          <w:rFonts w:cs="Arial"/>
        </w:rPr>
        <w:t>).</w:t>
      </w:r>
    </w:p>
    <w:p w14:paraId="71DB2839" w14:textId="527DC95C" w:rsidR="001C70A4" w:rsidRPr="00637C1D" w:rsidRDefault="009622B0" w:rsidP="00637C1D">
      <w:r w:rsidRPr="00C67000">
        <w:t xml:space="preserve">Επιπλέον, οι </w:t>
      </w:r>
      <w:r w:rsidR="00C565DA" w:rsidRPr="00C67000">
        <w:t>ταξιδιωτικές</w:t>
      </w:r>
      <w:r w:rsidRPr="00C67000">
        <w:t xml:space="preserve"> εισπράξεις σημείωσαν σημαντική άνοδο κατά 1</w:t>
      </w:r>
      <w:r w:rsidR="00F66369" w:rsidRPr="00C67000">
        <w:t>0,4</w:t>
      </w:r>
      <w:r w:rsidRPr="00C67000">
        <w:t xml:space="preserve">% το επτάμηνο του 2026 </w:t>
      </w:r>
      <w:r w:rsidR="00D23317" w:rsidRPr="00C67000">
        <w:t xml:space="preserve">σε σύγκριση με το αντίστοιχο επτάμηνο του </w:t>
      </w:r>
      <w:r w:rsidRPr="00C67000">
        <w:t>2025</w:t>
      </w:r>
      <w:r w:rsidR="00D23317" w:rsidRPr="00C67000">
        <w:t xml:space="preserve"> και</w:t>
      </w:r>
      <w:r w:rsidR="00BA7055" w:rsidRPr="00C67000">
        <w:t xml:space="preserve"> έναντι 6,5% που ήταν η ετήσια πρόβλεψη του προϋπολογισμού</w:t>
      </w:r>
      <w:r w:rsidRPr="00C67000">
        <w:t>, με αποτέλεσμα να επηρεάζονται θετικά τα φορολογικά έσοδα.</w:t>
      </w:r>
    </w:p>
    <w:p w14:paraId="6A7AD27F" w14:textId="2023823D" w:rsidR="009622B0" w:rsidRPr="000556B1" w:rsidRDefault="009622B0" w:rsidP="001C70A4">
      <w:pPr>
        <w:rPr>
          <w:rFonts w:cs="Arial"/>
        </w:rPr>
      </w:pPr>
      <w:r w:rsidRPr="000556B1">
        <w:rPr>
          <w:rFonts w:cs="Arial"/>
        </w:rPr>
        <w:t>Πιο συγκεκριμένα:</w:t>
      </w:r>
    </w:p>
    <w:p w14:paraId="068A9447" w14:textId="77777777" w:rsidR="00F62516" w:rsidRPr="009622B0" w:rsidRDefault="00F62516" w:rsidP="00D96226">
      <w:pPr>
        <w:ind w:left="284"/>
        <w:rPr>
          <w:rFonts w:eastAsia="Calibri" w:cs="Arial"/>
          <w:b/>
          <w:i/>
          <w:szCs w:val="20"/>
          <w:lang w:val="x-none"/>
        </w:rPr>
      </w:pPr>
      <w:r w:rsidRPr="009622B0">
        <w:rPr>
          <w:rFonts w:eastAsia="Calibri" w:cs="Arial"/>
          <w:b/>
          <w:i/>
          <w:szCs w:val="20"/>
          <w:lang w:val="x-none"/>
        </w:rPr>
        <w:t>Φόροι επί αγαθών και υπηρεσιών</w:t>
      </w:r>
    </w:p>
    <w:p w14:paraId="0D670B3D" w14:textId="39EB3C6F" w:rsidR="009F0A47" w:rsidRPr="00657BE1" w:rsidRDefault="009622B0" w:rsidP="009622B0">
      <w:pPr>
        <w:ind w:left="284"/>
        <w:rPr>
          <w:highlight w:val="yellow"/>
        </w:rPr>
      </w:pPr>
      <w:r w:rsidRPr="001B600B">
        <w:t xml:space="preserve">Στην </w:t>
      </w:r>
      <w:r w:rsidR="001C70A4">
        <w:t xml:space="preserve">εν λόγω </w:t>
      </w:r>
      <w:r w:rsidRPr="001B600B">
        <w:t xml:space="preserve">κατηγορία περιλαμβάνονται κυρίως ο ΦΠΑ, οι Ειδικοί Φόροι Κατανάλωσης (ΕΦΚ), το ψηφιακό τέλος συναλλαγής και οι φόροι επί χρηματοοικονομικών και κεφαλαιακών συναλλαγών. Οι φόροι επί αγαθών και υπηρεσιών εκτιμάται ότι θα διαμορφωθούν στο ύψος των 42.252 εκατ. ευρώ, αυξημένοι κατά 1.380 εκατ. ευρώ ή 3,4% έναντι του στόχου του προϋπολογισμού 2026. Ειδικότερα, τα έσοδα από τον ΦΠΑ αναμένεται να ανέλθουν στο ποσό των 30.777 εκατ. ευρώ, αυξημένα κατά 1.548 εκατ. ευρώ από τον στόχο, ενώ τα έσοδα από τους ΕΦΚ εκτιμώνται στο ποσό των 7.176 εκατ. ευρώ, μειωμένα κατά 283 εκατ. ευρώ έναντι του στόχου </w:t>
      </w:r>
      <w:r w:rsidRPr="001039F0">
        <w:t>κυρίως λόγω της χαμηλότερης κατανάλωσης ενεργειακών προϊόντων, η οποία συνδέεται με τη διατήρηση των τιμών ενέργειας σε υψηλά επίπεδα</w:t>
      </w:r>
      <w:r>
        <w:t>.</w:t>
      </w:r>
    </w:p>
    <w:p w14:paraId="4526D36A" w14:textId="77777777" w:rsidR="00F62516" w:rsidRPr="00AC1530" w:rsidRDefault="00F62516" w:rsidP="00D96226">
      <w:pPr>
        <w:ind w:left="284"/>
        <w:rPr>
          <w:rFonts w:eastAsia="Calibri" w:cs="Arial"/>
          <w:b/>
          <w:i/>
          <w:szCs w:val="20"/>
          <w:lang w:val="x-none"/>
        </w:rPr>
      </w:pPr>
      <w:r w:rsidRPr="00AC1530">
        <w:rPr>
          <w:rFonts w:eastAsia="Calibri" w:cs="Arial"/>
          <w:b/>
          <w:i/>
          <w:szCs w:val="20"/>
          <w:lang w:val="x-none"/>
        </w:rPr>
        <w:t>Φόροι και δασμοί επί εισαγωγών</w:t>
      </w:r>
    </w:p>
    <w:p w14:paraId="7D896272" w14:textId="42A9545F" w:rsidR="006202E7" w:rsidRPr="00AC1530" w:rsidRDefault="009622B0" w:rsidP="00AC1530">
      <w:pPr>
        <w:ind w:left="284"/>
      </w:pPr>
      <w:r w:rsidRPr="001039F0">
        <w:t>Στην κατηγορία αυτή περιλαμβάνονται κυρίως οι δασμοί και τα λοιπά τέλη που επιβάλλονται στις εισαγωγές από κράτη μη μέλη της ΕΕ με βάση το κοινό τελωνειακό δασμολόγιο. Εκτιμώνται έσοδα 460 εκατ. ευρώ, αυξημένα κατά 29 εκατ. ευρώ έναντι του στόχου του προϋπολογισμού 2026.</w:t>
      </w:r>
    </w:p>
    <w:p w14:paraId="1A92A08F" w14:textId="77777777" w:rsidR="00F62516" w:rsidRPr="003F0EAA" w:rsidRDefault="00F62516" w:rsidP="00D96226">
      <w:pPr>
        <w:ind w:left="284"/>
        <w:rPr>
          <w:rFonts w:eastAsia="Calibri" w:cs="Arial"/>
          <w:b/>
          <w:i/>
          <w:szCs w:val="20"/>
          <w:lang w:val="x-none"/>
        </w:rPr>
      </w:pPr>
      <w:r w:rsidRPr="003F0EAA">
        <w:rPr>
          <w:rFonts w:eastAsia="Calibri" w:cs="Arial"/>
          <w:b/>
          <w:i/>
          <w:szCs w:val="20"/>
          <w:lang w:val="x-none"/>
        </w:rPr>
        <w:t>Τακτικοί φόροι ακίνητης περιουσίας</w:t>
      </w:r>
    </w:p>
    <w:p w14:paraId="06264C38" w14:textId="7F3AEEFF" w:rsidR="006202E7" w:rsidRPr="00657BE1" w:rsidRDefault="003F0EAA" w:rsidP="00D96226">
      <w:pPr>
        <w:ind w:left="284"/>
        <w:rPr>
          <w:highlight w:val="yellow"/>
          <w:lang w:val="x-none"/>
        </w:rPr>
      </w:pPr>
      <w:r>
        <w:t xml:space="preserve">Οι τακτικοί φόροι ακίνητης περιουσίας, οι οποίοι περιλαμβάνουν κυρίως τον </w:t>
      </w:r>
      <w:r w:rsidR="001C70A4">
        <w:t>Ενιαίο Φόρο Ιδιοκτησίας Ακινήτων (</w:t>
      </w:r>
      <w:r>
        <w:t>ΕΝΦΙΑ</w:t>
      </w:r>
      <w:r w:rsidR="001C70A4">
        <w:t>)</w:t>
      </w:r>
      <w:r>
        <w:t xml:space="preserve">, αναμένεται να διαμορφωθούν στο ύψος των 2.413 εκατ. ευρώ. </w:t>
      </w:r>
      <w:r w:rsidR="001C70A4">
        <w:t xml:space="preserve">Έναντι του </w:t>
      </w:r>
      <w:r>
        <w:t>προηγούμενο</w:t>
      </w:r>
      <w:r w:rsidR="001C70A4">
        <w:t>υ</w:t>
      </w:r>
      <w:r>
        <w:t xml:space="preserve"> οικονομικ</w:t>
      </w:r>
      <w:r w:rsidR="001C70A4">
        <w:t>ού</w:t>
      </w:r>
      <w:r>
        <w:t xml:space="preserve"> έτο</w:t>
      </w:r>
      <w:r w:rsidR="001C70A4">
        <w:t>υ</w:t>
      </w:r>
      <w:r>
        <w:t>ς 2025 το ποσό της βεβαίωσης του ΕΝΦΙΑ είναι μειωμένο κατά 0,6% και αντ</w:t>
      </w:r>
      <w:r w:rsidR="001C70A4">
        <w:t>ίστοιχα</w:t>
      </w:r>
      <w:r w:rsidR="008B56E3">
        <w:t>,</w:t>
      </w:r>
      <w:r w:rsidR="001C70A4">
        <w:t xml:space="preserve"> </w:t>
      </w:r>
      <w:r>
        <w:t>οι φόροι ακίνητης περιουσίας αναμένεται να είναι μειωμένοι κατά 39 εκατ. ευρώ λόγω της παρέμβασης για τη μείωση του ΕΝΦΙΑ κατά 50% για κύριες κατοικίες σε οικισμούς με πληθυσμό έως 1.500 κατοίκους (και την πλήρη κατάργησή του από το έτος 2027).</w:t>
      </w:r>
    </w:p>
    <w:p w14:paraId="0646B1A7" w14:textId="77777777" w:rsidR="00F62516" w:rsidRPr="003F0EAA" w:rsidRDefault="00F62516" w:rsidP="00D71661">
      <w:pPr>
        <w:keepNext/>
        <w:ind w:left="284"/>
        <w:rPr>
          <w:rFonts w:eastAsia="Calibri" w:cs="Arial"/>
          <w:b/>
          <w:i/>
          <w:szCs w:val="20"/>
          <w:lang w:val="x-none"/>
        </w:rPr>
      </w:pPr>
      <w:r w:rsidRPr="003F0EAA">
        <w:rPr>
          <w:rFonts w:eastAsia="Calibri" w:cs="Arial"/>
          <w:b/>
          <w:i/>
          <w:szCs w:val="20"/>
          <w:lang w:val="x-none"/>
        </w:rPr>
        <w:t>Λοιποί φόροι επί παραγωγής</w:t>
      </w:r>
    </w:p>
    <w:p w14:paraId="385D8F6B" w14:textId="16BFCC94" w:rsidR="003F0EAA" w:rsidRPr="00176CC4" w:rsidRDefault="003F0EAA" w:rsidP="003F0EAA">
      <w:pPr>
        <w:ind w:left="284"/>
      </w:pPr>
      <w:r w:rsidRPr="00176CC4">
        <w:t>Τα έσοδα της κατηγορίας αυτής προέρχονται κυρίως από το τέλος επιτηδεύματος</w:t>
      </w:r>
      <w:r>
        <w:t xml:space="preserve">, </w:t>
      </w:r>
      <w:r w:rsidRPr="00176CC4">
        <w:t>από λοιπές επιχειρηματικές και επαγγελματικές άδειες καθώς και από τη συμμετοχή του Ελληνικού Δημοσίου στα κέρδη της ΤτΕ. Οι λοιποί φόροι επί παραγωγής εκτιμάται ότι θα διαμορφωθούν σε 760 εκατ. ευρώ, αυξημένοι κατά 100 εκατ. ευρώ έναντι του στόχου του προϋπολογισμού 2026.</w:t>
      </w:r>
    </w:p>
    <w:p w14:paraId="3BCDC7EE" w14:textId="77777777" w:rsidR="00F62516" w:rsidRPr="003F0EAA" w:rsidRDefault="00F62516" w:rsidP="00DC6F26">
      <w:pPr>
        <w:ind w:left="284"/>
        <w:rPr>
          <w:rFonts w:eastAsia="Calibri" w:cs="Arial"/>
          <w:b/>
          <w:i/>
          <w:szCs w:val="20"/>
          <w:lang w:val="x-none"/>
        </w:rPr>
      </w:pPr>
      <w:r w:rsidRPr="003F0EAA">
        <w:rPr>
          <w:rFonts w:eastAsia="Calibri" w:cs="Arial"/>
          <w:b/>
          <w:i/>
          <w:szCs w:val="20"/>
          <w:lang w:val="x-none"/>
        </w:rPr>
        <w:t>Φόρος εισοδήματος</w:t>
      </w:r>
    </w:p>
    <w:p w14:paraId="607BB8D2" w14:textId="6F72CF9A" w:rsidR="006202E7" w:rsidRPr="003F0EAA" w:rsidRDefault="003F0EAA" w:rsidP="003F0EAA">
      <w:pPr>
        <w:ind w:left="284"/>
      </w:pPr>
      <w:r w:rsidRPr="00176CC4">
        <w:t>Το ύψος του φόρου εισοδήματος (φυσικών προσώπων, νομικών προσώπων και λοιπών κατηγοριών) αναμένεται να διαμορφωθεί στο ποσό των 27.338 εκατ. ευρώ, παρουσιάζοντας αύξηση κατά 581 εκατ. ευρώ ή 2,2% έναντι του στόχου του προϋπολογισμού 2026. Ειδικότερα, εκτιμάται ότι τα έσοδα από τον φόρο εισοδήματος φυσικών προσώπων θα ανέλθουν σε 16.375 εκατ. ευρώ, αυξημένα κατά 560 εκατ. ευρώ ή 3,5%</w:t>
      </w:r>
      <w:r>
        <w:t xml:space="preserve"> </w:t>
      </w:r>
      <w:r w:rsidRPr="00176CC4">
        <w:t xml:space="preserve">από τον στόχο κυρίως λόγω της αύξησης των μισθών και των συντάξεων καθώς και </w:t>
      </w:r>
      <w:r w:rsidR="00287D7F">
        <w:t xml:space="preserve">λόγω </w:t>
      </w:r>
      <w:r w:rsidRPr="00176CC4">
        <w:t>της μείωσης της ανεργίας. Τα έσοδα από τον φόρο εισοδήματος νομικών προσώπων εκτιμώνται στο ποσό των 8.542 εκατ. ευρώ, μειωμένα κατά 34 εκατ. ευρώ από τον στόχο</w:t>
      </w:r>
      <w:r>
        <w:t>.</w:t>
      </w:r>
    </w:p>
    <w:p w14:paraId="056E3572" w14:textId="77777777" w:rsidR="00F62516" w:rsidRPr="003F0EAA" w:rsidRDefault="00F62516" w:rsidP="00DC6F26">
      <w:pPr>
        <w:ind w:left="284"/>
        <w:rPr>
          <w:rFonts w:eastAsia="Calibri" w:cs="Arial"/>
          <w:b/>
          <w:i/>
          <w:szCs w:val="20"/>
          <w:lang w:val="x-none"/>
        </w:rPr>
      </w:pPr>
      <w:r w:rsidRPr="003F0EAA">
        <w:rPr>
          <w:rFonts w:eastAsia="Calibri" w:cs="Arial"/>
          <w:b/>
          <w:i/>
          <w:szCs w:val="20"/>
          <w:lang w:val="x-none"/>
        </w:rPr>
        <w:t>Φόροι κεφαλαίου</w:t>
      </w:r>
    </w:p>
    <w:p w14:paraId="70051221" w14:textId="5D2D8095" w:rsidR="006202E7" w:rsidRPr="00657BE1" w:rsidRDefault="003F0EAA" w:rsidP="000C5A2B">
      <w:pPr>
        <w:ind w:left="284"/>
        <w:rPr>
          <w:highlight w:val="yellow"/>
        </w:rPr>
      </w:pPr>
      <w:r w:rsidRPr="00176CC4">
        <w:t>Στην κατηγορία αυτή περιλαμβάνονται οι φόροι και τα τέλη κληρονομιών, δωρεών, γονικών και λοιπών παροχών. Εκτιμώνται έσοδα ύψους 262 εκατ. ευρώ, αυξημένα κατά 12 εκατ. ευρώ έναντι του στόχου του προϋπολογισμού 2026.</w:t>
      </w:r>
    </w:p>
    <w:p w14:paraId="0D957347" w14:textId="77777777" w:rsidR="00F62516" w:rsidRPr="00A720E2" w:rsidRDefault="00F62516" w:rsidP="00D96226">
      <w:pPr>
        <w:ind w:left="284"/>
        <w:rPr>
          <w:rFonts w:eastAsia="Calibri" w:cs="Arial"/>
          <w:b/>
          <w:i/>
          <w:szCs w:val="20"/>
          <w:lang w:val="x-none"/>
        </w:rPr>
      </w:pPr>
      <w:r w:rsidRPr="00A720E2">
        <w:rPr>
          <w:rFonts w:eastAsia="Calibri" w:cs="Arial"/>
          <w:b/>
          <w:i/>
          <w:szCs w:val="20"/>
          <w:lang w:val="x-none"/>
        </w:rPr>
        <w:t>Λοιποί τρέχοντες φόροι</w:t>
      </w:r>
    </w:p>
    <w:p w14:paraId="397424DD" w14:textId="7A0D1259" w:rsidR="006202E7" w:rsidRPr="00A720E2" w:rsidRDefault="00A720E2" w:rsidP="00600CC0">
      <w:pPr>
        <w:ind w:left="284"/>
      </w:pPr>
      <w:r w:rsidRPr="00176CC4">
        <w:t>Η κατηγορία αυτή περιλαμβάνει κυρίως τα τέλη κυκλοφορίας οχημάτων και τα διάφορα μη ταξινομημένα φορολογικά έσοδα. Τα έσοδα από τους λοιπούς τρέχοντες φόρους αναμένεται να ανέλθουν στο ποσό των 2.244 εκατ. ευρώ, μειωμένα κατά 101 εκατ. ευρώ έναντι του στόχου του προϋπολογισμού 2026 κυρίως λόγω της εκτιμώμενης μείωσης κατά 70 εκατ. ευρώ των εσόδων που καταχωρίζονται στα μη ταξινομημένα φορολογικά έσοδα.</w:t>
      </w:r>
    </w:p>
    <w:p w14:paraId="37B7035C" w14:textId="77777777" w:rsidR="00AF2EB7" w:rsidRPr="00A720E2" w:rsidRDefault="00AF2EB7" w:rsidP="00D96226">
      <w:pPr>
        <w:spacing w:before="240"/>
        <w:rPr>
          <w:rFonts w:cs="Arial"/>
          <w:b/>
          <w:szCs w:val="22"/>
        </w:rPr>
      </w:pPr>
      <w:r w:rsidRPr="00A720E2">
        <w:rPr>
          <w:rFonts w:cs="Arial"/>
          <w:b/>
          <w:szCs w:val="22"/>
        </w:rPr>
        <w:t>Κοινωνικές εισφορές</w:t>
      </w:r>
    </w:p>
    <w:p w14:paraId="0308A86F" w14:textId="25B44072" w:rsidR="006202E7" w:rsidRPr="00A720E2" w:rsidRDefault="00A720E2" w:rsidP="00600CC0">
      <w:r w:rsidRPr="00176CC4">
        <w:t>Η κατηγορία αυτή περιλαμβάνει κυρίως τις εισφορές των εργαζ</w:t>
      </w:r>
      <w:r w:rsidR="0056504B">
        <w:t>ο</w:t>
      </w:r>
      <w:r w:rsidRPr="00176CC4">
        <w:t>μ</w:t>
      </w:r>
      <w:r w:rsidR="0056504B">
        <w:t>έ</w:t>
      </w:r>
      <w:r w:rsidRPr="00176CC4">
        <w:t xml:space="preserve">νων για παροχές υγείας από το Δημόσιο. Εκτιμώνται έσοδα </w:t>
      </w:r>
      <w:r>
        <w:t>58</w:t>
      </w:r>
      <w:r w:rsidRPr="00176CC4">
        <w:t xml:space="preserve"> εκατ. ευρώ, </w:t>
      </w:r>
      <w:r>
        <w:t>μειωμένα κατά 3 εκατ. ευρώ έναντι του στόχου</w:t>
      </w:r>
      <w:r w:rsidR="00341814">
        <w:t>.</w:t>
      </w:r>
    </w:p>
    <w:p w14:paraId="7E324CCA" w14:textId="77777777" w:rsidR="00AF2EB7" w:rsidRPr="00A720E2" w:rsidRDefault="00AF2EB7" w:rsidP="00D96226">
      <w:pPr>
        <w:spacing w:before="240"/>
        <w:rPr>
          <w:rFonts w:cs="Arial"/>
          <w:b/>
          <w:szCs w:val="22"/>
        </w:rPr>
      </w:pPr>
      <w:r w:rsidRPr="00A720E2">
        <w:rPr>
          <w:rFonts w:cs="Arial"/>
          <w:b/>
          <w:szCs w:val="22"/>
        </w:rPr>
        <w:t>Μεταβιβάσεις</w:t>
      </w:r>
    </w:p>
    <w:p w14:paraId="133D6F93" w14:textId="216FF7BF" w:rsidR="00A720E2" w:rsidRPr="009D7977" w:rsidRDefault="00A720E2" w:rsidP="00600CC0">
      <w:r w:rsidRPr="009D7977">
        <w:t>Σ</w:t>
      </w:r>
      <w:r w:rsidR="0056504B">
        <w:t>τ</w:t>
      </w:r>
      <w:r w:rsidRPr="009D7977">
        <w:t xml:space="preserve">ην </w:t>
      </w:r>
      <w:r w:rsidR="0056504B">
        <w:t xml:space="preserve">εν λόγω </w:t>
      </w:r>
      <w:r w:rsidRPr="009D7977">
        <w:t>κατηγορία περιλαμβάνονται κυρίως τα έσοδα από:</w:t>
      </w:r>
    </w:p>
    <w:p w14:paraId="36EE1200" w14:textId="2D62CBF2" w:rsidR="00A720E2" w:rsidRPr="009D7977" w:rsidRDefault="00A720E2" w:rsidP="00A720E2">
      <w:pPr>
        <w:numPr>
          <w:ilvl w:val="0"/>
          <w:numId w:val="1"/>
        </w:numPr>
        <w:spacing w:before="120" w:after="60"/>
        <w:ind w:left="568" w:hanging="284"/>
        <w:rPr>
          <w:rFonts w:cs="Arial"/>
        </w:rPr>
      </w:pPr>
      <w:r w:rsidRPr="009D7977">
        <w:rPr>
          <w:rFonts w:cs="Arial"/>
        </w:rPr>
        <w:t xml:space="preserve">το συγχρηματοδοτούμενο σκέλος του προϋπολογισμού δημοσίων επενδύσεων, τα οποία </w:t>
      </w:r>
      <w:r w:rsidR="00C456AF">
        <w:rPr>
          <w:rFonts w:cs="Arial"/>
        </w:rPr>
        <w:t xml:space="preserve">εκτιμάται ότι θα </w:t>
      </w:r>
      <w:r w:rsidRPr="009D7977">
        <w:rPr>
          <w:rFonts w:cs="Arial"/>
        </w:rPr>
        <w:t>ανέλθουν σε 4.150 εκατ. ευρώ, προσαρμοσμένα κατά ESA, έναντι στόχου 4.580 εκατ. ευρώ καθώς και από μέρος του εθνικού σκέλους του προϋπολογισμού δημοσίων επενδύσεων ύψους 30 εκατ. ευρώ και</w:t>
      </w:r>
    </w:p>
    <w:p w14:paraId="66355B4C" w14:textId="4D948BB9" w:rsidR="00A720E2" w:rsidRPr="009D7977" w:rsidRDefault="00A720E2" w:rsidP="00A720E2">
      <w:pPr>
        <w:numPr>
          <w:ilvl w:val="0"/>
          <w:numId w:val="1"/>
        </w:numPr>
        <w:spacing w:before="60"/>
        <w:ind w:left="568" w:hanging="284"/>
        <w:rPr>
          <w:rFonts w:cs="Arial"/>
        </w:rPr>
      </w:pPr>
      <w:r w:rsidRPr="009D7977">
        <w:rPr>
          <w:rFonts w:cs="Arial"/>
        </w:rPr>
        <w:t>το ΤΑΑ ύψους 6.114 εκατ. ευρώ, προσαρμοσμένα κατά ESA (δαπάνες μείον έσοδα από ΦΠΑ)</w:t>
      </w:r>
      <w:r w:rsidR="00C456AF">
        <w:rPr>
          <w:rFonts w:cs="Arial"/>
        </w:rPr>
        <w:t>,</w:t>
      </w:r>
      <w:r w:rsidRPr="009D7977">
        <w:rPr>
          <w:rFonts w:cs="Arial"/>
        </w:rPr>
        <w:t xml:space="preserve"> έναντι στόχου 5.950 εκατ. ευρώ.</w:t>
      </w:r>
    </w:p>
    <w:p w14:paraId="212261BC" w14:textId="1A72EF13" w:rsidR="008671AE" w:rsidRPr="00A720E2" w:rsidRDefault="00A720E2" w:rsidP="00600CC0">
      <w:pPr>
        <w:rPr>
          <w:rFonts w:cs="Arial"/>
          <w:b/>
          <w:szCs w:val="22"/>
        </w:rPr>
      </w:pPr>
      <w:r w:rsidRPr="009D7977">
        <w:t xml:space="preserve">Το σύνολο των εσόδων από μεταβιβάσεις αναμένεται να ανέλθει στο ποσό των 11.027 εκατ. ευρώ, αυξημένο κατά 98 εκατ. ευρώ έναντι του στόχου του προϋπολογισμού 2026. Επισημαίνεται ότι το ποσό των 4.150 εκατ. ευρώ από το συγχρηματοδοτούμενο σκέλος του </w:t>
      </w:r>
      <w:r w:rsidR="00C456AF">
        <w:t>προϋπολογισμού δημοσίων επενδύσεων</w:t>
      </w:r>
      <w:r w:rsidRPr="009D7977">
        <w:t xml:space="preserve"> περιλαμβάνει προσαρμογή ύψους </w:t>
      </w:r>
      <w:r>
        <w:t>-</w:t>
      </w:r>
      <w:r w:rsidRPr="009D7977">
        <w:t xml:space="preserve">623 εκατ. ευρώ λόγω της επίδρασης των προκαταβολών από τα ευρωπαϊκά προγράμματα, ενώ ο αντίστοιχος στόχος του προϋπολογισμού 2026 ήταν προσαρμογή ύψους </w:t>
      </w:r>
      <w:r>
        <w:t>-</w:t>
      </w:r>
      <w:r w:rsidRPr="009D7977">
        <w:t>430 εκατ. ευρώ και περιλαμβανόταν στην κατηγορία «Λοιπά τρέχοντα έσοδα».</w:t>
      </w:r>
    </w:p>
    <w:p w14:paraId="3F0C3247" w14:textId="77777777" w:rsidR="00AF2EB7" w:rsidRPr="006E3EF6" w:rsidRDefault="00AF2EB7" w:rsidP="00D96226">
      <w:pPr>
        <w:spacing w:before="240"/>
        <w:rPr>
          <w:rFonts w:cs="Arial"/>
          <w:b/>
          <w:szCs w:val="22"/>
        </w:rPr>
      </w:pPr>
      <w:r w:rsidRPr="006E3EF6">
        <w:rPr>
          <w:rFonts w:cs="Arial"/>
          <w:b/>
          <w:szCs w:val="22"/>
        </w:rPr>
        <w:t>Πωλήσεις αγαθών και υπηρεσιών</w:t>
      </w:r>
    </w:p>
    <w:p w14:paraId="51F1A47C" w14:textId="422EEF6C" w:rsidR="008671AE" w:rsidRPr="00BD4205" w:rsidRDefault="00A720E2" w:rsidP="003652CF">
      <w:r w:rsidRPr="009D7977">
        <w:t>Η κατηγορία αυτή περιλαμβάνει κυρίως τα έσοδα από παράβολα, μισθώματα κτηρίων και υποδομών καθώς και από προμήθειες λόγω παροχής εγγύησης του Ελληνικού Δημοσίου. Οι πωλήσεις αγαθών και υπηρεσιών αναμένεται να διαμορφωθούν στο ύψος των 1.340 εκατ. ευρώ, αυξημένες κατά 279 εκατ. ευρώ έναντι του στόχου του προϋπολογισμού 2026</w:t>
      </w:r>
      <w:r w:rsidR="00527DEF">
        <w:t xml:space="preserve">. Η εν λόγω αύξηση οφείλεται </w:t>
      </w:r>
      <w:r w:rsidRPr="009D7977">
        <w:t>κυρίως</w:t>
      </w:r>
      <w:r w:rsidR="00527DEF">
        <w:t xml:space="preserve"> στην</w:t>
      </w:r>
      <w:r>
        <w:t xml:space="preserve"> απόδοση ποσού 172 εκατ. ευρώ, </w:t>
      </w:r>
      <w:r w:rsidR="00527DEF">
        <w:t>το οποίο</w:t>
      </w:r>
      <w:r>
        <w:t xml:space="preserve"> αφορά </w:t>
      </w:r>
      <w:r w:rsidR="00527DEF">
        <w:t>σ</w:t>
      </w:r>
      <w:r>
        <w:t xml:space="preserve">το μεταβλητό αντάλλαγμα (ποσοστό επί των λειτουργικών κερδών) από τη σύμβαση παραχώρησης των </w:t>
      </w:r>
      <w:r w:rsidR="00F23FA2">
        <w:t>π</w:t>
      </w:r>
      <w:r>
        <w:t xml:space="preserve">εριφερειακών </w:t>
      </w:r>
      <w:r w:rsidR="00F23FA2">
        <w:t>α</w:t>
      </w:r>
      <w:r>
        <w:t xml:space="preserve">εροδρομίων </w:t>
      </w:r>
      <w:r w:rsidR="00527DEF">
        <w:t>και</w:t>
      </w:r>
      <w:r>
        <w:t xml:space="preserve"> δεν είχε προβλεφθεί.</w:t>
      </w:r>
    </w:p>
    <w:p w14:paraId="3E4008F5" w14:textId="77777777" w:rsidR="00AF2EB7" w:rsidRPr="0001322B" w:rsidRDefault="00AF2EB7" w:rsidP="00D96226">
      <w:pPr>
        <w:spacing w:before="240"/>
        <w:rPr>
          <w:rFonts w:cs="Arial"/>
          <w:b/>
          <w:szCs w:val="22"/>
        </w:rPr>
      </w:pPr>
      <w:r w:rsidRPr="0001322B">
        <w:rPr>
          <w:rFonts w:cs="Arial"/>
          <w:b/>
          <w:szCs w:val="22"/>
        </w:rPr>
        <w:t>Λοιπά τρέχοντα έσοδα</w:t>
      </w:r>
    </w:p>
    <w:p w14:paraId="0AFAA902" w14:textId="2426E1DA" w:rsidR="006E3EF6" w:rsidRPr="00F15A5C" w:rsidRDefault="006E3EF6" w:rsidP="00600CC0">
      <w:r w:rsidRPr="00F15A5C">
        <w:t>Η κατηγορία αυτή περιλαμβάνει διάφορες κατηγορίες εσόδων με κυριότερες τους τόκους καταθέσεων του Ελληνικού Δημοσίου, τα μερίσματα από τη συμμετοχή του Ελληνικού Δημοσίου στο μετοχικό κεφάλαιο διαφόρων εταιρειών, τους τόκους από ομόλογα που κατέχει το Ελληνικό Δημόσιο, τις διάφορες κατηγορίες προστίμων και προσαυξήσεων, το μεγαλύτερο ποσοστό των εσόδων του εθνικού σκέλους του προϋπολογισμού δημοσίων επενδύσεων</w:t>
      </w:r>
      <w:r w:rsidR="00F1718D" w:rsidRPr="00F1718D">
        <w:t xml:space="preserve"> </w:t>
      </w:r>
      <w:r w:rsidR="00F1718D">
        <w:t>ύψους 170 εκατ. ευρώ</w:t>
      </w:r>
      <w:r w:rsidRPr="00F15A5C">
        <w:t>, το οποίο προέρχεται κυρίως από επιστροφές ποσών από Νομικά Πρόσωπα Δημοσίου Δικαίου (ΝΠΔΔ) για εκτέλεση έργων επενδύσεων</w:t>
      </w:r>
      <w:r w:rsidR="00F1718D">
        <w:t>,</w:t>
      </w:r>
      <w:r w:rsidRPr="00F15A5C">
        <w:t xml:space="preserve"> καθώς και τις επιστροφές ιδίων πόρων από την ΕΕ. Τα λοιπά τρέχοντα έσοδα αναμένεται να διαμορφωθούν σε 3.150 εκατ. ευρώ, αυξημένα κατά 877 εκατ. ευρώ έναντι του στόχου του προϋπολογισμού 2026 κυρίως λόγω:</w:t>
      </w:r>
    </w:p>
    <w:p w14:paraId="4D327576" w14:textId="3141482D" w:rsidR="006E3EF6" w:rsidRPr="006E3EF6" w:rsidRDefault="006E3EF6" w:rsidP="006E3EF6">
      <w:pPr>
        <w:numPr>
          <w:ilvl w:val="0"/>
          <w:numId w:val="1"/>
        </w:numPr>
        <w:spacing w:before="120" w:after="60"/>
        <w:ind w:left="568" w:hanging="284"/>
        <w:rPr>
          <w:rFonts w:cs="Arial"/>
        </w:rPr>
      </w:pPr>
      <w:r w:rsidRPr="006E3EF6">
        <w:rPr>
          <w:rFonts w:cs="Arial"/>
        </w:rPr>
        <w:t>του γεγονότος ότι η προσαρμογή από την επίδραση των προκαταβολών από τα ευρωπαϊκά προγράμματα περιλαμβάνεται πλέον στην κατηγορία «Μεταβιβάσεις», όπως προαναφέρεται. Στον στόχο του προϋπολογισμού 2026 η συγκεκριμένη προσαρμογή ύψους -430 εκατ. ευρώ περιλαμβανόταν στην παρούσα κατηγορία εσόδων,</w:t>
      </w:r>
    </w:p>
    <w:p w14:paraId="23D11180" w14:textId="307AADD5" w:rsidR="006E3EF6" w:rsidRPr="006E3EF6" w:rsidRDefault="006E3EF6" w:rsidP="006E3EF6">
      <w:pPr>
        <w:numPr>
          <w:ilvl w:val="0"/>
          <w:numId w:val="1"/>
        </w:numPr>
        <w:spacing w:before="60" w:after="60"/>
        <w:ind w:left="568" w:hanging="284"/>
        <w:rPr>
          <w:rFonts w:cs="Arial"/>
        </w:rPr>
      </w:pPr>
      <w:r w:rsidRPr="006E3EF6">
        <w:rPr>
          <w:rFonts w:cs="Arial"/>
        </w:rPr>
        <w:t>των αυξημένων εσόδων από τόκους καταθέσεων κατά 117 εκατ. ευρώ και</w:t>
      </w:r>
    </w:p>
    <w:p w14:paraId="39A465A9" w14:textId="720AE717" w:rsidR="003652CF" w:rsidRPr="006E3EF6" w:rsidRDefault="006E3EF6" w:rsidP="006E3EF6">
      <w:pPr>
        <w:numPr>
          <w:ilvl w:val="0"/>
          <w:numId w:val="1"/>
        </w:numPr>
        <w:spacing w:before="60"/>
        <w:ind w:left="568" w:hanging="284"/>
        <w:rPr>
          <w:rFonts w:cs="Arial"/>
        </w:rPr>
      </w:pPr>
      <w:r w:rsidRPr="006E3EF6">
        <w:rPr>
          <w:rFonts w:cs="Arial"/>
        </w:rPr>
        <w:t xml:space="preserve">των αυξημένων εσόδων από μερίσματα φορέων του </w:t>
      </w:r>
      <w:r w:rsidR="00F1718D">
        <w:rPr>
          <w:rFonts w:cs="Arial"/>
        </w:rPr>
        <w:t>Δ</w:t>
      </w:r>
      <w:r w:rsidRPr="006E3EF6">
        <w:rPr>
          <w:rFonts w:cs="Arial"/>
        </w:rPr>
        <w:t>ημοσίου κατά 133 εκατ. ευρώ.</w:t>
      </w:r>
    </w:p>
    <w:p w14:paraId="72DCE93F" w14:textId="77777777" w:rsidR="008766FB" w:rsidRPr="00287BBE" w:rsidRDefault="008766FB" w:rsidP="00B06CA9">
      <w:pPr>
        <w:spacing w:before="240"/>
        <w:rPr>
          <w:rFonts w:cs="Arial"/>
          <w:b/>
          <w:szCs w:val="22"/>
        </w:rPr>
      </w:pPr>
      <w:r w:rsidRPr="00287BBE">
        <w:rPr>
          <w:rFonts w:cs="Arial"/>
          <w:b/>
          <w:szCs w:val="22"/>
        </w:rPr>
        <w:t>Πωλήσεις παγίων περιουσιακών στοιχείων</w:t>
      </w:r>
    </w:p>
    <w:p w14:paraId="1FED0276" w14:textId="2750432F" w:rsidR="00993A8B" w:rsidRPr="00287BBE" w:rsidRDefault="00287BBE" w:rsidP="00600CC0">
      <w:r w:rsidRPr="004A75A1">
        <w:t>Η κατηγορία αυτή αφορά κυρίως σε έσοδα από την αξιοποίηση της ακίνητης περιουσίας του Ελληνικού Δημοσίου μέσω της διαδικασίας αποκρατικοποιήσεων από την Ελληνική Εταιρεία Συμμετοχών και Περιουσίας (ΕΕΣΥΠ). Εκτιμώνται έσοδα ύψους 1 εκατ. ευρώ, μειωμένα κατά 50 εκατ. ευρώ από τον στόχο του προϋπολογισμού 2026.</w:t>
      </w:r>
    </w:p>
    <w:p w14:paraId="628423FC" w14:textId="77777777" w:rsidR="00AF2EB7" w:rsidRPr="00955966" w:rsidRDefault="00AF2EB7" w:rsidP="00D96226">
      <w:pPr>
        <w:spacing w:before="240"/>
        <w:rPr>
          <w:rFonts w:cs="Arial"/>
          <w:b/>
          <w:szCs w:val="22"/>
        </w:rPr>
      </w:pPr>
      <w:r w:rsidRPr="00955966">
        <w:rPr>
          <w:rFonts w:cs="Arial"/>
          <w:b/>
          <w:szCs w:val="22"/>
        </w:rPr>
        <w:t xml:space="preserve">Επιστροφές </w:t>
      </w:r>
      <w:r w:rsidR="00993A8B" w:rsidRPr="00955966">
        <w:rPr>
          <w:rFonts w:cs="Arial"/>
          <w:b/>
          <w:szCs w:val="22"/>
        </w:rPr>
        <w:t>εσόδων</w:t>
      </w:r>
    </w:p>
    <w:p w14:paraId="02656074" w14:textId="7370DA5D" w:rsidR="00A446E3" w:rsidRPr="005E1EAA" w:rsidRDefault="00287BBE" w:rsidP="00600CC0">
      <w:r w:rsidRPr="009C73D1">
        <w:t>Οι επιστροφές αχρεωστήτως εισπραχθέντων εσόδων εκτιμάται ότι θα διαμορφωθούν σε 8.434 εκατ. ευρώ, αυξημένες κατά 396 εκατ. ευρώ έναντι του στόχου του προϋπολογισμού 2026.</w:t>
      </w:r>
      <w:r>
        <w:rPr>
          <w:rFonts w:cs="Arial"/>
        </w:rPr>
        <w:t xml:space="preserve">Το σημαντικότερο μέρος της αύξησης αυτής αφορά </w:t>
      </w:r>
      <w:r w:rsidR="0055531B">
        <w:rPr>
          <w:rFonts w:cs="Arial"/>
        </w:rPr>
        <w:t xml:space="preserve">σε </w:t>
      </w:r>
      <w:r>
        <w:rPr>
          <w:rFonts w:cs="Arial"/>
        </w:rPr>
        <w:t>μη επαναλαμβανόμενες</w:t>
      </w:r>
      <w:r w:rsidR="0055531B">
        <w:rPr>
          <w:rFonts w:cs="Arial"/>
        </w:rPr>
        <w:t xml:space="preserve"> (</w:t>
      </w:r>
      <w:r w:rsidR="0055531B">
        <w:rPr>
          <w:rFonts w:cs="Arial"/>
          <w:lang w:val="en-US"/>
        </w:rPr>
        <w:t>one</w:t>
      </w:r>
      <w:r w:rsidR="0055531B" w:rsidRPr="006C488F">
        <w:rPr>
          <w:rFonts w:cs="Arial"/>
        </w:rPr>
        <w:t xml:space="preserve"> -</w:t>
      </w:r>
      <w:r w:rsidR="0055531B">
        <w:rPr>
          <w:rFonts w:cs="Arial"/>
        </w:rPr>
        <w:t xml:space="preserve"> </w:t>
      </w:r>
      <w:r w:rsidR="0055531B">
        <w:rPr>
          <w:rFonts w:cs="Arial"/>
          <w:lang w:val="en-US"/>
        </w:rPr>
        <w:t>off</w:t>
      </w:r>
      <w:r w:rsidR="0055531B" w:rsidRPr="006C488F">
        <w:rPr>
          <w:rFonts w:cs="Arial"/>
        </w:rPr>
        <w:t>)</w:t>
      </w:r>
      <w:r>
        <w:rPr>
          <w:rFonts w:cs="Arial"/>
        </w:rPr>
        <w:t xml:space="preserve"> επιστροφές εσόδων ΦΠΑ ύψους 306 εκατ. ευρώ από τη σύμβαση παραχώρησης της Εγνατίας Οδού.</w:t>
      </w:r>
    </w:p>
    <w:p w14:paraId="0631F6D2" w14:textId="77777777" w:rsidR="00583814" w:rsidRPr="00955966" w:rsidRDefault="00583814" w:rsidP="00D96226">
      <w:pPr>
        <w:spacing w:before="240"/>
        <w:rPr>
          <w:rFonts w:cs="Arial"/>
          <w:b/>
          <w:szCs w:val="22"/>
        </w:rPr>
      </w:pPr>
      <w:r w:rsidRPr="00955966">
        <w:rPr>
          <w:rFonts w:cs="Arial"/>
          <w:b/>
          <w:szCs w:val="22"/>
        </w:rPr>
        <w:t>Πληροφοριακά στοιχεία</w:t>
      </w:r>
    </w:p>
    <w:p w14:paraId="45D67E01" w14:textId="4ADDD71C" w:rsidR="00583814" w:rsidRPr="00955966" w:rsidRDefault="00583814" w:rsidP="00B06CA9">
      <w:pPr>
        <w:rPr>
          <w:rFonts w:cs="Arial"/>
          <w:b/>
          <w:i/>
          <w:szCs w:val="20"/>
        </w:rPr>
      </w:pPr>
      <w:r w:rsidRPr="00955966">
        <w:rPr>
          <w:rFonts w:cs="Arial"/>
          <w:b/>
          <w:i/>
          <w:szCs w:val="20"/>
        </w:rPr>
        <w:t xml:space="preserve">Έσοδα </w:t>
      </w:r>
      <w:r w:rsidR="00A9330C" w:rsidRPr="00955966">
        <w:rPr>
          <w:rFonts w:cs="Arial"/>
          <w:b/>
          <w:i/>
          <w:szCs w:val="20"/>
        </w:rPr>
        <w:t>Π</w:t>
      </w:r>
      <w:r w:rsidR="00B432AA" w:rsidRPr="00955966">
        <w:rPr>
          <w:rFonts w:cs="Arial"/>
          <w:b/>
          <w:i/>
          <w:szCs w:val="20"/>
        </w:rPr>
        <w:t xml:space="preserve">ροϋπολογισμού </w:t>
      </w:r>
      <w:r w:rsidR="00A9330C" w:rsidRPr="00955966">
        <w:rPr>
          <w:rFonts w:cs="Arial"/>
          <w:b/>
          <w:i/>
          <w:szCs w:val="20"/>
        </w:rPr>
        <w:t>Δ</w:t>
      </w:r>
      <w:r w:rsidRPr="00955966">
        <w:rPr>
          <w:rFonts w:cs="Arial"/>
          <w:b/>
          <w:i/>
          <w:szCs w:val="20"/>
        </w:rPr>
        <w:t xml:space="preserve">ημοσίων </w:t>
      </w:r>
      <w:r w:rsidR="00A9330C" w:rsidRPr="00955966">
        <w:rPr>
          <w:rFonts w:cs="Arial"/>
          <w:b/>
          <w:i/>
          <w:szCs w:val="20"/>
        </w:rPr>
        <w:t>Ε</w:t>
      </w:r>
      <w:r w:rsidRPr="00955966">
        <w:rPr>
          <w:rFonts w:cs="Arial"/>
          <w:b/>
          <w:i/>
          <w:szCs w:val="20"/>
        </w:rPr>
        <w:t>πενδύσεων</w:t>
      </w:r>
    </w:p>
    <w:p w14:paraId="50ACC12C" w14:textId="16D37B34" w:rsidR="00A446E3" w:rsidRPr="00955966" w:rsidRDefault="00242AB0" w:rsidP="00600CC0">
      <w:bookmarkStart w:id="130" w:name="_Hlk115277916"/>
      <w:r w:rsidRPr="003A1398">
        <w:t xml:space="preserve">Τα έσοδα του προϋπολογισμού δημοσίων επενδύσεων περιλαμβάνονται στις κατηγορίες «Μεταβιβάσεις» και «Λοιπά τρέχοντα έσοδα» και αναμένεται να ανέλθουν, προσαρμοσμένα κατά </w:t>
      </w:r>
      <w:r w:rsidRPr="003A1398">
        <w:rPr>
          <w:lang w:val="en-US"/>
        </w:rPr>
        <w:t>ESA</w:t>
      </w:r>
      <w:r w:rsidRPr="003A1398">
        <w:t>, στο ποσό των 4.350 εκατ. ευρώ</w:t>
      </w:r>
      <w:r w:rsidR="00380626">
        <w:t>,</w:t>
      </w:r>
      <w:r w:rsidRPr="003A1398">
        <w:t xml:space="preserve"> χωρίς απόκλιση από τον στόχο του προϋπολογισμού 2026.</w:t>
      </w:r>
    </w:p>
    <w:p w14:paraId="0E7B9738" w14:textId="77777777" w:rsidR="00583814" w:rsidRPr="00955966" w:rsidRDefault="00583814" w:rsidP="00D96226">
      <w:pPr>
        <w:rPr>
          <w:rFonts w:cs="Arial"/>
          <w:b/>
          <w:i/>
          <w:szCs w:val="20"/>
        </w:rPr>
      </w:pPr>
      <w:r w:rsidRPr="00955966">
        <w:rPr>
          <w:rFonts w:cs="Arial"/>
          <w:b/>
          <w:i/>
          <w:szCs w:val="20"/>
        </w:rPr>
        <w:t>Έσοδα Τ</w:t>
      </w:r>
      <w:r w:rsidR="00891898" w:rsidRPr="00955966">
        <w:rPr>
          <w:rFonts w:cs="Arial"/>
          <w:b/>
          <w:i/>
          <w:szCs w:val="20"/>
        </w:rPr>
        <w:t>ΑΑ</w:t>
      </w:r>
    </w:p>
    <w:bookmarkEnd w:id="130"/>
    <w:p w14:paraId="3664F7D7" w14:textId="271620CA" w:rsidR="00A446E3" w:rsidRPr="00597946" w:rsidRDefault="00955966" w:rsidP="00600CC0">
      <w:r w:rsidRPr="003A1398">
        <w:t>Τα έσοδα του ΤΑΑ περιλαμβάνονται στην κατηγορία «Μεταβιβάσεις» και αναμένεται να ανέλθουν, προσαρμοσμένα κατά ESA, στο ποσό των 6.114 εκατ. ευρώ, αυξημένα κατά 164 εκατ. ευρώ από τον στόχο του προϋπολογισμού 2026.</w:t>
      </w:r>
    </w:p>
    <w:p w14:paraId="5A84CB4B" w14:textId="77777777" w:rsidR="0088425F" w:rsidRPr="00E73299" w:rsidRDefault="0088425F" w:rsidP="00DC6F26">
      <w:pPr>
        <w:pStyle w:val="5"/>
        <w:keepNext w:val="0"/>
        <w:numPr>
          <w:ilvl w:val="0"/>
          <w:numId w:val="0"/>
        </w:numPr>
        <w:spacing w:before="360" w:after="240"/>
        <w:rPr>
          <w:bCs/>
          <w:sz w:val="22"/>
          <w:lang w:val="el-GR"/>
        </w:rPr>
      </w:pPr>
      <w:bookmarkStart w:id="131" w:name="_Toc242019543"/>
      <w:r w:rsidRPr="00E73299">
        <w:rPr>
          <w:bCs/>
          <w:sz w:val="22"/>
        </w:rPr>
        <w:t>Δαπάνες</w:t>
      </w:r>
      <w:r w:rsidR="00B2101E" w:rsidRPr="00E73299">
        <w:rPr>
          <w:bCs/>
          <w:sz w:val="22"/>
          <w:lang w:val="el-GR"/>
        </w:rPr>
        <w:t xml:space="preserve"> </w:t>
      </w:r>
      <w:r w:rsidR="00115C25">
        <w:rPr>
          <w:bCs/>
          <w:sz w:val="22"/>
          <w:lang w:val="el-GR"/>
        </w:rPr>
        <w:t>-</w:t>
      </w:r>
      <w:r w:rsidR="00B2101E" w:rsidRPr="00E73299">
        <w:rPr>
          <w:bCs/>
          <w:sz w:val="22"/>
          <w:lang w:val="el-GR"/>
        </w:rPr>
        <w:t xml:space="preserve"> Ανάλυση σε δημοσιονομική βάση</w:t>
      </w:r>
      <w:bookmarkEnd w:id="131"/>
    </w:p>
    <w:p w14:paraId="18E58548" w14:textId="46EF5B49" w:rsidR="00867ED4" w:rsidRPr="00417EF3" w:rsidRDefault="00867ED4" w:rsidP="00867ED4">
      <w:r>
        <w:t xml:space="preserve">Οι </w:t>
      </w:r>
      <w:r w:rsidRPr="009B1308">
        <w:t xml:space="preserve">συνολικές δαπάνες του </w:t>
      </w:r>
      <w:r>
        <w:t>κ</w:t>
      </w:r>
      <w:r w:rsidRPr="009B1308">
        <w:t xml:space="preserve">ρατικού </w:t>
      </w:r>
      <w:r>
        <w:t>π</w:t>
      </w:r>
      <w:r w:rsidRPr="009B1308">
        <w:t xml:space="preserve">ροϋπολογισμού για το έτος 2026 εκτιμάται ότι θα διαμορφωθούν σε 87.971 εκατ. ευρώ, παρουσιάζοντας αύξηση κατά 1.178 εκατ. ευρώ </w:t>
      </w:r>
      <w:r w:rsidR="00186D32">
        <w:t xml:space="preserve">έναντι του </w:t>
      </w:r>
      <w:r w:rsidRPr="009B1308">
        <w:t>στόχο</w:t>
      </w:r>
      <w:r w:rsidR="00186D32">
        <w:t>υ</w:t>
      </w:r>
      <w:r w:rsidRPr="009B1308">
        <w:t xml:space="preserve"> του </w:t>
      </w:r>
      <w:r w:rsidR="00620B22">
        <w:t>π</w:t>
      </w:r>
      <w:r w:rsidRPr="009B1308">
        <w:t xml:space="preserve">ροϋπολογισμού. Η απόκλιση αυτή, όπως προκύπτει από την ανάλυση των δαπανών κατά μείζονα κατηγορία, οφείλεται κυρίως στην αύξηση των μεταβιβαστικών δαπανών, στην επικείμενη ενίσχυση των πιστώσεων του </w:t>
      </w:r>
      <w:r w:rsidR="00186D32" w:rsidRPr="00186D32">
        <w:t>προϋπολογισμού δη</w:t>
      </w:r>
      <w:r w:rsidRPr="00186D32">
        <w:t xml:space="preserve">μοσίων </w:t>
      </w:r>
      <w:r w:rsidR="00186D32" w:rsidRPr="00186D32">
        <w:t>ε</w:t>
      </w:r>
      <w:r w:rsidRPr="00186D32">
        <w:t>πενδύσεων, στην</w:t>
      </w:r>
      <w:r w:rsidRPr="009B1308">
        <w:t xml:space="preserve"> αύξηση των δαπανών για τόκους καθώς</w:t>
      </w:r>
      <w:r>
        <w:t xml:space="preserve"> και στ</w:t>
      </w:r>
      <w:r w:rsidR="00431A63">
        <w:t>ις</w:t>
      </w:r>
      <w:r>
        <w:t xml:space="preserve"> δημοσιονομικ</w:t>
      </w:r>
      <w:r w:rsidR="00431A63">
        <w:t xml:space="preserve">ές </w:t>
      </w:r>
      <w:r>
        <w:t>παρ</w:t>
      </w:r>
      <w:r w:rsidR="00431A63">
        <w:t xml:space="preserve">εμβάσεις </w:t>
      </w:r>
      <w:r>
        <w:t>για την αντιμετώπιση των επιπτώσεων από την αύξηση του ενεργειακού κόστους</w:t>
      </w:r>
      <w:r w:rsidRPr="00E84BBE">
        <w:t>.</w:t>
      </w:r>
      <w:r>
        <w:t xml:space="preserve"> </w:t>
      </w:r>
      <w:r w:rsidRPr="00E84BBE">
        <w:t>Επιπλέον, στην αύξηση των συνολικών δαπανών συ</w:t>
      </w:r>
      <w:r w:rsidR="00826E25">
        <w:t xml:space="preserve">ντελεί </w:t>
      </w:r>
      <w:r w:rsidRPr="00E84BBE">
        <w:t xml:space="preserve">η ενίσχυση των δαπανών για παροχές και αποδοχές των εργαζομένων στο πλαίσιο των σχετικών μεταβολών που επηρεάζουν το μισθολογικό κόστος του Δημοσίου. Αντίθετα, οι διαφοροποιήσεις στις λοιπές κατηγορίες δαπανών οφείλονται, κατά κύριο λόγο, σε ανακατανομές πιστώσεων μεταξύ των μειζόνων κατηγοριών του </w:t>
      </w:r>
      <w:r w:rsidR="00620B22">
        <w:t>κ</w:t>
      </w:r>
      <w:r w:rsidRPr="00E84BBE">
        <w:t xml:space="preserve">ρατικού </w:t>
      </w:r>
      <w:r w:rsidR="00620B22">
        <w:t>π</w:t>
      </w:r>
      <w:r w:rsidRPr="00E84BBE">
        <w:t>ροϋπολογισμού.</w:t>
      </w:r>
    </w:p>
    <w:p w14:paraId="1BE9074A" w14:textId="77777777" w:rsidR="0088425F" w:rsidRPr="00801CD4" w:rsidRDefault="0088425F" w:rsidP="00DC6F26">
      <w:pPr>
        <w:spacing w:before="240"/>
        <w:rPr>
          <w:rFonts w:cs="Arial"/>
          <w:b/>
          <w:szCs w:val="22"/>
        </w:rPr>
      </w:pPr>
      <w:r w:rsidRPr="00801CD4">
        <w:rPr>
          <w:rFonts w:cs="Arial"/>
          <w:b/>
          <w:szCs w:val="22"/>
        </w:rPr>
        <w:t>Παροχές σε εργαζόμενους</w:t>
      </w:r>
    </w:p>
    <w:p w14:paraId="4E28B18B" w14:textId="77777777" w:rsidR="00801CD4" w:rsidRPr="00050A4F" w:rsidRDefault="00801CD4" w:rsidP="00801CD4">
      <w:r w:rsidRPr="00050A4F">
        <w:t>Στην κατηγορία αυτή περιλαμβάνονται οι τακτικές αποδοχές, οι πρόσθετες αποδοχές, οι παροχές σε είδος, οι παροχές κληρωτών και οι αντίστοιχες εργοδοτικές εισφορές αιρετών, οργάνων διοίκησης, τακτικών υπαλλήλων καθώς και των υπαλλήλων με σχέση εργασίας ορισμένου χρόνου.</w:t>
      </w:r>
    </w:p>
    <w:p w14:paraId="0A30018F" w14:textId="77777777" w:rsidR="00801CD4" w:rsidRPr="00050A4F" w:rsidRDefault="00801CD4" w:rsidP="00801CD4">
      <w:r w:rsidRPr="00050A4F">
        <w:t>Για το 2026 οι δαπάνες της ανωτέρω κατηγορίας εκτιμάται ότι θα ανέλθουν σε 16.194 εκατ. ευρώ, αυξημένες κατά 606 εκατ. ευρώ έναντι του στόχου του προϋπολογισμού.</w:t>
      </w:r>
    </w:p>
    <w:p w14:paraId="6EB8792D" w14:textId="77777777" w:rsidR="00801CD4" w:rsidRPr="00050A4F" w:rsidRDefault="00801CD4" w:rsidP="00801CD4">
      <w:r w:rsidRPr="00050A4F">
        <w:t>Η αύξηση αυτή οφείλεται κυρίως στις εκτιμώμενες δαπάνες για:</w:t>
      </w:r>
    </w:p>
    <w:p w14:paraId="5C95ADD3" w14:textId="6AE063F0" w:rsidR="004E4906" w:rsidRPr="00801CD4" w:rsidRDefault="004E4906" w:rsidP="004E4906">
      <w:pPr>
        <w:numPr>
          <w:ilvl w:val="0"/>
          <w:numId w:val="1"/>
        </w:numPr>
        <w:spacing w:before="120" w:after="60"/>
        <w:ind w:left="568" w:hanging="284"/>
        <w:rPr>
          <w:rFonts w:cs="Arial"/>
        </w:rPr>
      </w:pPr>
      <w:r w:rsidRPr="00F03117">
        <w:rPr>
          <w:rFonts w:cs="Arial"/>
        </w:rPr>
        <w:t xml:space="preserve">την ενσωμάτωση </w:t>
      </w:r>
      <w:proofErr w:type="spellStart"/>
      <w:r w:rsidRPr="00F03117">
        <w:rPr>
          <w:rFonts w:cs="Arial"/>
        </w:rPr>
        <w:t>πραγματοποιηθέντων</w:t>
      </w:r>
      <w:proofErr w:type="spellEnd"/>
      <w:r w:rsidRPr="00F03117">
        <w:rPr>
          <w:rFonts w:cs="Arial"/>
        </w:rPr>
        <w:t xml:space="preserve"> διορισμών για τους οποίους η σχετική δαπάνη κατά την κατάρτιση του κρατικού προϋπολογισμού έτους 2026 είχε προβλεφθεί να καλυφθεί από τις υπό κατανομή πιστώσεις</w:t>
      </w:r>
      <w:r>
        <w:rPr>
          <w:rFonts w:cs="Arial"/>
        </w:rPr>
        <w:t>,</w:t>
      </w:r>
    </w:p>
    <w:p w14:paraId="5E9165F0" w14:textId="5F79D9A7" w:rsidR="004E4906" w:rsidRDefault="00801CD4" w:rsidP="004E4906">
      <w:pPr>
        <w:numPr>
          <w:ilvl w:val="0"/>
          <w:numId w:val="1"/>
        </w:numPr>
        <w:spacing w:before="60" w:after="60"/>
        <w:ind w:left="568" w:hanging="284"/>
        <w:rPr>
          <w:rFonts w:cs="Arial"/>
        </w:rPr>
      </w:pPr>
      <w:r w:rsidRPr="00F03117">
        <w:rPr>
          <w:rFonts w:cs="Arial"/>
        </w:rPr>
        <w:t xml:space="preserve">την οριζόντια αύξηση του </w:t>
      </w:r>
      <w:r w:rsidR="004E4906">
        <w:rPr>
          <w:rFonts w:cs="Arial"/>
        </w:rPr>
        <w:t xml:space="preserve">βασικού </w:t>
      </w:r>
      <w:r w:rsidRPr="00F03117">
        <w:rPr>
          <w:rFonts w:cs="Arial"/>
        </w:rPr>
        <w:t>μισθού των δημ</w:t>
      </w:r>
      <w:r w:rsidR="009A21F4">
        <w:rPr>
          <w:rFonts w:cs="Arial"/>
        </w:rPr>
        <w:t>ο</w:t>
      </w:r>
      <w:r w:rsidRPr="00F03117">
        <w:rPr>
          <w:rFonts w:cs="Arial"/>
        </w:rPr>
        <w:t>σ</w:t>
      </w:r>
      <w:r w:rsidR="009A21F4">
        <w:rPr>
          <w:rFonts w:cs="Arial"/>
        </w:rPr>
        <w:t>ί</w:t>
      </w:r>
      <w:r w:rsidRPr="00F03117">
        <w:rPr>
          <w:rFonts w:cs="Arial"/>
        </w:rPr>
        <w:t>ων υπαλλήλων από τον Απρίλιο 2026 λόγω της αύξησης του κατώτατου μισθού</w:t>
      </w:r>
      <w:r w:rsidR="009A21F4">
        <w:rPr>
          <w:rFonts w:cs="Arial"/>
        </w:rPr>
        <w:t xml:space="preserve"> και</w:t>
      </w:r>
    </w:p>
    <w:p w14:paraId="4718551C" w14:textId="7309A510" w:rsidR="00801CD4" w:rsidRPr="004E4906" w:rsidRDefault="004E4906" w:rsidP="004E4906">
      <w:pPr>
        <w:numPr>
          <w:ilvl w:val="0"/>
          <w:numId w:val="1"/>
        </w:numPr>
        <w:spacing w:before="60"/>
        <w:ind w:left="568" w:hanging="284"/>
        <w:rPr>
          <w:rFonts w:cs="Arial"/>
        </w:rPr>
      </w:pPr>
      <w:r w:rsidRPr="004E4906">
        <w:rPr>
          <w:rFonts w:cs="Arial"/>
        </w:rPr>
        <w:t>τον διορισμό 6.048 μόνιμων υπαλλήλων του Υπουργείου Παιδείας, Θρησκευμάτων και Αθλητισμού, εκ των οποίων η πλειονότητα αφορά σε εκπαιδευτικούς πρωτοβάθμιας και δευτεροβάθμιας εκπαίδευσης από τον Σεπτέμβριο 2026</w:t>
      </w:r>
      <w:r>
        <w:rPr>
          <w:rFonts w:cs="Arial"/>
        </w:rPr>
        <w:t>.</w:t>
      </w:r>
    </w:p>
    <w:p w14:paraId="5AEB69F5" w14:textId="18574A4A" w:rsidR="0088425F" w:rsidRPr="000B7B41" w:rsidRDefault="0088425F" w:rsidP="00D96226">
      <w:pPr>
        <w:spacing w:before="240"/>
        <w:rPr>
          <w:rFonts w:cs="Arial"/>
          <w:b/>
          <w:szCs w:val="22"/>
        </w:rPr>
      </w:pPr>
      <w:r w:rsidRPr="000B7B41">
        <w:rPr>
          <w:rFonts w:cs="Arial"/>
          <w:b/>
          <w:szCs w:val="22"/>
        </w:rPr>
        <w:t xml:space="preserve">Κοινωνικές </w:t>
      </w:r>
      <w:r w:rsidR="00AF6057" w:rsidRPr="000B7B41">
        <w:rPr>
          <w:rFonts w:cs="Arial"/>
          <w:b/>
          <w:szCs w:val="22"/>
        </w:rPr>
        <w:t>π</w:t>
      </w:r>
      <w:r w:rsidRPr="000B7B41">
        <w:rPr>
          <w:rFonts w:cs="Arial"/>
          <w:b/>
          <w:szCs w:val="22"/>
        </w:rPr>
        <w:t>αροχές</w:t>
      </w:r>
    </w:p>
    <w:p w14:paraId="144CCB5A" w14:textId="4CAF9496" w:rsidR="000B0AD8" w:rsidRPr="000B7B41" w:rsidRDefault="000B7B41" w:rsidP="00D96226">
      <w:r w:rsidRPr="00CB4A34">
        <w:t>Οι δαπάνες της κατηγορίας αυτής περιλαμβάνουν, μεταξύ άλλων,</w:t>
      </w:r>
      <w:r>
        <w:t xml:space="preserve"> την επιστροφή ενοικίου,</w:t>
      </w:r>
      <w:r w:rsidRPr="00CB4A34">
        <w:t xml:space="preserve"> το επίδομα θέρμανσης, τις συντάξεις που καταβάλλονται απευθείας από το </w:t>
      </w:r>
      <w:r w:rsidR="00B12DB6">
        <w:t>κ</w:t>
      </w:r>
      <w:r w:rsidRPr="00CB4A34">
        <w:t>ράτος (άρθρο 4 παρ.</w:t>
      </w:r>
      <w:r>
        <w:t xml:space="preserve"> </w:t>
      </w:r>
      <w:r w:rsidRPr="00CB4A34">
        <w:t>3 του ν.4387/2016, Α’ 85) καθώς και τις λοιπές παροχές κοινωνικής πρόνοιας σε είδος και σε χρήμα. Το ύψος των εν λόγω δαπανών εκτιμάται ότι θα διαμορφωθεί στο ποσό των 6</w:t>
      </w:r>
      <w:r>
        <w:t>08</w:t>
      </w:r>
      <w:r w:rsidRPr="00CB4A34">
        <w:t xml:space="preserve"> εκατ. ευρώ</w:t>
      </w:r>
      <w:r>
        <w:t>.</w:t>
      </w:r>
    </w:p>
    <w:p w14:paraId="6121EC06" w14:textId="77777777" w:rsidR="007A0841" w:rsidRPr="00001638" w:rsidRDefault="007A0841" w:rsidP="00D96226">
      <w:pPr>
        <w:spacing w:before="240"/>
        <w:rPr>
          <w:rFonts w:cs="Arial"/>
          <w:b/>
          <w:szCs w:val="22"/>
        </w:rPr>
      </w:pPr>
      <w:bookmarkStart w:id="132" w:name="_Hlk115424686"/>
      <w:r w:rsidRPr="00001638">
        <w:rPr>
          <w:rFonts w:cs="Arial"/>
          <w:b/>
          <w:szCs w:val="22"/>
        </w:rPr>
        <w:t>Μεταβιβάσεις</w:t>
      </w:r>
    </w:p>
    <w:p w14:paraId="0BF5C628" w14:textId="57AD4AF5" w:rsidR="00DA5C25" w:rsidRPr="008D16C1" w:rsidRDefault="00DA5C25" w:rsidP="00DA5C25">
      <w:r w:rsidRPr="008D16C1">
        <w:t xml:space="preserve">Οι </w:t>
      </w:r>
      <w:r>
        <w:t xml:space="preserve">εκτιμήσεις </w:t>
      </w:r>
      <w:r w:rsidRPr="008D16C1">
        <w:t>μεταβιβαστικ</w:t>
      </w:r>
      <w:r>
        <w:t>ών</w:t>
      </w:r>
      <w:r w:rsidRPr="008D16C1">
        <w:t xml:space="preserve"> </w:t>
      </w:r>
      <w:r>
        <w:t>δαπανών</w:t>
      </w:r>
      <w:r w:rsidRPr="008D16C1">
        <w:t xml:space="preserve"> περιλαμβάνουν επιχορηγήσεις και αποδόσεις σε υποτομείς της Γενικής Κυβέρνησης, όπως στους ΟΤΑ και </w:t>
      </w:r>
      <w:r>
        <w:t>σ</w:t>
      </w:r>
      <w:r w:rsidRPr="008D16C1">
        <w:t xml:space="preserve">τους ΟΚΑ, στα νοσοκομεία, στις δομές Πρωτοβάθμιας Φροντίδας Υγείας (ΠΦΥ) καθώς και σε λοιπούς φορείς εντός και εκτός </w:t>
      </w:r>
      <w:r w:rsidR="00B12DB6">
        <w:t xml:space="preserve">της </w:t>
      </w:r>
      <w:r w:rsidRPr="008D16C1">
        <w:t>Γενικής Κυβέρνησης, σε οργανισμούς του εξωτερικού και στην ΕΕ. Επίσης, στην εν λόγω μείζονα κατηγορία περιλαμβάνονται οι επιχορηγήσεις για επενδύσεις, οι καταπτώσεις εγγυήσεων, οι αναλήψεις χρεών φορέων της Γενικής Κυβέρνησης καθώς και οι αποζημιώσεις λόγω δικαστικών αποφάσεων.</w:t>
      </w:r>
    </w:p>
    <w:p w14:paraId="5D537303" w14:textId="7DC524B5" w:rsidR="00FA1BBB" w:rsidRPr="00001638" w:rsidRDefault="00DA5C25" w:rsidP="00001638">
      <w:r w:rsidRPr="008D16C1">
        <w:t xml:space="preserve">Οι συνολικές μεταβιβαστικές πληρωμές εκτιμάται ότι θα διαμορφωθούν σε </w:t>
      </w:r>
      <w:r w:rsidRPr="00BC2909">
        <w:t>36.</w:t>
      </w:r>
      <w:r>
        <w:t>3</w:t>
      </w:r>
      <w:r w:rsidRPr="00BC2909">
        <w:t>7</w:t>
      </w:r>
      <w:r>
        <w:t>4</w:t>
      </w:r>
      <w:r w:rsidRPr="008D16C1">
        <w:t xml:space="preserve"> εκατ. ευρώ, αυξημένες κατά </w:t>
      </w:r>
      <w:r>
        <w:t>807</w:t>
      </w:r>
      <w:r w:rsidRPr="008D16C1">
        <w:t xml:space="preserve"> εκατ. ευρώ έναντι του στόχου του προϋπολογισμού. Η κατηγορία αυτή ενισχύθηκε από το </w:t>
      </w:r>
      <w:r w:rsidRPr="008A3A3C">
        <w:t>αποθεματικό</w:t>
      </w:r>
      <w:r>
        <w:t xml:space="preserve"> της παρ.</w:t>
      </w:r>
      <w:r w:rsidR="00001638">
        <w:t xml:space="preserve"> </w:t>
      </w:r>
      <w:r>
        <w:t>1 του άρθρου 59 του ν.4270</w:t>
      </w:r>
      <w:r w:rsidR="00B12DB6">
        <w:t>/2014 (Α’ 143)</w:t>
      </w:r>
      <w:r w:rsidRPr="008A3A3C">
        <w:t xml:space="preserve"> </w:t>
      </w:r>
      <w:r w:rsidRPr="00050A4F">
        <w:t>με 497 εκατ. ευρώ για την εξυπηρέτηση δαπανών επιχορηγήσεων προς τα νομικά πρόσωπα, τα νοσοκομεία και τους ΟΤΑ</w:t>
      </w:r>
      <w:r>
        <w:t>,</w:t>
      </w:r>
      <w:r w:rsidRPr="00050A4F">
        <w:t xml:space="preserve"> με σκοπό την κάλυψη των λειτουργικών τους αναγκών</w:t>
      </w:r>
      <w:r w:rsidR="00C84F83">
        <w:t>,</w:t>
      </w:r>
      <w:r w:rsidRPr="00050A4F">
        <w:t xml:space="preserve"> για την εξόφληση επιδικασθέντων ποσών με τελεσίδικες δικαστικές αποφάσεις</w:t>
      </w:r>
      <w:r w:rsidR="00B238BD">
        <w:t xml:space="preserve"> καθώς</w:t>
      </w:r>
      <w:r w:rsidRPr="00050A4F">
        <w:t xml:space="preserve"> και για την πραγματοποίηση λοιπών κεφαλαιακών μεταβιβάσεων.</w:t>
      </w:r>
    </w:p>
    <w:bookmarkEnd w:id="132"/>
    <w:p w14:paraId="65701F04" w14:textId="4A663728" w:rsidR="00CC5CF7" w:rsidRPr="00001638" w:rsidRDefault="00CC5CF7" w:rsidP="00D96226">
      <w:pPr>
        <w:spacing w:before="240"/>
        <w:rPr>
          <w:rFonts w:cs="Arial"/>
          <w:b/>
          <w:szCs w:val="22"/>
        </w:rPr>
      </w:pPr>
      <w:r w:rsidRPr="00001638">
        <w:rPr>
          <w:rFonts w:cs="Arial"/>
          <w:b/>
          <w:szCs w:val="22"/>
        </w:rPr>
        <w:t>Αγορές αγαθών</w:t>
      </w:r>
      <w:r w:rsidR="00001638" w:rsidRPr="00001638">
        <w:rPr>
          <w:rFonts w:cs="Arial"/>
          <w:b/>
          <w:szCs w:val="22"/>
        </w:rPr>
        <w:t xml:space="preserve">, </w:t>
      </w:r>
      <w:r w:rsidRPr="00001638">
        <w:rPr>
          <w:rFonts w:cs="Arial"/>
          <w:b/>
          <w:szCs w:val="22"/>
        </w:rPr>
        <w:t>υπηρεσιών</w:t>
      </w:r>
      <w:r w:rsidR="00001638" w:rsidRPr="00001638">
        <w:rPr>
          <w:rFonts w:cs="Arial"/>
          <w:b/>
          <w:szCs w:val="22"/>
        </w:rPr>
        <w:t xml:space="preserve"> και αποθεμάτων</w:t>
      </w:r>
    </w:p>
    <w:p w14:paraId="5E37ED42" w14:textId="72FA6AEA" w:rsidR="00B00FCE" w:rsidRPr="00001638" w:rsidRDefault="00001638" w:rsidP="00001638">
      <w:r w:rsidRPr="008D16C1">
        <w:t>Στ</w:t>
      </w:r>
      <w:r>
        <w:t>ις</w:t>
      </w:r>
      <w:r w:rsidRPr="008D16C1">
        <w:t xml:space="preserve"> κατηγορί</w:t>
      </w:r>
      <w:r>
        <w:t>ες</w:t>
      </w:r>
      <w:r w:rsidRPr="008D16C1">
        <w:t xml:space="preserve"> αυτ</w:t>
      </w:r>
      <w:r>
        <w:t>ές</w:t>
      </w:r>
      <w:r w:rsidRPr="008D16C1">
        <w:t xml:space="preserve"> περιλαμβάνονται</w:t>
      </w:r>
      <w:r>
        <w:t xml:space="preserve"> </w:t>
      </w:r>
      <w:r w:rsidRPr="008D16C1">
        <w:t>δαπάνες καταναλωτικού χαρακτήρα</w:t>
      </w:r>
      <w:r w:rsidR="009A01B0">
        <w:t>,</w:t>
      </w:r>
      <w:r>
        <w:t xml:space="preserve"> όπως αγορές αναλωσίμων, αμοιβές </w:t>
      </w:r>
      <w:r w:rsidRPr="00050A4F">
        <w:t>για μεταφορές και επικοινωνίες</w:t>
      </w:r>
      <w:r>
        <w:t>,</w:t>
      </w:r>
      <w:r w:rsidRPr="00050A4F">
        <w:t xml:space="preserve"> </w:t>
      </w:r>
      <w:r>
        <w:t>δ</w:t>
      </w:r>
      <w:r w:rsidRPr="00050A4F">
        <w:t>απάνες ύδρευσης, ενέργειας και καθαριότητας</w:t>
      </w:r>
      <w:r>
        <w:t>, α</w:t>
      </w:r>
      <w:r w:rsidRPr="00050A4F">
        <w:t>μοιβές για συντηρήσεις και επισκευές</w:t>
      </w:r>
      <w:r>
        <w:t>, δ</w:t>
      </w:r>
      <w:r w:rsidRPr="00050A4F">
        <w:t>απάνες μετακίνησης</w:t>
      </w:r>
      <w:r>
        <w:t>, ασφάλιστρα καθώς και αγορές για σχηματισμό αποθεμάτων</w:t>
      </w:r>
      <w:r w:rsidRPr="008D16C1">
        <w:t>. Οι σχετικές δαπάνες για το έτος 202</w:t>
      </w:r>
      <w:r>
        <w:t>6</w:t>
      </w:r>
      <w:r w:rsidRPr="008D16C1">
        <w:t xml:space="preserve"> εκτιμάται ότι θα ανέλθουν σε 2.</w:t>
      </w:r>
      <w:r>
        <w:t>384</w:t>
      </w:r>
      <w:r w:rsidRPr="008D16C1">
        <w:t xml:space="preserve"> εκατ. ευρώ, </w:t>
      </w:r>
      <w:r>
        <w:t>αυξημένες κατά 126</w:t>
      </w:r>
      <w:r w:rsidRPr="008D16C1">
        <w:t xml:space="preserve"> εκατ. ευρώ έναντι του στόχου του προϋπολογισμού ύψους </w:t>
      </w:r>
      <w:r>
        <w:t>2.258</w:t>
      </w:r>
      <w:r w:rsidRPr="008D16C1">
        <w:t xml:space="preserve"> εκατ. ευρώ</w:t>
      </w:r>
      <w:r>
        <w:t>.</w:t>
      </w:r>
    </w:p>
    <w:p w14:paraId="2295D89E" w14:textId="77777777" w:rsidR="00657DB5" w:rsidRPr="006A0423" w:rsidRDefault="00657DB5" w:rsidP="00001638">
      <w:pPr>
        <w:spacing w:before="240"/>
        <w:rPr>
          <w:rFonts w:cs="Arial"/>
          <w:b/>
          <w:szCs w:val="22"/>
        </w:rPr>
      </w:pPr>
      <w:r w:rsidRPr="006A0423">
        <w:rPr>
          <w:rFonts w:cs="Arial"/>
          <w:b/>
          <w:szCs w:val="22"/>
        </w:rPr>
        <w:t>Επιδοτήσεις</w:t>
      </w:r>
    </w:p>
    <w:p w14:paraId="69A3DE7E" w14:textId="0DB5DA03" w:rsidR="008E19DF" w:rsidRPr="006A0423" w:rsidRDefault="006A0423" w:rsidP="00D96226">
      <w:pPr>
        <w:rPr>
          <w:highlight w:val="yellow"/>
        </w:rPr>
      </w:pPr>
      <w:r w:rsidRPr="003B5E14">
        <w:t>Στην κατηγορία</w:t>
      </w:r>
      <w:r>
        <w:t xml:space="preserve"> αυτή περιλαμβάνονται κυρίως λοιπές επιδοτήσεις προϊόντων και υπηρεσιών και ειδικότερα</w:t>
      </w:r>
      <w:r w:rsidR="00C21242">
        <w:t>,</w:t>
      </w:r>
      <w:r>
        <w:t xml:space="preserve"> η δαπάνη για την εφαρμογή του μέτρου επιδότησης </w:t>
      </w:r>
      <w:r w:rsidR="006C1B25">
        <w:t xml:space="preserve">της </w:t>
      </w:r>
      <w:r>
        <w:t xml:space="preserve">τιμής του κόστους πετρελαίου κίνησης (diesel), με σκοπό την αντιμετώπιση των επιπτώσεων από την αύξηση του ενεργειακού κόστους και τη στήριξη των </w:t>
      </w:r>
      <w:proofErr w:type="spellStart"/>
      <w:r>
        <w:t>πληττόμενων</w:t>
      </w:r>
      <w:proofErr w:type="spellEnd"/>
      <w:r>
        <w:t xml:space="preserve"> κλάδων της οικονομίας, καθώς και οι επιδοτήσεις προς συγκοινωνιακούς φορείς και προς τα Ελληνικά Ταχυδρομεία (ΕΛΤΑ) για την παροχή της καθολικής ταχυδρομικής υπηρεσίας.</w:t>
      </w:r>
      <w:r w:rsidRPr="003B5E14">
        <w:t xml:space="preserve"> Η συνολική εκτιμώμενη δαπάνη για την κατηγορία </w:t>
      </w:r>
      <w:r w:rsidR="006C1B25">
        <w:t xml:space="preserve">αυτή </w:t>
      </w:r>
      <w:r w:rsidRPr="003B5E14">
        <w:t xml:space="preserve">ανέρχεται σε </w:t>
      </w:r>
      <w:r>
        <w:t>296</w:t>
      </w:r>
      <w:r w:rsidRPr="003B5E14">
        <w:t xml:space="preserve"> εκατ. ευρώ, αυξημένη κατά </w:t>
      </w:r>
      <w:r>
        <w:t>216</w:t>
      </w:r>
      <w:r w:rsidRPr="003B5E14">
        <w:t xml:space="preserve"> εκατ. ευρώ έναντι του στόχου</w:t>
      </w:r>
      <w:r>
        <w:t xml:space="preserve"> κυρίως λόγω της προαναφερθείσας επιδότησης</w:t>
      </w:r>
      <w:r w:rsidRPr="00F367C9">
        <w:t xml:space="preserve"> </w:t>
      </w:r>
      <w:r w:rsidR="006C1B25">
        <w:t>της</w:t>
      </w:r>
      <w:r>
        <w:t xml:space="preserve"> τιμή</w:t>
      </w:r>
      <w:r w:rsidR="006C1B25">
        <w:t>ς</w:t>
      </w:r>
      <w:r>
        <w:t xml:space="preserve"> του </w:t>
      </w:r>
      <w:r>
        <w:rPr>
          <w:lang w:val="en-US"/>
        </w:rPr>
        <w:t>diesel</w:t>
      </w:r>
      <w:r>
        <w:t>.</w:t>
      </w:r>
    </w:p>
    <w:p w14:paraId="4E9B7159" w14:textId="77777777" w:rsidR="008E19DF" w:rsidRPr="00EA72C3" w:rsidRDefault="008E19DF" w:rsidP="00D96226">
      <w:pPr>
        <w:spacing w:before="240"/>
        <w:rPr>
          <w:rFonts w:cs="Arial"/>
          <w:b/>
          <w:szCs w:val="22"/>
        </w:rPr>
      </w:pPr>
      <w:r w:rsidRPr="00EA72C3">
        <w:rPr>
          <w:rFonts w:cs="Arial"/>
          <w:b/>
          <w:szCs w:val="22"/>
        </w:rPr>
        <w:t>Τόκοι (σε ακαθάριστη βάση)</w:t>
      </w:r>
    </w:p>
    <w:p w14:paraId="3C583A8D" w14:textId="6E080CF2" w:rsidR="00C97807" w:rsidRPr="00EA72C3" w:rsidRDefault="00EA72C3" w:rsidP="00D96226">
      <w:r w:rsidRPr="008D16C1">
        <w:t xml:space="preserve">Η εκτίμηση για τις δαπάνες τόκων σε ακαθάριστη δημοσιονομική βάση </w:t>
      </w:r>
      <w:r w:rsidRPr="00914FDE">
        <w:t>ανέρχεται σε 10.280 εκατ</w:t>
      </w:r>
      <w:r w:rsidRPr="008D16C1">
        <w:t xml:space="preserve">. ευρώ, αυξημένη κατά </w:t>
      </w:r>
      <w:r>
        <w:t>465</w:t>
      </w:r>
      <w:r w:rsidRPr="008D16C1">
        <w:t xml:space="preserve"> εκατ. ευρώ </w:t>
      </w:r>
      <w:r w:rsidR="00FD5F5A">
        <w:t>έναντι του</w:t>
      </w:r>
      <w:r w:rsidRPr="008D16C1">
        <w:t xml:space="preserve"> στόχο</w:t>
      </w:r>
      <w:r w:rsidR="00FD5F5A">
        <w:t>υ</w:t>
      </w:r>
      <w:r w:rsidRPr="008D16C1">
        <w:t xml:space="preserve"> του προϋπολογισμού</w:t>
      </w:r>
      <w:r>
        <w:t xml:space="preserve">, προκειμένου να εξυπηρετηθεί </w:t>
      </w:r>
      <w:r w:rsidR="00591151">
        <w:t>ο σχεδιασμός της</w:t>
      </w:r>
      <w:r>
        <w:t xml:space="preserve"> διαχείρισης του δημοσίου χρέους</w:t>
      </w:r>
      <w:r w:rsidRPr="008D16C1">
        <w:t>.</w:t>
      </w:r>
    </w:p>
    <w:p w14:paraId="1FCAF72F" w14:textId="77777777" w:rsidR="008E19DF" w:rsidRPr="007210FF" w:rsidRDefault="008E19DF" w:rsidP="00D96226">
      <w:pPr>
        <w:spacing w:before="240"/>
        <w:rPr>
          <w:rFonts w:cs="Arial"/>
          <w:b/>
          <w:szCs w:val="22"/>
        </w:rPr>
      </w:pPr>
      <w:r w:rsidRPr="007210FF">
        <w:rPr>
          <w:rFonts w:cs="Arial"/>
          <w:b/>
          <w:szCs w:val="22"/>
        </w:rPr>
        <w:t>Λοιπές δαπάνες</w:t>
      </w:r>
    </w:p>
    <w:p w14:paraId="4879963F" w14:textId="35B8568D" w:rsidR="00C97807" w:rsidRPr="007210FF" w:rsidRDefault="007210FF" w:rsidP="00726784">
      <w:r w:rsidRPr="008D16C1">
        <w:t>Οι λοιπές δαπάνες περιλαμβάνουν κυρίω</w:t>
      </w:r>
      <w:r>
        <w:t>ς την κ</w:t>
      </w:r>
      <w:r w:rsidRPr="004B551C">
        <w:t>αταβολή χρηματικών</w:t>
      </w:r>
      <w:r>
        <w:t xml:space="preserve"> </w:t>
      </w:r>
      <w:r w:rsidRPr="004B551C">
        <w:t>προστίμων που επιβάλλονται από την Ε</w:t>
      </w:r>
      <w:r w:rsidR="00EC0FA3">
        <w:t>Ε</w:t>
      </w:r>
      <w:r w:rsidRPr="004B551C">
        <w:t xml:space="preserve"> καθώς και τις επιστροφές προς την Ε</w:t>
      </w:r>
      <w:r w:rsidR="00EC0FA3">
        <w:t>Ε</w:t>
      </w:r>
      <w:r w:rsidRPr="004B551C">
        <w:t xml:space="preserve"> ποσών που προκύπτουν από ανεκτέλεστα προγράμματα. Η εκτιμώμενη δαπάνη </w:t>
      </w:r>
      <w:r w:rsidR="0085384E">
        <w:t>της εν λόγω</w:t>
      </w:r>
      <w:r w:rsidRPr="004B551C">
        <w:t xml:space="preserve"> κατηγορίας ανέρχεται σε 66 εκατ. ευρώ, παρουσιάζοντας μείωση κατά 35 εκατ. ευρώ έναντι του στόχου του </w:t>
      </w:r>
      <w:r>
        <w:t>π</w:t>
      </w:r>
      <w:r w:rsidRPr="004B551C">
        <w:t>ροϋπολογισμού.</w:t>
      </w:r>
    </w:p>
    <w:p w14:paraId="7B85D65C" w14:textId="5661E249" w:rsidR="008E19DF" w:rsidRPr="00A44FE8" w:rsidRDefault="008E19DF" w:rsidP="00D96226">
      <w:pPr>
        <w:spacing w:before="240"/>
        <w:rPr>
          <w:rFonts w:cs="Arial"/>
          <w:b/>
          <w:szCs w:val="22"/>
        </w:rPr>
      </w:pPr>
      <w:r w:rsidRPr="00A44FE8">
        <w:rPr>
          <w:rFonts w:cs="Arial"/>
          <w:b/>
          <w:szCs w:val="22"/>
        </w:rPr>
        <w:t>Πιστώσεις υπό κατανομή</w:t>
      </w:r>
    </w:p>
    <w:p w14:paraId="6DB05809" w14:textId="68D12758" w:rsidR="00EC0FA3" w:rsidRPr="008D16C1" w:rsidRDefault="00EC0FA3" w:rsidP="00EC0FA3">
      <w:r w:rsidRPr="008D16C1">
        <w:t xml:space="preserve">Στην κατηγορία αυτή περιλαμβάνονται κυρίως </w:t>
      </w:r>
      <w:r>
        <w:t>εκτιμήσεις</w:t>
      </w:r>
      <w:r w:rsidRPr="008D16C1">
        <w:t xml:space="preserve"> για δαπάνες του προϋπολογισμού δημοσίων επενδύσεων</w:t>
      </w:r>
      <w:r>
        <w:t>, του Τ</w:t>
      </w:r>
      <w:r w:rsidR="00A44FE8">
        <w:t>ΑΑ</w:t>
      </w:r>
      <w:r w:rsidRPr="008D16C1">
        <w:t xml:space="preserve"> και των αποθεματικών του κρατικού προϋπολογισμού (παρ.</w:t>
      </w:r>
      <w:r w:rsidR="00A44FE8">
        <w:t xml:space="preserve"> </w:t>
      </w:r>
      <w:r w:rsidRPr="008D16C1">
        <w:t xml:space="preserve">1 και 8 του άρθρου 59 του ν.4270/2014), με το συνολικό ποσό να εκτιμάται σε </w:t>
      </w:r>
      <w:r>
        <w:t>19.300</w:t>
      </w:r>
      <w:r w:rsidRPr="008D16C1">
        <w:t xml:space="preserve"> εκατ. ευρώ. Η εν λόγω μείζονα κατηγορία περιλαμβάνει κυρίως ποσά για:</w:t>
      </w:r>
    </w:p>
    <w:p w14:paraId="212E32C1" w14:textId="7A5DE1F9" w:rsidR="00EC0FA3" w:rsidRPr="00A44FE8" w:rsidRDefault="00EC0FA3" w:rsidP="00EC0FA3">
      <w:pPr>
        <w:numPr>
          <w:ilvl w:val="0"/>
          <w:numId w:val="1"/>
        </w:numPr>
        <w:spacing w:before="120" w:after="60"/>
        <w:ind w:left="568" w:hanging="284"/>
        <w:rPr>
          <w:rFonts w:cs="Arial"/>
        </w:rPr>
      </w:pPr>
      <w:r w:rsidRPr="00A44FE8">
        <w:rPr>
          <w:rFonts w:cs="Arial"/>
        </w:rPr>
        <w:t xml:space="preserve">δαπάνες του </w:t>
      </w:r>
      <w:r w:rsidR="00A44FE8">
        <w:rPr>
          <w:rFonts w:cs="Arial"/>
        </w:rPr>
        <w:t>προϋπολογισμού δημοσίων επενδύσεων</w:t>
      </w:r>
      <w:r w:rsidRPr="00A44FE8">
        <w:rPr>
          <w:rFonts w:cs="Arial"/>
        </w:rPr>
        <w:t xml:space="preserve"> (εθνικού και συγχρηματοδοτούμενου σκέλους) ύψους 9.800 εκατ. ευρώ (συμπεριλαμβανομένης της επικείμενης αύξησης </w:t>
      </w:r>
      <w:r w:rsidR="00CC4415" w:rsidRPr="00A44FE8">
        <w:rPr>
          <w:rFonts w:cs="Arial"/>
        </w:rPr>
        <w:t xml:space="preserve">κατά 300 εκατ. ευρώ </w:t>
      </w:r>
      <w:r w:rsidRPr="00A44FE8">
        <w:rPr>
          <w:rFonts w:cs="Arial"/>
        </w:rPr>
        <w:t xml:space="preserve">σε </w:t>
      </w:r>
      <w:r w:rsidR="00CC4415">
        <w:rPr>
          <w:rFonts w:cs="Arial"/>
        </w:rPr>
        <w:t>σύγκριση</w:t>
      </w:r>
      <w:r w:rsidRPr="00A44FE8">
        <w:rPr>
          <w:rFonts w:cs="Arial"/>
        </w:rPr>
        <w:t xml:space="preserve"> με τον στόχο του προϋπολογισμού),</w:t>
      </w:r>
    </w:p>
    <w:p w14:paraId="045DD5BB" w14:textId="36567286" w:rsidR="00EC0FA3" w:rsidRPr="00A44FE8" w:rsidRDefault="00EC0FA3" w:rsidP="00EC0FA3">
      <w:pPr>
        <w:numPr>
          <w:ilvl w:val="0"/>
          <w:numId w:val="1"/>
        </w:numPr>
        <w:spacing w:before="60" w:after="60"/>
        <w:ind w:left="568" w:hanging="284"/>
        <w:rPr>
          <w:rFonts w:cs="Arial"/>
        </w:rPr>
      </w:pPr>
      <w:r w:rsidRPr="00A44FE8">
        <w:rPr>
          <w:rFonts w:cs="Arial"/>
        </w:rPr>
        <w:t>δαπάνες του επιχορηγούμενου σκέλους του ΤΑΑ ύψους 7.192 εκατ. ευρώ,</w:t>
      </w:r>
    </w:p>
    <w:p w14:paraId="1EDD2294" w14:textId="2DD8FCF1" w:rsidR="00EC0FA3" w:rsidRPr="00A44FE8" w:rsidRDefault="00EC0FA3" w:rsidP="00EC0FA3">
      <w:pPr>
        <w:numPr>
          <w:ilvl w:val="0"/>
          <w:numId w:val="1"/>
        </w:numPr>
        <w:spacing w:before="60" w:after="60"/>
        <w:ind w:left="568" w:hanging="284"/>
        <w:rPr>
          <w:rFonts w:cs="Arial"/>
        </w:rPr>
      </w:pPr>
      <w:r w:rsidRPr="00A44FE8">
        <w:rPr>
          <w:rFonts w:cs="Arial"/>
        </w:rPr>
        <w:t>εναπομείναν αποθεματικό (παρ.</w:t>
      </w:r>
      <w:r w:rsidR="00A44FE8">
        <w:rPr>
          <w:rFonts w:cs="Arial"/>
        </w:rPr>
        <w:t xml:space="preserve"> </w:t>
      </w:r>
      <w:r w:rsidRPr="00A44FE8">
        <w:rPr>
          <w:rFonts w:cs="Arial"/>
        </w:rPr>
        <w:t>1 και 8 του άρθρου 59 του ν.4270/2014) ύψους 411 εκατ. ευρώ έως το τέλος Ιουνίου,</w:t>
      </w:r>
    </w:p>
    <w:p w14:paraId="248451B9" w14:textId="77777777" w:rsidR="00EC0FA3" w:rsidRPr="00A44FE8" w:rsidRDefault="00EC0FA3" w:rsidP="00EC0FA3">
      <w:pPr>
        <w:numPr>
          <w:ilvl w:val="0"/>
          <w:numId w:val="1"/>
        </w:numPr>
        <w:spacing w:before="60" w:after="60"/>
        <w:ind w:left="568" w:hanging="284"/>
        <w:rPr>
          <w:rFonts w:cs="Arial"/>
        </w:rPr>
      </w:pPr>
      <w:r w:rsidRPr="00A44FE8">
        <w:rPr>
          <w:rFonts w:cs="Arial"/>
        </w:rPr>
        <w:t>δαπάνες για νέες προσλήψεις προσωπικού του οποίου η μισθοδοσία καλύπτεται από τον τακτικό προϋπολογισμό καθώς και για λοιπές μισθολογικές δαπάνες, συνολικού ύψους 211 εκατ. ευρώ,</w:t>
      </w:r>
    </w:p>
    <w:p w14:paraId="033FE467" w14:textId="3DD9B7F3" w:rsidR="00EC0FA3" w:rsidRPr="00A44FE8" w:rsidRDefault="00EC0FA3" w:rsidP="00EC0FA3">
      <w:pPr>
        <w:numPr>
          <w:ilvl w:val="0"/>
          <w:numId w:val="1"/>
        </w:numPr>
        <w:spacing w:before="60" w:after="60"/>
        <w:ind w:left="568" w:hanging="284"/>
        <w:rPr>
          <w:rFonts w:cs="Arial"/>
        </w:rPr>
      </w:pPr>
      <w:r w:rsidRPr="00A44FE8">
        <w:rPr>
          <w:rFonts w:cs="Arial"/>
        </w:rPr>
        <w:t xml:space="preserve">δαπάνες ύψους 168 εκατ. ευρώ για τη διαχείριση των μεταναστευτικών ροών, προς εξυπηρέτηση σχετικών αναγκών των αρμόδιων με τις μεταναστευτικές ροές </w:t>
      </w:r>
      <w:r w:rsidR="003B13CD">
        <w:rPr>
          <w:rFonts w:cs="Arial"/>
        </w:rPr>
        <w:t>Υ</w:t>
      </w:r>
      <w:r w:rsidRPr="00A44FE8">
        <w:rPr>
          <w:rFonts w:cs="Arial"/>
        </w:rPr>
        <w:t>πουργείων,</w:t>
      </w:r>
    </w:p>
    <w:p w14:paraId="4529EDC1" w14:textId="160DD719" w:rsidR="00EC0FA3" w:rsidRPr="00A44FE8" w:rsidRDefault="00EC0FA3" w:rsidP="00A44FE8">
      <w:pPr>
        <w:numPr>
          <w:ilvl w:val="0"/>
          <w:numId w:val="1"/>
        </w:numPr>
        <w:spacing w:before="60" w:after="60"/>
        <w:ind w:left="568" w:hanging="284"/>
        <w:rPr>
          <w:rFonts w:cs="Arial"/>
        </w:rPr>
      </w:pPr>
      <w:r w:rsidRPr="00A44FE8">
        <w:rPr>
          <w:rFonts w:cs="Arial"/>
        </w:rPr>
        <w:t>λοιπές δαπάνες κοινωνικής ασφάλισης</w:t>
      </w:r>
      <w:r w:rsidR="003F2500">
        <w:rPr>
          <w:rFonts w:cs="Arial"/>
        </w:rPr>
        <w:t xml:space="preserve">, </w:t>
      </w:r>
      <w:r w:rsidRPr="00A44FE8">
        <w:rPr>
          <w:rFonts w:cs="Arial"/>
        </w:rPr>
        <w:t xml:space="preserve">κοινωνικής προστασίας </w:t>
      </w:r>
      <w:r w:rsidR="003F2500">
        <w:rPr>
          <w:rFonts w:cs="Arial"/>
        </w:rPr>
        <w:t xml:space="preserve">καθώς και </w:t>
      </w:r>
      <w:r w:rsidR="00234317">
        <w:rPr>
          <w:rFonts w:cs="Arial"/>
        </w:rPr>
        <w:t xml:space="preserve">για </w:t>
      </w:r>
      <w:r w:rsidR="00CF2269">
        <w:rPr>
          <w:rFonts w:cs="Arial"/>
        </w:rPr>
        <w:t>π</w:t>
      </w:r>
      <w:r w:rsidR="003F2500">
        <w:rPr>
          <w:rFonts w:cs="Arial"/>
        </w:rPr>
        <w:t>αροχ</w:t>
      </w:r>
      <w:r w:rsidR="00234317">
        <w:rPr>
          <w:rFonts w:cs="Arial"/>
        </w:rPr>
        <w:t>ές</w:t>
      </w:r>
      <w:r w:rsidR="003F2500">
        <w:rPr>
          <w:rFonts w:cs="Arial"/>
        </w:rPr>
        <w:t xml:space="preserve"> υγείας, </w:t>
      </w:r>
      <w:r w:rsidRPr="00A44FE8">
        <w:rPr>
          <w:rFonts w:cs="Arial"/>
        </w:rPr>
        <w:t>ύψους 348 εκατ. ευρώ και</w:t>
      </w:r>
    </w:p>
    <w:p w14:paraId="7492D0A4" w14:textId="792035B7" w:rsidR="00EC0FA3" w:rsidRPr="00A44FE8" w:rsidRDefault="00EC0FA3" w:rsidP="00A44FE8">
      <w:pPr>
        <w:numPr>
          <w:ilvl w:val="0"/>
          <w:numId w:val="1"/>
        </w:numPr>
        <w:spacing w:before="60"/>
        <w:ind w:left="568" w:hanging="284"/>
        <w:rPr>
          <w:rFonts w:cs="Arial"/>
        </w:rPr>
      </w:pPr>
      <w:r w:rsidRPr="00A44FE8">
        <w:rPr>
          <w:rFonts w:cs="Arial"/>
        </w:rPr>
        <w:t xml:space="preserve">ανάγκες των </w:t>
      </w:r>
      <w:r w:rsidR="00C14C62">
        <w:rPr>
          <w:rFonts w:cs="Arial"/>
        </w:rPr>
        <w:t>Υ</w:t>
      </w:r>
      <w:r w:rsidRPr="00A44FE8">
        <w:rPr>
          <w:rFonts w:cs="Arial"/>
        </w:rPr>
        <w:t>πουργείων ύψους 600 εκατ. ευρώ.</w:t>
      </w:r>
    </w:p>
    <w:p w14:paraId="3F5B1804" w14:textId="14B4E5C8" w:rsidR="00EC0FA3" w:rsidRPr="008D16C1" w:rsidRDefault="00EC0FA3" w:rsidP="00B64560">
      <w:r w:rsidRPr="008D16C1">
        <w:t>Τέλος, τονίζεται ότι οι πιστώσεις από το αποθεματικό του κρατικού προϋπολογισμού (παρ.</w:t>
      </w:r>
      <w:r w:rsidR="00C14C62">
        <w:t xml:space="preserve"> </w:t>
      </w:r>
      <w:r w:rsidRPr="008D16C1">
        <w:t>1 και</w:t>
      </w:r>
      <w:r w:rsidR="006E59F0">
        <w:t xml:space="preserve"> </w:t>
      </w:r>
      <w:r w:rsidRPr="008D16C1">
        <w:t>8 του</w:t>
      </w:r>
      <w:r w:rsidR="006E59F0">
        <w:t xml:space="preserve"> άρθρου 59 του</w:t>
      </w:r>
      <w:r w:rsidRPr="008D16C1">
        <w:t xml:space="preserve"> ν.4270/2014) κατανέμονται κατά τη διάρκεια του έτους προς κάλυψη </w:t>
      </w:r>
      <w:r w:rsidR="008326C1">
        <w:t>έ</w:t>
      </w:r>
      <w:r w:rsidRPr="008D16C1">
        <w:t>κτ</w:t>
      </w:r>
      <w:r w:rsidR="008326C1">
        <w:t>α</w:t>
      </w:r>
      <w:r w:rsidRPr="008D16C1">
        <w:t>κτων δαπανών. Μέχρι τα τέλη Ιου</w:t>
      </w:r>
      <w:r>
        <w:t>ν</w:t>
      </w:r>
      <w:r w:rsidRPr="008D16C1">
        <w:t>ίου 202</w:t>
      </w:r>
      <w:r>
        <w:t>6</w:t>
      </w:r>
      <w:r w:rsidRPr="008D16C1">
        <w:t xml:space="preserve"> είχαν διατεθεί </w:t>
      </w:r>
      <w:r>
        <w:t>839</w:t>
      </w:r>
      <w:r w:rsidRPr="008D16C1">
        <w:t xml:space="preserve"> εκατ. ευρώ, προκειμένου να αντιμετωπιστούν δαπάνες κυρίως για την:</w:t>
      </w:r>
    </w:p>
    <w:p w14:paraId="24B535C9" w14:textId="77777777" w:rsidR="00EC0FA3" w:rsidRPr="00A44FE8" w:rsidRDefault="00EC0FA3" w:rsidP="00EC0FA3">
      <w:pPr>
        <w:numPr>
          <w:ilvl w:val="0"/>
          <w:numId w:val="1"/>
        </w:numPr>
        <w:spacing w:before="120" w:after="60"/>
        <w:ind w:left="568" w:hanging="284"/>
        <w:rPr>
          <w:rFonts w:cs="Arial"/>
        </w:rPr>
      </w:pPr>
      <w:r w:rsidRPr="00A44FE8">
        <w:rPr>
          <w:rFonts w:cs="Arial"/>
        </w:rPr>
        <w:t>εκτέλεση τελεσίδικων και αμετάκλητων δικαστικών αποφάσεων,</w:t>
      </w:r>
    </w:p>
    <w:p w14:paraId="56DD1BD0" w14:textId="77777777" w:rsidR="00EC0FA3" w:rsidRPr="00A44FE8" w:rsidRDefault="00EC0FA3" w:rsidP="00EC0FA3">
      <w:pPr>
        <w:numPr>
          <w:ilvl w:val="0"/>
          <w:numId w:val="1"/>
        </w:numPr>
        <w:spacing w:before="60" w:after="60"/>
        <w:ind w:left="568" w:hanging="284"/>
        <w:rPr>
          <w:rFonts w:cs="Arial"/>
        </w:rPr>
      </w:pPr>
      <w:r w:rsidRPr="00A44FE8">
        <w:rPr>
          <w:rFonts w:cs="Arial"/>
        </w:rPr>
        <w:t>αντιμετώπιση φυσικών καταστροφών και την ενίσχυση των πληγέντων,</w:t>
      </w:r>
    </w:p>
    <w:p w14:paraId="7B80D273" w14:textId="4A914299" w:rsidR="00EC0FA3" w:rsidRPr="00A44FE8" w:rsidRDefault="00EC0FA3" w:rsidP="00EC0FA3">
      <w:pPr>
        <w:numPr>
          <w:ilvl w:val="0"/>
          <w:numId w:val="1"/>
        </w:numPr>
        <w:spacing w:before="60" w:after="60"/>
        <w:ind w:left="568" w:hanging="284"/>
        <w:rPr>
          <w:rFonts w:cs="Arial"/>
        </w:rPr>
      </w:pPr>
      <w:r w:rsidRPr="00A44FE8">
        <w:rPr>
          <w:rFonts w:cs="Arial"/>
        </w:rPr>
        <w:t>ενίσχυση των Ο</w:t>
      </w:r>
      <w:r w:rsidR="00C14C62">
        <w:rPr>
          <w:rFonts w:cs="Arial"/>
        </w:rPr>
        <w:t>ΤΑ</w:t>
      </w:r>
      <w:r w:rsidRPr="00A44FE8">
        <w:rPr>
          <w:rFonts w:cs="Arial"/>
        </w:rPr>
        <w:t>,</w:t>
      </w:r>
    </w:p>
    <w:p w14:paraId="18168874" w14:textId="00A4BF04" w:rsidR="00EC0FA3" w:rsidRPr="00A44FE8" w:rsidRDefault="00EC0FA3" w:rsidP="00A44FE8">
      <w:pPr>
        <w:numPr>
          <w:ilvl w:val="0"/>
          <w:numId w:val="1"/>
        </w:numPr>
        <w:spacing w:before="60" w:after="60"/>
        <w:ind w:left="568" w:hanging="284"/>
        <w:rPr>
          <w:rFonts w:cs="Arial"/>
        </w:rPr>
      </w:pPr>
      <w:r w:rsidRPr="00A44FE8">
        <w:rPr>
          <w:rFonts w:cs="Arial"/>
        </w:rPr>
        <w:t xml:space="preserve">κάλυψη πρόσθετων, </w:t>
      </w:r>
      <w:r w:rsidR="008326C1">
        <w:rPr>
          <w:rFonts w:cs="Arial"/>
        </w:rPr>
        <w:t>έ</w:t>
      </w:r>
      <w:r w:rsidRPr="00A44FE8">
        <w:rPr>
          <w:rFonts w:cs="Arial"/>
        </w:rPr>
        <w:t>κτ</w:t>
      </w:r>
      <w:r w:rsidR="008326C1">
        <w:rPr>
          <w:rFonts w:cs="Arial"/>
        </w:rPr>
        <w:t>α</w:t>
      </w:r>
      <w:r w:rsidRPr="00A44FE8">
        <w:rPr>
          <w:rFonts w:cs="Arial"/>
        </w:rPr>
        <w:t>κτων, λειτουργικών δαπανών των φορέων της Κεντρικής Διοίκησης,</w:t>
      </w:r>
    </w:p>
    <w:p w14:paraId="337D9B97" w14:textId="0BCC2ECE" w:rsidR="00EC0FA3" w:rsidRPr="00A44FE8" w:rsidRDefault="00EC0FA3" w:rsidP="00A44FE8">
      <w:pPr>
        <w:numPr>
          <w:ilvl w:val="0"/>
          <w:numId w:val="1"/>
        </w:numPr>
        <w:spacing w:before="60" w:after="60"/>
        <w:ind w:left="568" w:hanging="284"/>
        <w:rPr>
          <w:rFonts w:cs="Arial"/>
        </w:rPr>
      </w:pPr>
      <w:r w:rsidRPr="00A44FE8">
        <w:rPr>
          <w:rFonts w:cs="Arial"/>
        </w:rPr>
        <w:t xml:space="preserve">αντιμετώπιση της αύξησης του ενεργειακού κόστους (επιδότηση τιμής στο diesel) καθώς και για το </w:t>
      </w:r>
      <w:r w:rsidR="00C14C62">
        <w:rPr>
          <w:rFonts w:cs="Arial"/>
          <w:lang w:val="en-US"/>
        </w:rPr>
        <w:t>fuel</w:t>
      </w:r>
      <w:r w:rsidRPr="00A44FE8">
        <w:rPr>
          <w:rFonts w:cs="Arial"/>
        </w:rPr>
        <w:t xml:space="preserve"> </w:t>
      </w:r>
      <w:r w:rsidR="00C14C62">
        <w:rPr>
          <w:rFonts w:cs="Arial"/>
          <w:lang w:val="en-US"/>
        </w:rPr>
        <w:t>p</w:t>
      </w:r>
      <w:r w:rsidRPr="00A44FE8">
        <w:rPr>
          <w:rFonts w:cs="Arial"/>
        </w:rPr>
        <w:t>ass,</w:t>
      </w:r>
    </w:p>
    <w:p w14:paraId="74C6B456" w14:textId="5484D6D9" w:rsidR="00EC0FA3" w:rsidRPr="00A44FE8" w:rsidRDefault="00EC0FA3" w:rsidP="00A44FE8">
      <w:pPr>
        <w:numPr>
          <w:ilvl w:val="0"/>
          <w:numId w:val="1"/>
        </w:numPr>
        <w:spacing w:before="60" w:after="60"/>
        <w:ind w:left="568" w:hanging="284"/>
        <w:rPr>
          <w:rFonts w:cs="Arial"/>
        </w:rPr>
      </w:pPr>
      <w:r w:rsidRPr="00A44FE8">
        <w:rPr>
          <w:rFonts w:cs="Arial"/>
        </w:rPr>
        <w:t xml:space="preserve">επιπρόσθετη επιχορήγηση της εταιρείας </w:t>
      </w:r>
      <w:r w:rsidR="00C14C62">
        <w:rPr>
          <w:rFonts w:cs="Arial"/>
        </w:rPr>
        <w:t>«</w:t>
      </w:r>
      <w:r w:rsidRPr="00A44FE8">
        <w:rPr>
          <w:rFonts w:cs="Arial"/>
        </w:rPr>
        <w:t>Σιδηρόδρομοι Ελλάδος ΜΑΕ</w:t>
      </w:r>
      <w:r w:rsidR="00C14C62">
        <w:rPr>
          <w:rFonts w:cs="Arial"/>
        </w:rPr>
        <w:t>»</w:t>
      </w:r>
      <w:r w:rsidRPr="00A44FE8">
        <w:rPr>
          <w:rFonts w:cs="Arial"/>
        </w:rPr>
        <w:t xml:space="preserve"> για την αναβάθμιση και την ασφάλεια του σιδηροδρομικού δικτύου, </w:t>
      </w:r>
      <w:r w:rsidR="008326C1">
        <w:rPr>
          <w:rFonts w:cs="Arial"/>
        </w:rPr>
        <w:t xml:space="preserve">σύμφωνα με το </w:t>
      </w:r>
      <w:r w:rsidRPr="00A44FE8">
        <w:rPr>
          <w:rFonts w:cs="Arial"/>
        </w:rPr>
        <w:t>άρθρο 94 του ν.5290/2026</w:t>
      </w:r>
      <w:r w:rsidR="008326C1">
        <w:rPr>
          <w:rFonts w:cs="Arial"/>
        </w:rPr>
        <w:t xml:space="preserve"> (Α’ 47)</w:t>
      </w:r>
      <w:r w:rsidRPr="00A44FE8">
        <w:rPr>
          <w:rFonts w:cs="Arial"/>
        </w:rPr>
        <w:t>,</w:t>
      </w:r>
    </w:p>
    <w:p w14:paraId="06014833" w14:textId="6EB4F29D" w:rsidR="00EC0FA3" w:rsidRPr="00A44FE8" w:rsidRDefault="00021A1C" w:rsidP="00A44FE8">
      <w:pPr>
        <w:numPr>
          <w:ilvl w:val="0"/>
          <w:numId w:val="1"/>
        </w:numPr>
        <w:spacing w:before="60" w:after="60"/>
        <w:ind w:left="568" w:hanging="284"/>
        <w:rPr>
          <w:rFonts w:cs="Arial"/>
        </w:rPr>
      </w:pPr>
      <w:r>
        <w:rPr>
          <w:rFonts w:cs="Arial"/>
        </w:rPr>
        <w:t xml:space="preserve">κάλυψη λειτουργικών δαπανών λόγω της </w:t>
      </w:r>
      <w:r w:rsidR="00EC0FA3" w:rsidRPr="00A44FE8">
        <w:rPr>
          <w:rFonts w:cs="Arial"/>
        </w:rPr>
        <w:t>μεταφορά</w:t>
      </w:r>
      <w:r>
        <w:rPr>
          <w:rFonts w:cs="Arial"/>
        </w:rPr>
        <w:t>ς</w:t>
      </w:r>
      <w:r w:rsidR="00EC0FA3" w:rsidRPr="00A44FE8">
        <w:rPr>
          <w:rFonts w:cs="Arial"/>
        </w:rPr>
        <w:t xml:space="preserve"> των αρμοδιοτήτων του</w:t>
      </w:r>
      <w:r w:rsidR="002114E0">
        <w:rPr>
          <w:rFonts w:cs="Arial"/>
        </w:rPr>
        <w:t xml:space="preserve"> </w:t>
      </w:r>
      <w:r w:rsidR="002114E0" w:rsidRPr="002114E0">
        <w:rPr>
          <w:rFonts w:cs="Arial"/>
        </w:rPr>
        <w:t>Οργανισμ</w:t>
      </w:r>
      <w:r w:rsidR="002114E0">
        <w:rPr>
          <w:rFonts w:cs="Arial"/>
        </w:rPr>
        <w:t>ού</w:t>
      </w:r>
      <w:r w:rsidR="002114E0" w:rsidRPr="002114E0">
        <w:rPr>
          <w:rFonts w:cs="Arial"/>
        </w:rPr>
        <w:t xml:space="preserve"> Πληρωμών και Ελέγχου Κοινοτικών Ενισχύσεων Προσανατολισμού και Εγγυήσεων</w:t>
      </w:r>
      <w:r w:rsidR="00EC0FA3" w:rsidRPr="00A44FE8">
        <w:rPr>
          <w:rFonts w:cs="Arial"/>
        </w:rPr>
        <w:t xml:space="preserve"> </w:t>
      </w:r>
      <w:r w:rsidR="002114E0">
        <w:rPr>
          <w:rFonts w:cs="Arial"/>
        </w:rPr>
        <w:t>(</w:t>
      </w:r>
      <w:r w:rsidR="00EC0FA3" w:rsidRPr="00A44FE8">
        <w:rPr>
          <w:rFonts w:cs="Arial"/>
        </w:rPr>
        <w:t>ΟΠΕΚΕΠΕ</w:t>
      </w:r>
      <w:r w:rsidR="002114E0">
        <w:rPr>
          <w:rFonts w:cs="Arial"/>
        </w:rPr>
        <w:t>)</w:t>
      </w:r>
      <w:r w:rsidR="00EC0FA3" w:rsidRPr="00A44FE8">
        <w:rPr>
          <w:rFonts w:cs="Arial"/>
        </w:rPr>
        <w:t xml:space="preserve"> στην </w:t>
      </w:r>
      <w:r w:rsidR="002114E0">
        <w:rPr>
          <w:rFonts w:cs="Arial"/>
        </w:rPr>
        <w:t>Ανεξάρτητη Αρχή Δημοσίων Εσόδων (</w:t>
      </w:r>
      <w:r w:rsidR="00EC0FA3" w:rsidRPr="00A44FE8">
        <w:rPr>
          <w:rFonts w:cs="Arial"/>
        </w:rPr>
        <w:t>ΑΑΔΕ</w:t>
      </w:r>
      <w:r w:rsidR="002114E0">
        <w:rPr>
          <w:rFonts w:cs="Arial"/>
        </w:rPr>
        <w:t>)</w:t>
      </w:r>
      <w:r w:rsidR="00EC0FA3" w:rsidRPr="00A44FE8">
        <w:rPr>
          <w:rFonts w:cs="Arial"/>
        </w:rPr>
        <w:t xml:space="preserve"> και</w:t>
      </w:r>
    </w:p>
    <w:p w14:paraId="21D2BDDA" w14:textId="2F299029" w:rsidR="00AA377E" w:rsidRPr="00A32A6A" w:rsidRDefault="00EC0FA3" w:rsidP="0045759A">
      <w:pPr>
        <w:numPr>
          <w:ilvl w:val="0"/>
          <w:numId w:val="1"/>
        </w:numPr>
        <w:spacing w:before="60"/>
        <w:ind w:left="568" w:hanging="284"/>
      </w:pPr>
      <w:r w:rsidRPr="00A32A6A">
        <w:rPr>
          <w:rFonts w:cs="Arial"/>
        </w:rPr>
        <w:t>καταβολή της ετήσιας συνεισφοράς της χώρας μας στ</w:t>
      </w:r>
      <w:r w:rsidR="001E00E3" w:rsidRPr="00A32A6A">
        <w:rPr>
          <w:rFonts w:cs="Arial"/>
        </w:rPr>
        <w:t>ο</w:t>
      </w:r>
      <w:r w:rsidRPr="00A32A6A">
        <w:rPr>
          <w:rFonts w:cs="Arial"/>
        </w:rPr>
        <w:t>ν Ευρωπαϊκ</w:t>
      </w:r>
      <w:r w:rsidR="001E00E3" w:rsidRPr="00A32A6A">
        <w:rPr>
          <w:rFonts w:cs="Arial"/>
        </w:rPr>
        <w:t xml:space="preserve">ό Οργανισμό </w:t>
      </w:r>
      <w:r w:rsidRPr="00A32A6A">
        <w:rPr>
          <w:rFonts w:cs="Arial"/>
        </w:rPr>
        <w:t>Διαστήματος (</w:t>
      </w:r>
      <w:r w:rsidR="00C14C62" w:rsidRPr="00A32A6A">
        <w:rPr>
          <w:rFonts w:cs="Arial"/>
          <w:lang w:val="en-US"/>
        </w:rPr>
        <w:t>European</w:t>
      </w:r>
      <w:r w:rsidR="00C14C62" w:rsidRPr="00A32A6A">
        <w:rPr>
          <w:rFonts w:cs="Arial"/>
        </w:rPr>
        <w:t xml:space="preserve"> </w:t>
      </w:r>
      <w:r w:rsidR="00C14C62" w:rsidRPr="00A32A6A">
        <w:rPr>
          <w:rFonts w:cs="Arial"/>
          <w:lang w:val="en-US"/>
        </w:rPr>
        <w:t>Space</w:t>
      </w:r>
      <w:r w:rsidR="00C14C62" w:rsidRPr="00A32A6A">
        <w:rPr>
          <w:rFonts w:cs="Arial"/>
        </w:rPr>
        <w:t xml:space="preserve"> </w:t>
      </w:r>
      <w:r w:rsidR="00C14C62" w:rsidRPr="00A32A6A">
        <w:rPr>
          <w:rFonts w:cs="Arial"/>
          <w:lang w:val="en-US"/>
        </w:rPr>
        <w:t>Agency</w:t>
      </w:r>
      <w:r w:rsidR="00C14C62" w:rsidRPr="00A32A6A">
        <w:rPr>
          <w:rFonts w:cs="Arial"/>
        </w:rPr>
        <w:t xml:space="preserve"> - </w:t>
      </w:r>
      <w:r w:rsidRPr="00A32A6A">
        <w:rPr>
          <w:rFonts w:cs="Arial"/>
        </w:rPr>
        <w:t>ESA) στο πλαίσιο της συμμετοχής της Ελλάδας ως κράτους</w:t>
      </w:r>
      <w:r w:rsidR="00C14C62" w:rsidRPr="00A32A6A">
        <w:rPr>
          <w:rFonts w:cs="Arial"/>
        </w:rPr>
        <w:t xml:space="preserve"> </w:t>
      </w:r>
      <w:r w:rsidRPr="00A32A6A">
        <w:rPr>
          <w:rFonts w:cs="Arial"/>
        </w:rPr>
        <w:t>-</w:t>
      </w:r>
      <w:r w:rsidR="00C14C62" w:rsidRPr="00A32A6A">
        <w:rPr>
          <w:rFonts w:cs="Arial"/>
        </w:rPr>
        <w:t xml:space="preserve"> </w:t>
      </w:r>
      <w:r w:rsidRPr="00A32A6A">
        <w:rPr>
          <w:rFonts w:cs="Arial"/>
        </w:rPr>
        <w:t>μέλους στα προγράμματα και τις δραστηριότητές τ</w:t>
      </w:r>
      <w:r w:rsidR="000C4393">
        <w:rPr>
          <w:rFonts w:cs="Arial"/>
        </w:rPr>
        <w:t>ου</w:t>
      </w:r>
      <w:r w:rsidRPr="00A32A6A">
        <w:rPr>
          <w:rFonts w:cs="Arial"/>
        </w:rPr>
        <w:t>.</w:t>
      </w:r>
    </w:p>
    <w:p w14:paraId="66E921B4" w14:textId="77777777" w:rsidR="008E19DF" w:rsidRPr="004646EA" w:rsidRDefault="008E19DF" w:rsidP="00D96226">
      <w:pPr>
        <w:spacing w:before="240"/>
        <w:rPr>
          <w:rFonts w:cs="Arial"/>
          <w:b/>
          <w:szCs w:val="22"/>
        </w:rPr>
      </w:pPr>
      <w:r w:rsidRPr="004646EA">
        <w:rPr>
          <w:rFonts w:cs="Arial"/>
          <w:b/>
          <w:szCs w:val="22"/>
        </w:rPr>
        <w:t>Αγορές παγίων περιουσιακών στοιχείων</w:t>
      </w:r>
    </w:p>
    <w:p w14:paraId="18BEF22D" w14:textId="562F81F7" w:rsidR="00C97807" w:rsidRPr="000A7990" w:rsidRDefault="004646EA" w:rsidP="009D3636">
      <w:r w:rsidRPr="008D16C1">
        <w:t>Στην κατηγορία αυτή περιλαμβάνονται οι αγορές π</w:t>
      </w:r>
      <w:r w:rsidR="00A32A6A">
        <w:t>α</w:t>
      </w:r>
      <w:r w:rsidRPr="008D16C1">
        <w:t>γ</w:t>
      </w:r>
      <w:r w:rsidR="00A32A6A">
        <w:t>ί</w:t>
      </w:r>
      <w:r w:rsidRPr="008D16C1">
        <w:t xml:space="preserve">ου εξοπλισμού των φορέων της Κεντρικής Διοίκησης και οι φυσικές παραλαβές οπλικών συστημάτων. Οι συνολικές δαπάνες εκτιμώνται σε </w:t>
      </w:r>
      <w:r w:rsidRPr="009B1308">
        <w:t>2</w:t>
      </w:r>
      <w:r>
        <w:t>.</w:t>
      </w:r>
      <w:r w:rsidRPr="009B1308">
        <w:t>469</w:t>
      </w:r>
      <w:r>
        <w:t xml:space="preserve"> </w:t>
      </w:r>
      <w:r w:rsidRPr="008D16C1">
        <w:t xml:space="preserve">εκατ. ευρώ. Το μεγαλύτερο μέρος των δαπανών αφορά στις φυσικές παραλαβές των οπλικών συστημάτων του Υπουργείου Εθνικής Άμυνας, οι οποίες </w:t>
      </w:r>
      <w:r w:rsidRPr="00334881">
        <w:t xml:space="preserve">ανέρχονται σε </w:t>
      </w:r>
      <w:r>
        <w:t>2</w:t>
      </w:r>
      <w:r w:rsidRPr="00334881">
        <w:t>.</w:t>
      </w:r>
      <w:r>
        <w:t>3</w:t>
      </w:r>
      <w:r w:rsidRPr="00334881">
        <w:t>00 εκατ</w:t>
      </w:r>
      <w:r w:rsidRPr="008D16C1">
        <w:t>. ευρώ.</w:t>
      </w:r>
    </w:p>
    <w:p w14:paraId="705D5E85" w14:textId="77777777" w:rsidR="00CC5CF7" w:rsidRPr="00A04543" w:rsidRDefault="00A458DE" w:rsidP="00D96226">
      <w:pPr>
        <w:spacing w:before="240"/>
        <w:rPr>
          <w:rFonts w:cs="Arial"/>
          <w:b/>
          <w:szCs w:val="22"/>
        </w:rPr>
      </w:pPr>
      <w:r w:rsidRPr="00A04543">
        <w:rPr>
          <w:rFonts w:cs="Arial"/>
          <w:b/>
          <w:szCs w:val="22"/>
        </w:rPr>
        <w:t xml:space="preserve">Δαπάνες </w:t>
      </w:r>
      <w:r w:rsidR="00CC5CF7" w:rsidRPr="00A04543">
        <w:rPr>
          <w:rFonts w:cs="Arial"/>
          <w:b/>
          <w:szCs w:val="22"/>
        </w:rPr>
        <w:t>Πρ</w:t>
      </w:r>
      <w:r w:rsidRPr="00A04543">
        <w:rPr>
          <w:rFonts w:cs="Arial"/>
          <w:b/>
          <w:szCs w:val="22"/>
        </w:rPr>
        <w:t>ο</w:t>
      </w:r>
      <w:r w:rsidR="00020064" w:rsidRPr="00A04543">
        <w:rPr>
          <w:rFonts w:cs="Arial"/>
          <w:b/>
          <w:szCs w:val="22"/>
        </w:rPr>
        <w:t>ϋπολογισμού</w:t>
      </w:r>
      <w:r w:rsidR="00CC5CF7" w:rsidRPr="00A04543">
        <w:rPr>
          <w:rFonts w:cs="Arial"/>
          <w:b/>
          <w:szCs w:val="22"/>
        </w:rPr>
        <w:t xml:space="preserve"> Δημοσίων Επενδύσεων</w:t>
      </w:r>
    </w:p>
    <w:p w14:paraId="47339B2D" w14:textId="2D1A77BA" w:rsidR="00B957D0" w:rsidRPr="0097601E" w:rsidRDefault="00B957D0" w:rsidP="00B957D0">
      <w:r w:rsidRPr="0097601E">
        <w:t xml:space="preserve">Ο προϋπολογισμός δημοσίων επενδύσεων έτους 2026 προέβλεπε όριο δαπανών συνολικού ύψους 9.500 εκατ. ευρώ, το οποίο επιμεριζόταν σε 6.200 εκατ. ευρώ για έργα του συγχρηματοδοτούμενου σκέλους και </w:t>
      </w:r>
      <w:r w:rsidR="00C10B35">
        <w:t xml:space="preserve">σε </w:t>
      </w:r>
      <w:r w:rsidRPr="0097601E">
        <w:t>3.300 εκατ. ευρώ για έργα που χρηματοδοτούνται αμιγώς από εθνικούς πόρους. Πέραν του ανωτέρω ορίου, προέβλεπε 7.192 εκατ. ευρώ για έργα χρηματοδοτούμενα από το Τ</w:t>
      </w:r>
      <w:r w:rsidR="00031C0E" w:rsidRPr="0097601E">
        <w:t>ΑΑ</w:t>
      </w:r>
      <w:r w:rsidRPr="0097601E">
        <w:t xml:space="preserve">. Κατά συνέπεια, </w:t>
      </w:r>
      <w:r w:rsidR="00A85164" w:rsidRPr="0097601E">
        <w:t xml:space="preserve">το ύψος των συνολικών </w:t>
      </w:r>
      <w:r w:rsidRPr="0097601E">
        <w:t>δαπ</w:t>
      </w:r>
      <w:r w:rsidR="00A85164" w:rsidRPr="0097601E">
        <w:t>ανών</w:t>
      </w:r>
      <w:r w:rsidRPr="0097601E">
        <w:t xml:space="preserve"> του </w:t>
      </w:r>
      <w:r w:rsidR="004B61CF" w:rsidRPr="0097601E">
        <w:t>προϋπολογισμού δημοσίων επενδύσεων</w:t>
      </w:r>
      <w:r w:rsidR="00E85C35" w:rsidRPr="0097601E">
        <w:t>,</w:t>
      </w:r>
      <w:r w:rsidR="004B61CF" w:rsidRPr="0097601E">
        <w:t xml:space="preserve"> </w:t>
      </w:r>
      <w:r w:rsidR="00A85164" w:rsidRPr="0097601E">
        <w:t>οι οποίες</w:t>
      </w:r>
      <w:r w:rsidR="00E85C35" w:rsidRPr="0097601E">
        <w:t xml:space="preserve"> στον προϋπολογισμό</w:t>
      </w:r>
      <w:r w:rsidR="00A85164" w:rsidRPr="0097601E">
        <w:t xml:space="preserve"> προβλέφθηκαν στις πιστώσεις υπό κατανομή</w:t>
      </w:r>
      <w:r w:rsidR="00E85C35" w:rsidRPr="0097601E">
        <w:t>,</w:t>
      </w:r>
      <w:r w:rsidR="00A85164" w:rsidRPr="0097601E">
        <w:t xml:space="preserve"> </w:t>
      </w:r>
      <w:r w:rsidRPr="0097601E">
        <w:t>ανέρχ</w:t>
      </w:r>
      <w:r w:rsidR="00A85164" w:rsidRPr="0097601E">
        <w:t>εται σε</w:t>
      </w:r>
      <w:r w:rsidRPr="0097601E">
        <w:t xml:space="preserve"> 16.692 εκατ. ευρώ.</w:t>
      </w:r>
    </w:p>
    <w:p w14:paraId="21D4F414" w14:textId="04DB3B67" w:rsidR="00B957D0" w:rsidRPr="0097601E" w:rsidRDefault="00B957D0" w:rsidP="00B957D0">
      <w:r w:rsidRPr="0097601E">
        <w:t>Εντός του τρέχοντος</w:t>
      </w:r>
      <w:r w:rsidR="000A7E44" w:rsidRPr="0097601E">
        <w:t xml:space="preserve"> έτους</w:t>
      </w:r>
      <w:r w:rsidRPr="0097601E">
        <w:t xml:space="preserve"> ο προϋπολογισμός δημοσίων επενδύσεων (εθνικό σκέλος) θα ενισχυθεί επιπλέον με το ποσό των 300 εκατ. ευρώ</w:t>
      </w:r>
      <w:r w:rsidR="006032C1" w:rsidRPr="0097601E">
        <w:t>,</w:t>
      </w:r>
      <w:r w:rsidRPr="0097601E">
        <w:t xml:space="preserve"> με στόχο την επιτάχυνση της υλοποίησης δημ</w:t>
      </w:r>
      <w:r w:rsidR="000A7E44" w:rsidRPr="0097601E">
        <w:t>ο</w:t>
      </w:r>
      <w:r w:rsidRPr="0097601E">
        <w:t>σ</w:t>
      </w:r>
      <w:r w:rsidR="000A7E44" w:rsidRPr="0097601E">
        <w:t>ί</w:t>
      </w:r>
      <w:r w:rsidRPr="0097601E">
        <w:t xml:space="preserve">ων έργων, την προώθηση δράσεων </w:t>
      </w:r>
      <w:r w:rsidR="00E4626B">
        <w:t>ενεργειακής ανθεκτικότητας</w:t>
      </w:r>
      <w:r w:rsidRPr="0097601E">
        <w:t xml:space="preserve"> και την εξόφληση σχετικών υποχρεώσεων</w:t>
      </w:r>
      <w:r w:rsidR="006032C1" w:rsidRPr="0097601E">
        <w:t>. Κατόπιν της εν λόγω ενίσχυσης</w:t>
      </w:r>
      <w:r w:rsidRPr="0097601E">
        <w:t xml:space="preserve"> το όριο δαπανών στο εθνικό σκέλος </w:t>
      </w:r>
      <w:r w:rsidR="006032C1" w:rsidRPr="0097601E">
        <w:t>θ</w:t>
      </w:r>
      <w:r w:rsidRPr="0097601E">
        <w:t>α διαμορφωθεί σε 3.600 εκατ. ευρώ</w:t>
      </w:r>
      <w:r w:rsidR="0061647A" w:rsidRPr="0097601E">
        <w:t>.</w:t>
      </w:r>
    </w:p>
    <w:p w14:paraId="63894806" w14:textId="1E95A36F" w:rsidR="00452334" w:rsidRDefault="00B957D0" w:rsidP="007D26B9">
      <w:r w:rsidRPr="0097601E">
        <w:t xml:space="preserve">Οι ανωτέρω πιστώσεις προορίζονται να καλύψουν δαπάνες που αφορούν </w:t>
      </w:r>
      <w:r w:rsidR="000A7E44" w:rsidRPr="0097601E">
        <w:t>σ</w:t>
      </w:r>
      <w:r w:rsidRPr="0097601E">
        <w:t>την υλοποίηση της αναπτυξιακής πολιτικής της χώρας μέσω της χρηματοδότη</w:t>
      </w:r>
      <w:r w:rsidR="00517F20" w:rsidRPr="0097601E">
        <w:t>ση</w:t>
      </w:r>
      <w:r w:rsidRPr="0097601E">
        <w:t>ς δράσεων με ισχυρό αναπτυξιακό, περιβαλλοντικό και κοινωνικό αποτύπωμα. Ιδιαίτερη έμφαση δί</w:t>
      </w:r>
      <w:r w:rsidR="00517F20" w:rsidRPr="0097601E">
        <w:t>δ</w:t>
      </w:r>
      <w:r w:rsidRPr="0097601E">
        <w:t>εται στους τομείς των υποδομών, της επιχειρηματικότητας, της πράσινης ανάπτυξης, της ψηφιακής μετάβασης, της κοινωνικής συνοχής, της περιφερειακής ανάπτυξης</w:t>
      </w:r>
      <w:r w:rsidR="00517F20" w:rsidRPr="0097601E">
        <w:t xml:space="preserve">, </w:t>
      </w:r>
      <w:r w:rsidRPr="0097601E">
        <w:t xml:space="preserve">της διαχείρισης των </w:t>
      </w:r>
      <w:r w:rsidR="00517F20" w:rsidRPr="0097601E">
        <w:t xml:space="preserve">επιπτώσεων </w:t>
      </w:r>
      <w:r w:rsidRPr="0097601E">
        <w:t>της κλιματικής κρίσης κ.</w:t>
      </w:r>
      <w:r w:rsidR="004B61CF" w:rsidRPr="0097601E">
        <w:t>λπ</w:t>
      </w:r>
      <w:r w:rsidRPr="0097601E">
        <w:t>.</w:t>
      </w:r>
    </w:p>
    <w:p w14:paraId="025183F1" w14:textId="77777777" w:rsidR="00243046" w:rsidRPr="00243046" w:rsidRDefault="00243046" w:rsidP="00243046">
      <w:pPr>
        <w:spacing w:before="240"/>
        <w:rPr>
          <w:rFonts w:cs="Arial"/>
          <w:b/>
          <w:szCs w:val="22"/>
        </w:rPr>
      </w:pPr>
      <w:r w:rsidRPr="00685FFF">
        <w:rPr>
          <w:rFonts w:cs="Arial"/>
          <w:b/>
          <w:szCs w:val="22"/>
        </w:rPr>
        <w:t>Δαπάνες Ταμείου Ανάκαμψης και Ανθεκτικότητας (ΤΑΑ)</w:t>
      </w:r>
    </w:p>
    <w:p w14:paraId="0C3F766B" w14:textId="2DCC334B" w:rsidR="00243046" w:rsidRPr="000C74D9" w:rsidRDefault="00243046" w:rsidP="00243046">
      <w:pPr>
        <w:rPr>
          <w:b/>
        </w:rPr>
      </w:pPr>
      <w:r>
        <w:t xml:space="preserve">Η υλοποίηση του </w:t>
      </w:r>
      <w:r w:rsidRPr="00627BF0">
        <w:t>Εθνικού Σχεδίου Ανάκαμψης και Ανθεκτικότητας «Ελλάδα 2.0»</w:t>
      </w:r>
      <w:r>
        <w:t xml:space="preserve"> ολοκληρώνεται εντός του 2026 έχοντας συμβάλει καθοριστικά στην ενίσχυση της ελληνικής οικονομίας μέσω της χρηματοδότησης δράσεων ενταγμένων σε τέσσερις βασικούς πυλώνες: Π</w:t>
      </w:r>
      <w:r w:rsidRPr="000C74D9">
        <w:t xml:space="preserve">ράσινη Μετάβαση, Ψηφιακή Μετάβαση, Απασχόληση </w:t>
      </w:r>
      <w:r w:rsidR="007821E7">
        <w:t>-</w:t>
      </w:r>
      <w:r w:rsidRPr="000C74D9">
        <w:t xml:space="preserve"> Δεξιότητες </w:t>
      </w:r>
      <w:r w:rsidR="007821E7">
        <w:t>-</w:t>
      </w:r>
      <w:r w:rsidRPr="000C74D9">
        <w:t xml:space="preserve"> Κοινωνική Συνοχή, Ιδιωτικές Επενδύσεις και Μετασχηματισμός της Οικονομίας</w:t>
      </w:r>
      <w:r>
        <w:t xml:space="preserve">. </w:t>
      </w:r>
      <w:r w:rsidR="00894F10">
        <w:t xml:space="preserve">Πόροι </w:t>
      </w:r>
      <w:r>
        <w:t xml:space="preserve">για την υλοποίηση σημαντικών μεταρρυθμίσεων </w:t>
      </w:r>
      <w:r w:rsidR="00894F10">
        <w:t xml:space="preserve">αξιοποιήθηκαν </w:t>
      </w:r>
      <w:r>
        <w:t>μέσω της χρηματοδότησης</w:t>
      </w:r>
      <w:r w:rsidR="0003034F" w:rsidRPr="0003034F">
        <w:t xml:space="preserve"> </w:t>
      </w:r>
      <w:r w:rsidR="0003034F">
        <w:t>τόσο</w:t>
      </w:r>
      <w:r>
        <w:t xml:space="preserve"> </w:t>
      </w:r>
      <w:r w:rsidR="0003034F">
        <w:t xml:space="preserve">των </w:t>
      </w:r>
      <w:r>
        <w:t>δημοσίων επενδύσεων από το σκέλος των επιχορηγήσεων του ΤΑΑ όσο και</w:t>
      </w:r>
      <w:r w:rsidR="0003034F">
        <w:t xml:space="preserve"> των</w:t>
      </w:r>
      <w:r>
        <w:t xml:space="preserve"> ιδιωτικών επενδύσεων από το δανειακό σκέλος.</w:t>
      </w:r>
    </w:p>
    <w:p w14:paraId="1CE8AB89" w14:textId="11E93845" w:rsidR="00243046" w:rsidRDefault="00243046" w:rsidP="007D26B9">
      <w:r w:rsidRPr="007821E7">
        <w:t xml:space="preserve">Το σύνολο των πόρων του ΤΑΑ που έχουν εισρεύσει στη χώρα μας από το 2021 έως σήμερα ανέρχεται σε 24.626 εκατ. ευρώ, εκ των οποίων </w:t>
      </w:r>
      <w:r w:rsidR="00685FFF">
        <w:t xml:space="preserve">ποσό ύψους </w:t>
      </w:r>
      <w:r w:rsidRPr="007821E7">
        <w:t>12.930 εκατ. ευρώ αφορ</w:t>
      </w:r>
      <w:r w:rsidR="00685FFF">
        <w:t>ά</w:t>
      </w:r>
      <w:r w:rsidRPr="007821E7">
        <w:t xml:space="preserve"> στο σκέλος των επιχορηγήσεων του Εθνικού Σχεδίου Ανάκαμψης και Ανθεκτικότητας «Ελλάδα 2.0» και </w:t>
      </w:r>
      <w:r w:rsidR="00685FFF">
        <w:t xml:space="preserve">ποσό ύψους </w:t>
      </w:r>
      <w:r w:rsidRPr="007821E7">
        <w:t>11.696 εκατ. ευρώ αφορ</w:t>
      </w:r>
      <w:r w:rsidR="00685FFF">
        <w:t>ά</w:t>
      </w:r>
      <w:r w:rsidRPr="007821E7">
        <w:t xml:space="preserve"> στο δανειακό σκέλος</w:t>
      </w:r>
      <w:r w:rsidR="001C1B02">
        <w:t>, ενώ αναμένεται και η εκταμίευση των υπολειπόμενων ποσών από τα 35,9 δισ. ευρώ περίπου έως το τέλος του έτους</w:t>
      </w:r>
      <w:r w:rsidRPr="007821E7">
        <w:t>.</w:t>
      </w:r>
    </w:p>
    <w:p w14:paraId="249CF463" w14:textId="77777777" w:rsidR="00CC5CF7" w:rsidRPr="00E627DD" w:rsidRDefault="00CC5CF7" w:rsidP="00DC6F26">
      <w:pPr>
        <w:pStyle w:val="4"/>
        <w:keepNext w:val="0"/>
      </w:pPr>
      <w:bookmarkStart w:id="133" w:name="_Toc242019544"/>
      <w:r w:rsidRPr="00E627DD">
        <w:t xml:space="preserve">Λοιποί υποτομείς </w:t>
      </w:r>
      <w:r w:rsidR="001E1B1E" w:rsidRPr="00E627DD">
        <w:t xml:space="preserve">της </w:t>
      </w:r>
      <w:r w:rsidRPr="00E627DD">
        <w:t>Γενικής Κυβέρνησης</w:t>
      </w:r>
      <w:bookmarkEnd w:id="133"/>
    </w:p>
    <w:p w14:paraId="34582F9D" w14:textId="77777777" w:rsidR="00CC5CF7" w:rsidRPr="00965668" w:rsidRDefault="00CC5CF7" w:rsidP="00A408DA">
      <w:pPr>
        <w:spacing w:before="240"/>
        <w:rPr>
          <w:rFonts w:cs="Arial"/>
          <w:b/>
          <w:szCs w:val="22"/>
        </w:rPr>
      </w:pPr>
      <w:r w:rsidRPr="00965668">
        <w:rPr>
          <w:rFonts w:cs="Arial"/>
          <w:b/>
          <w:szCs w:val="22"/>
        </w:rPr>
        <w:t>Νομικά Πρόσωπα</w:t>
      </w:r>
    </w:p>
    <w:p w14:paraId="362775F9" w14:textId="45705450" w:rsidR="009A45F2" w:rsidRPr="00965668" w:rsidRDefault="00965668" w:rsidP="00A02E72">
      <w:r w:rsidRPr="00B51BCD">
        <w:t xml:space="preserve">Το </w:t>
      </w:r>
      <w:r w:rsidR="006B0EB0" w:rsidRPr="00B51BCD">
        <w:t xml:space="preserve">ισοζύγιο </w:t>
      </w:r>
      <w:r w:rsidR="006B0EB0" w:rsidRPr="00D508F2">
        <w:t xml:space="preserve">κατά </w:t>
      </w:r>
      <w:r w:rsidR="006B0EB0" w:rsidRPr="00D508F2">
        <w:rPr>
          <w:lang w:val="en-US"/>
        </w:rPr>
        <w:t>ESA</w:t>
      </w:r>
      <w:r w:rsidRPr="00D508F2">
        <w:t xml:space="preserve"> των νομικών</w:t>
      </w:r>
      <w:r>
        <w:t xml:space="preserve"> προσώπων για το έτος 2026 αναμένεται να διαμορφωθεί σε πλεόνασμα ύψους 4.521 εκατ. ευρώ, υψηλότερο κατά 589 εκατ. ευρώ σε σ</w:t>
      </w:r>
      <w:r w:rsidR="00E23751">
        <w:t>ύγκριση</w:t>
      </w:r>
      <w:r>
        <w:t xml:space="preserve"> με τις προβλέψεις του προϋπολογισμού. Το βελτιωμένο αποτέλεσμα προέρχεται κυρίως από το σκέλος των ιδίων εσόδων - αυξημένοι πιστωτικοί τόκοι και λοιπά λειτουργικά έσοδα - αλλά και από τη χαμηλότερη της προϋπολογισθείσας συνολική δαπάνη.</w:t>
      </w:r>
    </w:p>
    <w:p w14:paraId="22E5A66E" w14:textId="77777777" w:rsidR="00CC5CF7" w:rsidRPr="0099671D" w:rsidRDefault="00CC5CF7" w:rsidP="00D96226">
      <w:pPr>
        <w:spacing w:before="240"/>
        <w:rPr>
          <w:rFonts w:cs="Arial"/>
          <w:b/>
          <w:szCs w:val="22"/>
        </w:rPr>
      </w:pPr>
      <w:r w:rsidRPr="0099671D">
        <w:rPr>
          <w:rFonts w:cs="Arial"/>
          <w:b/>
          <w:szCs w:val="22"/>
        </w:rPr>
        <w:t xml:space="preserve">Νοσοκομεία και Πρωτοβάθμια Φροντίδα Υγείας </w:t>
      </w:r>
      <w:r w:rsidR="00A42668" w:rsidRPr="0099671D">
        <w:rPr>
          <w:rFonts w:cs="Arial"/>
          <w:b/>
          <w:szCs w:val="22"/>
        </w:rPr>
        <w:t>(ΠΦΥ)</w:t>
      </w:r>
    </w:p>
    <w:p w14:paraId="157244A8" w14:textId="5ACF94DE" w:rsidR="00C061FF" w:rsidRPr="00965668" w:rsidRDefault="00965668" w:rsidP="00A02E72">
      <w:bookmarkStart w:id="134" w:name="_Hlk241674431"/>
      <w:r>
        <w:t xml:space="preserve">Το </w:t>
      </w:r>
      <w:bookmarkEnd w:id="134"/>
      <w:r w:rsidR="00B51BCD" w:rsidRPr="00B51BCD">
        <w:t xml:space="preserve">ισοζύγιο κατά </w:t>
      </w:r>
      <w:r w:rsidR="00B51BCD" w:rsidRPr="00B51BCD">
        <w:rPr>
          <w:lang w:val="en-US"/>
        </w:rPr>
        <w:t>ESA</w:t>
      </w:r>
      <w:r w:rsidR="00B51BCD">
        <w:t xml:space="preserve"> </w:t>
      </w:r>
      <w:r>
        <w:t xml:space="preserve">των νοσοκομείων και της </w:t>
      </w:r>
      <w:r w:rsidR="00DE1F61">
        <w:t>ΠΦΥ</w:t>
      </w:r>
      <w:r>
        <w:t xml:space="preserve"> δεν αναμένεται να παρουσιάσει απόκλιση σε σ</w:t>
      </w:r>
      <w:r w:rsidR="00E23751">
        <w:t>ύγκριση</w:t>
      </w:r>
      <w:r>
        <w:t xml:space="preserve"> με τις προβλέψεις του αρχικού προϋπολογισμού. Επισημαίνεται ότι ο υποτομέας περιλαμβάνει και την Εθνική Κεντρική Αρχή Προμηθειών Υγείας (ΕΚΑΠΥ), μέσω της οποίας </w:t>
      </w:r>
      <w:r w:rsidR="00E23751">
        <w:t>πραγματοποιείται</w:t>
      </w:r>
      <w:r>
        <w:t xml:space="preserve"> πλέον η προμήθεια του συνόλου σχεδόν των νοσοκομειακών φαρμάκων. Οι δαπάνες των νοσοκομείων αναμένεται να είναι αυξημένες κατά 150 εκατ. ευρώ </w:t>
      </w:r>
      <w:r w:rsidR="00E23751">
        <w:t xml:space="preserve">περίπου έναντι </w:t>
      </w:r>
      <w:r>
        <w:t>τ</w:t>
      </w:r>
      <w:r w:rsidR="00E23751">
        <w:t>ων</w:t>
      </w:r>
      <w:r>
        <w:t xml:space="preserve"> προϋπολογισθε</w:t>
      </w:r>
      <w:r w:rsidR="00E23751">
        <w:t>ι</w:t>
      </w:r>
      <w:r>
        <w:t>σ</w:t>
      </w:r>
      <w:r w:rsidR="00E23751">
        <w:t>ών</w:t>
      </w:r>
      <w:r>
        <w:t xml:space="preserve"> λόγω πληθωριστικών πιέσεων και αυξανόμενων παρεχόμενων υπηρεσιών. Αύξηση παρουσιάζουν και οι μεταβιβάσεις από τον κρατικό προϋπολογισμό, κατευθυνόμενες κυρίως προς την ΕΚΑΠΥ για την κάλυψη της αύξησης του ορίου της φαρμακευτικής δαπάνης.</w:t>
      </w:r>
    </w:p>
    <w:p w14:paraId="5BC096E7" w14:textId="7DCFACBB" w:rsidR="00CC5CF7" w:rsidRPr="00AF69D6" w:rsidRDefault="00CC5CF7" w:rsidP="00D96226">
      <w:pPr>
        <w:spacing w:before="240"/>
        <w:rPr>
          <w:rFonts w:cs="Arial"/>
          <w:b/>
          <w:szCs w:val="22"/>
        </w:rPr>
      </w:pPr>
      <w:r w:rsidRPr="00AF69D6">
        <w:rPr>
          <w:rFonts w:cs="Arial"/>
          <w:b/>
          <w:szCs w:val="22"/>
        </w:rPr>
        <w:t>Οργανισμοί Τοπικής Αυτοδιοίκησης (ΟΤΑ)</w:t>
      </w:r>
    </w:p>
    <w:p w14:paraId="2D785D72" w14:textId="32DD911C" w:rsidR="00C63192" w:rsidRPr="00AF69D6" w:rsidRDefault="0099671D" w:rsidP="00A02E72">
      <w:r w:rsidRPr="004340FD">
        <w:t xml:space="preserve">Το έτος 2026 το </w:t>
      </w:r>
      <w:r w:rsidR="00B51BCD" w:rsidRPr="00B51BCD">
        <w:t xml:space="preserve">ισοζύγιο κατά </w:t>
      </w:r>
      <w:r w:rsidR="00B51BCD" w:rsidRPr="00B51BCD">
        <w:rPr>
          <w:lang w:val="en-US"/>
        </w:rPr>
        <w:t>ESA</w:t>
      </w:r>
      <w:r w:rsidR="00B51BCD">
        <w:t xml:space="preserve"> </w:t>
      </w:r>
      <w:r>
        <w:t xml:space="preserve">του υποτομέα </w:t>
      </w:r>
      <w:r w:rsidR="00C10CC3">
        <w:t xml:space="preserve">των ΟΤΑ </w:t>
      </w:r>
      <w:r w:rsidRPr="004340FD">
        <w:t xml:space="preserve">εκτιμάται ότι θα διαμορφωθεί σε πλεόνασμα ύψους 183 εκατ. ευρώ, </w:t>
      </w:r>
      <w:r>
        <w:t xml:space="preserve">υψηλότερο κατά 77 εκατ. ευρώ σε </w:t>
      </w:r>
      <w:r w:rsidR="00965BE9">
        <w:t>σύγκριση</w:t>
      </w:r>
      <w:r>
        <w:t xml:space="preserve"> με τις προβλέψεις του προϋπολογισμού.</w:t>
      </w:r>
      <w:r w:rsidRPr="004340FD">
        <w:t xml:space="preserve"> Η εκτίμηση αυτή συνδέεται κυρίως με την </w:t>
      </w:r>
      <w:r w:rsidR="00AB16A3">
        <w:t>εκτιμώμενη</w:t>
      </w:r>
      <w:r w:rsidRPr="004340FD">
        <w:t xml:space="preserve"> ενίσχυση των </w:t>
      </w:r>
      <w:r>
        <w:t xml:space="preserve">ιδίων </w:t>
      </w:r>
      <w:r w:rsidRPr="004340FD">
        <w:t>εσόδων</w:t>
      </w:r>
      <w:r>
        <w:t xml:space="preserve"> </w:t>
      </w:r>
      <w:r w:rsidR="00720E6A">
        <w:t>(</w:t>
      </w:r>
      <w:r w:rsidR="00C24ABA">
        <w:t>φ</w:t>
      </w:r>
      <w:r w:rsidR="00720E6A">
        <w:t xml:space="preserve">όροι - λοιπά έσοδα) </w:t>
      </w:r>
      <w:r>
        <w:t xml:space="preserve">των ΟΤΑ. Αύξηση τόσο των δαπανών όσο και των αντίστοιχων εσόδων μεταβιβάσεων προκαλείται από την υλοποίηση προγραμμάτων χρηματοδοτούμενων από το ΤΑΑ, ενώ </w:t>
      </w:r>
      <w:proofErr w:type="spellStart"/>
      <w:r>
        <w:t>αναταξινομήσεις</w:t>
      </w:r>
      <w:proofErr w:type="spellEnd"/>
      <w:r>
        <w:t xml:space="preserve"> μεταξύ των κατηγοριών δαπανών - χωρίς επίπτωση στο </w:t>
      </w:r>
      <w:r w:rsidRPr="00696449">
        <w:t>δημοσιονομικό αποτέλεσμα -</w:t>
      </w:r>
      <w:r>
        <w:t xml:space="preserve"> καταγράφονται λόγω της εφαρμογής του </w:t>
      </w:r>
      <w:proofErr w:type="spellStart"/>
      <w:r>
        <w:t>π.δ.</w:t>
      </w:r>
      <w:proofErr w:type="spellEnd"/>
      <w:r>
        <w:t xml:space="preserve"> 54/2018 </w:t>
      </w:r>
      <w:r w:rsidR="00965BE9">
        <w:t xml:space="preserve">(Α’ 103) </w:t>
      </w:r>
      <w:r>
        <w:t xml:space="preserve">από την </w:t>
      </w:r>
      <w:r w:rsidR="00AC4398">
        <w:t>0</w:t>
      </w:r>
      <w:r>
        <w:t>1η.01.2026.</w:t>
      </w:r>
    </w:p>
    <w:p w14:paraId="7DA5B8A0" w14:textId="77777777" w:rsidR="00CC5CF7" w:rsidRPr="00AF69D6" w:rsidRDefault="00CC5CF7" w:rsidP="00032948">
      <w:pPr>
        <w:keepNext/>
        <w:spacing w:before="240"/>
        <w:rPr>
          <w:rFonts w:cs="Arial"/>
          <w:b/>
          <w:szCs w:val="22"/>
        </w:rPr>
      </w:pPr>
      <w:r w:rsidRPr="00AF69D6">
        <w:rPr>
          <w:rFonts w:cs="Arial"/>
          <w:b/>
          <w:szCs w:val="22"/>
        </w:rPr>
        <w:t>Οργανισμοί Κοινωνικής Ασφάλισης (ΟΚΑ)</w:t>
      </w:r>
    </w:p>
    <w:p w14:paraId="3D89AB98" w14:textId="26398D80" w:rsidR="00AF69D6" w:rsidRPr="003B2C66" w:rsidRDefault="00AF69D6" w:rsidP="00A02E72">
      <w:r>
        <w:t xml:space="preserve">Στον υποτομέα περιλαμβάνονται τα Ασφαλιστικά Ταμεία, ο Εθνικός Οργανισμός Παροχής Υπηρεσιών Υγείας (ΕΟΠΥΥ), η Δημόσια Υπηρεσία Απασχόλησης (ΔΥΠΑ), ο Οργανισμός </w:t>
      </w:r>
      <w:proofErr w:type="spellStart"/>
      <w:r>
        <w:t>Προνοιακών</w:t>
      </w:r>
      <w:proofErr w:type="spellEnd"/>
      <w:r>
        <w:t xml:space="preserve"> Επιδομάτων και Κοινωνικής Αλληλεγγύης (ΟΠΕΚΑ) και το Ναυτικό Απομαχικό Ταμείο (ΝΑΤ). Το </w:t>
      </w:r>
      <w:r w:rsidR="00FD35C4">
        <w:t xml:space="preserve">ισοζύγιο κατά </w:t>
      </w:r>
      <w:r w:rsidR="00FD35C4">
        <w:rPr>
          <w:lang w:val="en-US"/>
        </w:rPr>
        <w:t>ESA</w:t>
      </w:r>
      <w:r w:rsidR="00FD35C4" w:rsidRPr="00FD35C4">
        <w:t xml:space="preserve"> </w:t>
      </w:r>
      <w:r>
        <w:t>εκτιμάται ότι θα διαμορφωθεί σ</w:t>
      </w:r>
      <w:r w:rsidR="006317E3">
        <w:t>ε</w:t>
      </w:r>
      <w:r>
        <w:t xml:space="preserve"> 1.534 εκατ. ευρώ, μειωμένο κατά 256 εκατ. ευρώ </w:t>
      </w:r>
      <w:r w:rsidR="00F0443D">
        <w:t xml:space="preserve">έναντι των </w:t>
      </w:r>
      <w:r>
        <w:t>προβλέψε</w:t>
      </w:r>
      <w:r w:rsidR="00F0443D">
        <w:t>ων</w:t>
      </w:r>
      <w:r>
        <w:t xml:space="preserve"> του προϋπολογισμού.</w:t>
      </w:r>
    </w:p>
    <w:p w14:paraId="6588C168" w14:textId="0099D3A5" w:rsidR="00AF69D6" w:rsidRDefault="00AF69D6" w:rsidP="00A02E72">
      <w:r>
        <w:t xml:space="preserve">Τα έσοδα ασφαλιστικών εισφορών παρουσιάζονται αυξημένα κατά 323 εκατ. ευρώ κυρίως λόγω </w:t>
      </w:r>
      <w:r w:rsidR="00840EB9">
        <w:t>της βελτίωσης των ονομαστικών μισθών, της μείωσης της ανεργίας</w:t>
      </w:r>
      <w:r>
        <w:t xml:space="preserve"> και </w:t>
      </w:r>
      <w:r w:rsidR="008B5C7B">
        <w:t xml:space="preserve">των </w:t>
      </w:r>
      <w:r>
        <w:t xml:space="preserve">πρωτοβουλιών που λαμβάνονται </w:t>
      </w:r>
      <w:r w:rsidR="008B5C7B">
        <w:t xml:space="preserve">προς </w:t>
      </w:r>
      <w:r>
        <w:t xml:space="preserve">την κατεύθυνση </w:t>
      </w:r>
      <w:r w:rsidR="008B5C7B">
        <w:t xml:space="preserve">του </w:t>
      </w:r>
      <w:r>
        <w:t xml:space="preserve">περιορισμού της αδήλωτης και </w:t>
      </w:r>
      <w:r w:rsidR="008B5C7B">
        <w:t xml:space="preserve">της </w:t>
      </w:r>
      <w:r>
        <w:t>υποδηλωμένης εργασίας, όπως η εφαρμογή της ψηφιακής κάρτας εργασίας.</w:t>
      </w:r>
    </w:p>
    <w:p w14:paraId="2F2E4127" w14:textId="4C710AED" w:rsidR="00E92762" w:rsidRPr="00E577FD" w:rsidRDefault="00AF69D6" w:rsidP="00A02E72">
      <w:pPr>
        <w:rPr>
          <w:highlight w:val="yellow"/>
        </w:rPr>
      </w:pPr>
      <w:r>
        <w:t xml:space="preserve">Οι δαπάνες του υποτομέα εμφανίζονται αυξημένες κατά 891 εκατ. ευρώ σε </w:t>
      </w:r>
      <w:r w:rsidR="008B5C7B">
        <w:t>σύγκριση</w:t>
      </w:r>
      <w:r>
        <w:t xml:space="preserve"> με τις προϋπολογισθείσες</w:t>
      </w:r>
      <w:r w:rsidR="007C7899">
        <w:t>,</w:t>
      </w:r>
      <w:r>
        <w:t xml:space="preserve"> </w:t>
      </w:r>
      <w:r w:rsidR="00D76A7C">
        <w:t>αφενός</w:t>
      </w:r>
      <w:r>
        <w:t xml:space="preserve"> </w:t>
      </w:r>
      <w:r w:rsidR="00D76A7C">
        <w:t xml:space="preserve">λόγω </w:t>
      </w:r>
      <w:r w:rsidR="008B5C7B">
        <w:t xml:space="preserve">της </w:t>
      </w:r>
      <w:r>
        <w:t xml:space="preserve">υλοποίησης </w:t>
      </w:r>
      <w:r w:rsidR="00D76A7C">
        <w:t xml:space="preserve">των </w:t>
      </w:r>
      <w:r>
        <w:t>προγραμμάτων του Τ</w:t>
      </w:r>
      <w:r w:rsidR="00E577FD">
        <w:t>ΑΑ</w:t>
      </w:r>
      <w:r w:rsidR="00DC0517">
        <w:t xml:space="preserve"> και</w:t>
      </w:r>
      <w:r>
        <w:t xml:space="preserve"> </w:t>
      </w:r>
      <w:r w:rsidR="00D76A7C">
        <w:t xml:space="preserve">αφετέρου </w:t>
      </w:r>
      <w:r>
        <w:t xml:space="preserve">λόγω της </w:t>
      </w:r>
      <w:r w:rsidR="008B5C7B">
        <w:t>ενσωμάτωσης</w:t>
      </w:r>
      <w:r>
        <w:t xml:space="preserve"> ποσού 620 εκατ. ευρώ περίπου για νέες παρεμβάσεις κοινωνικής πολιτικής και στήριξης του διαθέσιμου εισοδήματος </w:t>
      </w:r>
      <w:r w:rsidR="008B5C7B">
        <w:t xml:space="preserve">των </w:t>
      </w:r>
      <w:r>
        <w:t xml:space="preserve">συνταξιούχων. Οι </w:t>
      </w:r>
      <w:r w:rsidR="00555586">
        <w:t>κυριότερες</w:t>
      </w:r>
      <w:r>
        <w:t xml:space="preserve"> παρεμβάσεις εξ αυτών αφορούν</w:t>
      </w:r>
      <w:r w:rsidR="00D76A7C">
        <w:t>: (α) σ</w:t>
      </w:r>
      <w:r>
        <w:t>τη μόνιμη αύξηση</w:t>
      </w:r>
      <w:r w:rsidR="00975CF8">
        <w:t>, από 250 ευρώ σε 400 ευρώ καθαρά,</w:t>
      </w:r>
      <w:r>
        <w:t xml:space="preserve"> της ενίσχυσης του Νοεμβρίου</w:t>
      </w:r>
      <w:r w:rsidR="007C09CC">
        <w:t xml:space="preserve"> </w:t>
      </w:r>
      <w:r>
        <w:t xml:space="preserve">σε συνταξιούχους, </w:t>
      </w:r>
      <w:r w:rsidR="00D76A7C">
        <w:t xml:space="preserve">σε </w:t>
      </w:r>
      <w:r>
        <w:t xml:space="preserve">άτομα με αναπηρία και </w:t>
      </w:r>
      <w:r w:rsidR="00D76A7C">
        <w:t xml:space="preserve">σε </w:t>
      </w:r>
      <w:r>
        <w:t xml:space="preserve">ανασφάλιστους υπερήλικες </w:t>
      </w:r>
      <w:r w:rsidR="00D76A7C">
        <w:t xml:space="preserve">καθώς </w:t>
      </w:r>
      <w:r>
        <w:t xml:space="preserve">και </w:t>
      </w:r>
      <w:r w:rsidR="00D76A7C">
        <w:t>σ</w:t>
      </w:r>
      <w:r>
        <w:t>τη</w:t>
      </w:r>
      <w:r w:rsidR="00D76A7C">
        <w:t xml:space="preserve">ν επέκταση </w:t>
      </w:r>
      <w:r>
        <w:t xml:space="preserve">της ενίσχυσης </w:t>
      </w:r>
      <w:r w:rsidR="00AF2F04">
        <w:t xml:space="preserve">από τον Νοέμβριο 2026 </w:t>
      </w:r>
      <w:r>
        <w:t xml:space="preserve">στο σύνολο των συνταξιούχων </w:t>
      </w:r>
      <w:r w:rsidR="00D76A7C">
        <w:t xml:space="preserve">ηλικίας </w:t>
      </w:r>
      <w:r>
        <w:t xml:space="preserve">άνω των 65 ετών </w:t>
      </w:r>
      <w:r w:rsidR="00975CF8">
        <w:t>και (β) σ</w:t>
      </w:r>
      <w:r>
        <w:t>την επέκταση του προγράμματος προληπτικών εξετάσεων</w:t>
      </w:r>
      <w:r w:rsidR="005D0ED5">
        <w:t xml:space="preserve"> καθώς και </w:t>
      </w:r>
      <w:r>
        <w:t xml:space="preserve">του προγράμματος </w:t>
      </w:r>
      <w:r w:rsidR="00975CF8">
        <w:t>«Π</w:t>
      </w:r>
      <w:r>
        <w:t>ροσωπικ</w:t>
      </w:r>
      <w:r w:rsidR="00975CF8">
        <w:t>ός Β</w:t>
      </w:r>
      <w:r>
        <w:t>οηθ</w:t>
      </w:r>
      <w:r w:rsidR="00975CF8">
        <w:t>ός»</w:t>
      </w:r>
      <w:r>
        <w:t xml:space="preserve"> από εθνικούς πόρους.</w:t>
      </w:r>
    </w:p>
    <w:p w14:paraId="1C863622" w14:textId="77777777" w:rsidR="00CC5CF7" w:rsidRPr="00E627DD" w:rsidRDefault="00CC5CF7" w:rsidP="00DC6F26">
      <w:pPr>
        <w:pStyle w:val="4"/>
        <w:keepNext w:val="0"/>
      </w:pPr>
      <w:bookmarkStart w:id="135" w:name="_Toc242019545"/>
      <w:r w:rsidRPr="00E627DD">
        <w:t xml:space="preserve">Ληξιπρόθεσμες </w:t>
      </w:r>
      <w:r w:rsidR="00DE702B" w:rsidRPr="00E627DD">
        <w:t>υποχρεώσεις</w:t>
      </w:r>
      <w:r w:rsidRPr="00E627DD">
        <w:t xml:space="preserve"> της Γενικής Κυβέρνησης προς τρίτους</w:t>
      </w:r>
      <w:bookmarkEnd w:id="135"/>
    </w:p>
    <w:p w14:paraId="7CE74137" w14:textId="54F0D3C8" w:rsidR="00256282" w:rsidRDefault="00256282" w:rsidP="00FD6748">
      <w:bookmarkStart w:id="136" w:name="_Toc45098220"/>
      <w:r>
        <w:t xml:space="preserve">Οι συνολικές ληξιπρόθεσμες υποχρεώσεις της Γενικής Κυβέρνησης </w:t>
      </w:r>
      <w:r w:rsidR="005A5919">
        <w:t xml:space="preserve">παρουσίασαν </w:t>
      </w:r>
      <w:r w:rsidR="005A5919" w:rsidRPr="00FB6140">
        <w:t>αυξητική</w:t>
      </w:r>
      <w:r w:rsidR="005A5919">
        <w:t xml:space="preserve"> τάση </w:t>
      </w:r>
      <w:r>
        <w:t xml:space="preserve">κατά τους πρώτους μήνες του </w:t>
      </w:r>
      <w:r w:rsidRPr="00FB6140">
        <w:t>2026</w:t>
      </w:r>
      <w:r>
        <w:t xml:space="preserve"> και</w:t>
      </w:r>
      <w:r w:rsidRPr="00AC41CA">
        <w:t xml:space="preserve"> </w:t>
      </w:r>
      <w:r w:rsidRPr="00FB6140">
        <w:t>σταδιακή αποκλιμάκωση</w:t>
      </w:r>
      <w:r>
        <w:t xml:space="preserve"> κατά τους επόμενους μήνες, με αποτέλεσμα τον Ιούλιο </w:t>
      </w:r>
      <w:r w:rsidRPr="00FB6140">
        <w:t>2026</w:t>
      </w:r>
      <w:r>
        <w:t xml:space="preserve"> να διαμορφώνονται στο ύψος των </w:t>
      </w:r>
      <w:r w:rsidRPr="00FB6140">
        <w:t>2.646</w:t>
      </w:r>
      <w:r>
        <w:t xml:space="preserve"> εκατ. ευρώ. Σημειώνεται ότι οι ληξιπρόθεσμες υποχρεώσεις παρουσιάζουν έντονη εποχικότητα και ιστορικά εμφανίζονται σημαντικά μειωμένες </w:t>
      </w:r>
      <w:r w:rsidRPr="00FB6140">
        <w:t>κατά τη λήξη</w:t>
      </w:r>
      <w:r>
        <w:t xml:space="preserve"> κάθε οικονομικού έτους. Οι ανωτέρω υποχρεώσεις περιλαμβάνουν ποσά clawback και rebate εκτιμώμενου ύψους </w:t>
      </w:r>
      <w:r w:rsidRPr="007C3F4A">
        <w:t>1.47</w:t>
      </w:r>
      <w:r>
        <w:t xml:space="preserve">8 εκατ. ευρώ, τα οποία δεν έχουν συμψηφιστεί ακόμα. Συνεπώς, οι ληξιπρόθεσμες υποχρεώσεις, εξαιρουμένων των ανωτέρω υπό συμψηφισμό ποσών, ανέρχονται σε </w:t>
      </w:r>
      <w:r w:rsidRPr="007C3F4A">
        <w:t>1.16</w:t>
      </w:r>
      <w:r>
        <w:t>8 εκατ. ευρώ.</w:t>
      </w:r>
    </w:p>
    <w:p w14:paraId="4EBDDA6F" w14:textId="77777777" w:rsidR="00256282" w:rsidRDefault="00256282" w:rsidP="00FD6748">
      <w:pPr>
        <w:rPr>
          <w:highlight w:val="yellow"/>
        </w:rPr>
      </w:pPr>
      <w:r>
        <w:t>Η εξέλιξη των ληξιπρόθεσμων υποχρεώσεων των φορέων της Γενικής Κυβέρνησης έως τον μήνα Ιούλιο 2026 έχει ως εξής:</w:t>
      </w:r>
    </w:p>
    <w:p w14:paraId="6471AD1D" w14:textId="79BD6F2F" w:rsidR="00256282" w:rsidRDefault="00256282" w:rsidP="00256282">
      <w:pPr>
        <w:numPr>
          <w:ilvl w:val="0"/>
          <w:numId w:val="2"/>
        </w:numPr>
        <w:spacing w:before="120" w:after="60"/>
        <w:ind w:left="568" w:hanging="284"/>
      </w:pPr>
      <w:r>
        <w:t xml:space="preserve">για τους φορείς της Κεντρικής Διοίκησης (Κράτος) το ύψος των ληξιπρόθεσμων υποχρεώσεων ανέρχεται στο ποσό των </w:t>
      </w:r>
      <w:r w:rsidRPr="00FB6140">
        <w:t>167</w:t>
      </w:r>
      <w:r>
        <w:t xml:space="preserve"> εκατ. ευρώ</w:t>
      </w:r>
      <w:r w:rsidR="00612555">
        <w:t>,</w:t>
      </w:r>
    </w:p>
    <w:p w14:paraId="780B14BD" w14:textId="28134BBE" w:rsidR="00256282" w:rsidRDefault="00256282" w:rsidP="00256282">
      <w:pPr>
        <w:numPr>
          <w:ilvl w:val="0"/>
          <w:numId w:val="2"/>
        </w:numPr>
        <w:spacing w:before="60" w:after="60"/>
        <w:ind w:left="568" w:hanging="284"/>
      </w:pPr>
      <w:r>
        <w:t xml:space="preserve">οι ληξιπρόθεσμες υποχρεώσεις των ΟΤΑ διαμορφώνονται στο ποσό των </w:t>
      </w:r>
      <w:r w:rsidRPr="00FB6140">
        <w:t>326</w:t>
      </w:r>
      <w:r>
        <w:t xml:space="preserve"> εκατ. ευρώ</w:t>
      </w:r>
      <w:r w:rsidR="00612555">
        <w:t>,</w:t>
      </w:r>
    </w:p>
    <w:p w14:paraId="5C278361" w14:textId="4597D36E" w:rsidR="00256282" w:rsidRDefault="00256282" w:rsidP="00256282">
      <w:pPr>
        <w:numPr>
          <w:ilvl w:val="0"/>
          <w:numId w:val="2"/>
        </w:numPr>
        <w:spacing w:before="60" w:after="60"/>
        <w:ind w:left="568" w:hanging="284"/>
      </w:pPr>
      <w:r>
        <w:t xml:space="preserve">όσον αφορά στους ΟΚΑ, το ύψος των ληξιπρόθεσμων υποχρεώσεων διαμορφώνεται στο ποσό των </w:t>
      </w:r>
      <w:r w:rsidRPr="00FB6140">
        <w:t>681</w:t>
      </w:r>
      <w:r>
        <w:t xml:space="preserve"> εκατ. ευρώ, εκ των οποίων ποσό ύψους </w:t>
      </w:r>
      <w:r w:rsidRPr="00F66254">
        <w:t>165</w:t>
      </w:r>
      <w:r>
        <w:t xml:space="preserve"> εκατ. ευρώ αφορά σε ληξιπρόθεσμες υποχρεώσεις του κλάδου εφάπαξ παροχών του</w:t>
      </w:r>
      <w:r w:rsidR="009B1244" w:rsidRPr="009B1244">
        <w:t xml:space="preserve"> Ηλεκτρονικού Εθνικού Φορέα Κοινωνικής Ασφάλισης</w:t>
      </w:r>
      <w:r>
        <w:t xml:space="preserve"> </w:t>
      </w:r>
      <w:r w:rsidR="009B1244">
        <w:t>(</w:t>
      </w:r>
      <w:r>
        <w:t>e-ΕΦΚΑ</w:t>
      </w:r>
      <w:r w:rsidR="009B1244">
        <w:t>)</w:t>
      </w:r>
      <w:r>
        <w:t xml:space="preserve">, κατόπιν της επιτάχυνσης εκκαθάρισης των κύριων συντάξεων, η οποία συμπαρασύρει τον ρυθμό εκκαθάρισης </w:t>
      </w:r>
      <w:r w:rsidR="008666EC">
        <w:t xml:space="preserve">και </w:t>
      </w:r>
      <w:r>
        <w:t xml:space="preserve">των εφάπαξ παροχών. Στο ποσό των ληξιπρόθεσμων υποχρεώσεων συμπεριλαμβάνεται ποσό ανείσπρακτου </w:t>
      </w:r>
      <w:r>
        <w:rPr>
          <w:lang w:val="en-US"/>
        </w:rPr>
        <w:t>clawback</w:t>
      </w:r>
      <w:r w:rsidRPr="00F15AD4">
        <w:t xml:space="preserve"> </w:t>
      </w:r>
      <w:r>
        <w:t xml:space="preserve">και </w:t>
      </w:r>
      <w:r>
        <w:rPr>
          <w:lang w:val="en-US"/>
        </w:rPr>
        <w:t>rebate</w:t>
      </w:r>
      <w:r>
        <w:t xml:space="preserve"> ύψους </w:t>
      </w:r>
      <w:r w:rsidRPr="00F66254">
        <w:t>21</w:t>
      </w:r>
      <w:r>
        <w:t>5 εκατ.</w:t>
      </w:r>
      <w:r w:rsidR="00543549">
        <w:t xml:space="preserve"> </w:t>
      </w:r>
      <w:r>
        <w:t>ευρώ, το οποίο αφορά στον ΕΟΠΥΥ</w:t>
      </w:r>
      <w:r w:rsidRPr="00976B34">
        <w:t xml:space="preserve"> </w:t>
      </w:r>
      <w:r>
        <w:t>και</w:t>
      </w:r>
    </w:p>
    <w:p w14:paraId="72E80FA7" w14:textId="5345D429" w:rsidR="00256282" w:rsidRDefault="00256282" w:rsidP="00256282">
      <w:pPr>
        <w:numPr>
          <w:ilvl w:val="0"/>
          <w:numId w:val="2"/>
        </w:numPr>
        <w:spacing w:before="60" w:after="60"/>
        <w:ind w:left="568" w:hanging="284"/>
      </w:pPr>
      <w:r>
        <w:t xml:space="preserve">ως προς τα λοιπά νομικά πρόσωπα, το ύψος των ληξιπρόθεσμων υποχρεώσεων ανέρχεται στο ποσό των </w:t>
      </w:r>
      <w:r w:rsidRPr="00FB6140">
        <w:t>237</w:t>
      </w:r>
      <w:r>
        <w:t xml:space="preserve"> εκατ. ευρώ.</w:t>
      </w:r>
    </w:p>
    <w:p w14:paraId="4BAD7DB1" w14:textId="77777777" w:rsidR="00256282" w:rsidRDefault="00256282" w:rsidP="00CB2C4A">
      <w:pPr>
        <w:spacing w:before="60" w:after="60"/>
        <w:ind w:left="568"/>
      </w:pPr>
      <w:r>
        <w:t>Σημειώνεται ότι οι ληξιπρόθεσμες υποχρεώσεις:</w:t>
      </w:r>
    </w:p>
    <w:p w14:paraId="59BBCB3D" w14:textId="77777777" w:rsidR="00256282" w:rsidRDefault="00256282" w:rsidP="00256282">
      <w:pPr>
        <w:spacing w:before="60" w:after="60"/>
        <w:ind w:left="567"/>
      </w:pPr>
      <w:r>
        <w:t xml:space="preserve">(α) των συγκοινωνιακών φορέων ανέρχονται στο ποσό των </w:t>
      </w:r>
      <w:r w:rsidRPr="00AF16B6">
        <w:t>37</w:t>
      </w:r>
      <w:r>
        <w:t xml:space="preserve"> εκατ. ευρώ και</w:t>
      </w:r>
    </w:p>
    <w:p w14:paraId="1470B822" w14:textId="77777777" w:rsidR="00256282" w:rsidRPr="00EE61A0" w:rsidRDefault="00256282" w:rsidP="00A24DE6">
      <w:pPr>
        <w:spacing w:before="60"/>
        <w:ind w:left="567"/>
      </w:pPr>
      <w:r>
        <w:t xml:space="preserve">(β) των αμυντικών βιομηχανιών, </w:t>
      </w:r>
      <w:r w:rsidRPr="003D2322">
        <w:t>«Ελληνικά Αμυντικά Συστήματα ΑΒΕΕ»</w:t>
      </w:r>
      <w:r>
        <w:t xml:space="preserve"> (ΕΑΣ ΑΒΕΕ) και </w:t>
      </w:r>
      <w:r w:rsidRPr="003D2322">
        <w:t>«Ελληνική Αεροπορική Βιομηχανία ΑΕ»</w:t>
      </w:r>
      <w:r>
        <w:t xml:space="preserve"> (ΕΑΒ ΑΕ), διαμορφώνονται στο ποσό των </w:t>
      </w:r>
      <w:r w:rsidRPr="009E0447">
        <w:t>9</w:t>
      </w:r>
      <w:r>
        <w:t xml:space="preserve"> εκατ. ευρώ.</w:t>
      </w:r>
    </w:p>
    <w:p w14:paraId="4354A314" w14:textId="7EBB589D" w:rsidR="00256282" w:rsidRPr="00EE61A0" w:rsidRDefault="00256282" w:rsidP="00256282">
      <w:r w:rsidRPr="00EE61A0">
        <w:t>Με γνώμονα τη διασφάλιση της ταμειακής ρευστότητας των φορέων της Γενικής Κυβέρνησης και την εν γένει εύρυθμη λειτουργία τους, εξακολουθεί να ισχύει η καταβολή μέχρι την 20η Ιανουαρίου κάθε έτους έως και του ενός τετάρτου (1/4) της προβλεπόμενης ετήσιας επιχορήγησης ή χρηματοδότησης από φορείς της Κεντρικής Διοίκησης, κατ’ εφαρμογή του άρθρου 84 του ν.4843/2021 (Α’ 193). Στο ίδιο πλαίσιο εξακολουθεί η εντός του έτους εμπροσθοβαρής τμηματική καταβολή της ετήσιας επιχορήγησης των νοσοκομείων από το Υπουργείο Υγείας, κατ’ εφαρμογή του άρθρου 85 του ιδίου ως άνω νόμου.</w:t>
      </w:r>
    </w:p>
    <w:p w14:paraId="0EA95533" w14:textId="11131785" w:rsidR="003D7136" w:rsidRPr="00D64F37" w:rsidRDefault="00256282" w:rsidP="00C36C2D">
      <w:pPr>
        <w:spacing w:after="240"/>
      </w:pPr>
      <w:r w:rsidRPr="00EE61A0">
        <w:t xml:space="preserve">Η εξέλιξη των ληξιπρόθεσμων υποχρεώσεων της Γενικής Κυβέρνησης και των εκκρεμών επιστροφών φόρων απεικονίζεται </w:t>
      </w:r>
      <w:r w:rsidRPr="00D64F37">
        <w:t>παρακάτω</w:t>
      </w:r>
      <w:r w:rsidR="003D7136" w:rsidRPr="00D64F37">
        <w:t xml:space="preserve"> </w:t>
      </w:r>
      <w:r w:rsidR="003D7136" w:rsidRPr="00D64F37">
        <w:rPr>
          <w:szCs w:val="20"/>
        </w:rPr>
        <w:t>(</w:t>
      </w:r>
      <w:r w:rsidR="00537BBE" w:rsidRPr="00D64F37">
        <w:rPr>
          <w:szCs w:val="20"/>
        </w:rPr>
        <w:fldChar w:fldCharType="begin"/>
      </w:r>
      <w:r w:rsidR="00537BBE" w:rsidRPr="00D64F37">
        <w:rPr>
          <w:szCs w:val="20"/>
        </w:rPr>
        <w:instrText xml:space="preserve"> REF _Ref146621821 \h  \* MERGEFORMAT </w:instrText>
      </w:r>
      <w:r w:rsidR="00537BBE" w:rsidRPr="00D64F37">
        <w:rPr>
          <w:szCs w:val="20"/>
        </w:rPr>
      </w:r>
      <w:r w:rsidR="00537BBE" w:rsidRPr="00D64F37">
        <w:rPr>
          <w:szCs w:val="20"/>
        </w:rPr>
        <w:fldChar w:fldCharType="separate"/>
      </w:r>
      <w:r w:rsidR="007F6D9C" w:rsidRPr="00D64F37">
        <w:rPr>
          <w:rFonts w:cs="Arial"/>
          <w:bCs/>
          <w:color w:val="000000"/>
          <w:szCs w:val="20"/>
        </w:rPr>
        <w:t>Πίνακας 2.2</w:t>
      </w:r>
      <w:r w:rsidR="00537BBE" w:rsidRPr="00D64F37">
        <w:rPr>
          <w:szCs w:val="20"/>
        </w:rPr>
        <w:fldChar w:fldCharType="end"/>
      </w:r>
      <w:r w:rsidR="00537BBE" w:rsidRPr="00D64F37">
        <w:rPr>
          <w:szCs w:val="20"/>
        </w:rPr>
        <w:t>.</w:t>
      </w:r>
      <w:r w:rsidR="003D7136" w:rsidRPr="00D64F37">
        <w:rPr>
          <w:szCs w:val="20"/>
        </w:rPr>
        <w:t xml:space="preserve"> και </w:t>
      </w:r>
      <w:r w:rsidR="00537BBE" w:rsidRPr="00D64F37">
        <w:rPr>
          <w:szCs w:val="20"/>
        </w:rPr>
        <w:fldChar w:fldCharType="begin"/>
      </w:r>
      <w:r w:rsidR="00537BBE" w:rsidRPr="00D64F37">
        <w:rPr>
          <w:szCs w:val="20"/>
        </w:rPr>
        <w:instrText xml:space="preserve"> REF _Ref146621887 \h  \* MERGEFORMAT </w:instrText>
      </w:r>
      <w:r w:rsidR="00537BBE" w:rsidRPr="00D64F37">
        <w:rPr>
          <w:szCs w:val="20"/>
        </w:rPr>
      </w:r>
      <w:r w:rsidR="00537BBE" w:rsidRPr="00D64F37">
        <w:rPr>
          <w:szCs w:val="20"/>
        </w:rPr>
        <w:fldChar w:fldCharType="separate"/>
      </w:r>
      <w:r w:rsidR="007F6D9C" w:rsidRPr="00D64F37">
        <w:rPr>
          <w:rFonts w:cs="Arial"/>
          <w:bCs/>
          <w:color w:val="000000"/>
          <w:szCs w:val="20"/>
        </w:rPr>
        <w:t>Πίνακας 2.3</w:t>
      </w:r>
      <w:r w:rsidR="00537BBE" w:rsidRPr="00D64F37">
        <w:rPr>
          <w:szCs w:val="20"/>
        </w:rPr>
        <w:fldChar w:fldCharType="end"/>
      </w:r>
      <w:r w:rsidR="00537BBE" w:rsidRPr="00D64F37">
        <w:rPr>
          <w:szCs w:val="20"/>
        </w:rPr>
        <w:t>.</w:t>
      </w:r>
      <w:r w:rsidR="003D7136" w:rsidRPr="00D64F37">
        <w:rPr>
          <w:szCs w:val="20"/>
        </w:rPr>
        <w:t>).</w:t>
      </w:r>
    </w:p>
    <w:tbl>
      <w:tblPr>
        <w:tblW w:w="9893"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2025"/>
        <w:gridCol w:w="739"/>
        <w:gridCol w:w="785"/>
        <w:gridCol w:w="739"/>
        <w:gridCol w:w="726"/>
        <w:gridCol w:w="765"/>
        <w:gridCol w:w="865"/>
        <w:gridCol w:w="798"/>
        <w:gridCol w:w="875"/>
        <w:gridCol w:w="784"/>
        <w:gridCol w:w="792"/>
      </w:tblGrid>
      <w:tr w:rsidR="00E136B1" w:rsidRPr="005A76C1" w14:paraId="41274E04" w14:textId="77777777" w:rsidTr="00CD0B6B">
        <w:trPr>
          <w:cantSplit/>
          <w:trHeight w:val="567"/>
          <w:jc w:val="center"/>
        </w:trPr>
        <w:tc>
          <w:tcPr>
            <w:tcW w:w="9893" w:type="dxa"/>
            <w:gridSpan w:val="11"/>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000000" w:fill="D5DCE4"/>
            <w:vAlign w:val="center"/>
            <w:hideMark/>
          </w:tcPr>
          <w:p w14:paraId="66F0DBA6" w14:textId="6E8CC62F" w:rsidR="00E136B1" w:rsidRPr="00FA79DA" w:rsidRDefault="00DF39C6" w:rsidP="00C344CB">
            <w:pPr>
              <w:spacing w:after="0" w:line="276" w:lineRule="auto"/>
              <w:jc w:val="center"/>
              <w:rPr>
                <w:rFonts w:cs="Arial"/>
                <w:b/>
                <w:bCs/>
                <w:color w:val="000000"/>
                <w:sz w:val="18"/>
                <w:szCs w:val="18"/>
              </w:rPr>
            </w:pPr>
            <w:bookmarkStart w:id="137" w:name="_Ref146621821"/>
            <w:bookmarkStart w:id="138" w:name="_Toc241953649"/>
            <w:r w:rsidRPr="00FD6748">
              <w:rPr>
                <w:rFonts w:cs="Arial"/>
                <w:b/>
                <w:bCs/>
                <w:color w:val="000000"/>
                <w:sz w:val="18"/>
                <w:szCs w:val="18"/>
              </w:rPr>
              <w:t>Πίνακας 2.</w:t>
            </w:r>
            <w:r w:rsidRPr="00FD6748">
              <w:rPr>
                <w:rFonts w:cs="Arial"/>
                <w:b/>
                <w:bCs/>
                <w:color w:val="000000"/>
                <w:sz w:val="18"/>
                <w:szCs w:val="18"/>
              </w:rPr>
              <w:fldChar w:fldCharType="begin"/>
            </w:r>
            <w:r w:rsidRPr="00FD6748">
              <w:rPr>
                <w:rFonts w:cs="Arial"/>
                <w:b/>
                <w:bCs/>
                <w:color w:val="000000"/>
                <w:sz w:val="18"/>
                <w:szCs w:val="18"/>
              </w:rPr>
              <w:instrText xml:space="preserve"> SEQ Πίνακας_2. \* ARABIC </w:instrText>
            </w:r>
            <w:r w:rsidRPr="00FD6748">
              <w:rPr>
                <w:rFonts w:cs="Arial"/>
                <w:b/>
                <w:bCs/>
                <w:color w:val="000000"/>
                <w:sz w:val="18"/>
                <w:szCs w:val="18"/>
              </w:rPr>
              <w:fldChar w:fldCharType="separate"/>
            </w:r>
            <w:r w:rsidR="007F6D9C">
              <w:rPr>
                <w:rFonts w:cs="Arial"/>
                <w:b/>
                <w:bCs/>
                <w:noProof/>
                <w:color w:val="000000"/>
                <w:sz w:val="18"/>
                <w:szCs w:val="18"/>
              </w:rPr>
              <w:t>2</w:t>
            </w:r>
            <w:r w:rsidRPr="00FD6748">
              <w:rPr>
                <w:rFonts w:cs="Arial"/>
                <w:b/>
                <w:bCs/>
                <w:color w:val="000000"/>
                <w:sz w:val="18"/>
                <w:szCs w:val="18"/>
              </w:rPr>
              <w:fldChar w:fldCharType="end"/>
            </w:r>
            <w:bookmarkEnd w:id="137"/>
            <w:r w:rsidR="00FA79DA" w:rsidRPr="00FD6748">
              <w:rPr>
                <w:rFonts w:cs="Arial"/>
                <w:b/>
                <w:bCs/>
                <w:color w:val="000000"/>
                <w:sz w:val="18"/>
                <w:szCs w:val="18"/>
              </w:rPr>
              <w:t xml:space="preserve">.: </w:t>
            </w:r>
            <w:r w:rsidR="00E136B1" w:rsidRPr="00FD6748">
              <w:rPr>
                <w:rFonts w:cs="Arial"/>
                <w:b/>
                <w:bCs/>
                <w:color w:val="000000"/>
                <w:sz w:val="18"/>
                <w:szCs w:val="18"/>
              </w:rPr>
              <w:t xml:space="preserve">Εξέλιξη ληξιπρόθεσμων υποχρεώσεων </w:t>
            </w:r>
            <w:r w:rsidR="0097738F" w:rsidRPr="00FD6748">
              <w:rPr>
                <w:rFonts w:cs="Arial"/>
                <w:b/>
                <w:bCs/>
                <w:color w:val="000000"/>
                <w:sz w:val="18"/>
                <w:szCs w:val="18"/>
              </w:rPr>
              <w:t>της</w:t>
            </w:r>
            <w:r w:rsidR="0097738F" w:rsidRPr="00FD6748">
              <w:rPr>
                <w:b/>
                <w:bCs/>
                <w:color w:val="000000"/>
                <w:sz w:val="18"/>
                <w:szCs w:val="18"/>
              </w:rPr>
              <w:t xml:space="preserve"> </w:t>
            </w:r>
            <w:r w:rsidR="00E136B1" w:rsidRPr="00FD6748">
              <w:rPr>
                <w:rFonts w:cs="Arial"/>
                <w:b/>
                <w:bCs/>
                <w:color w:val="000000"/>
                <w:sz w:val="18"/>
                <w:szCs w:val="18"/>
              </w:rPr>
              <w:t>Γενικής</w:t>
            </w:r>
            <w:r w:rsidR="007053B4" w:rsidRPr="00FD6748">
              <w:rPr>
                <w:rFonts w:cs="Arial"/>
                <w:b/>
                <w:bCs/>
                <w:color w:val="000000"/>
                <w:sz w:val="18"/>
                <w:szCs w:val="18"/>
              </w:rPr>
              <w:t xml:space="preserve"> </w:t>
            </w:r>
            <w:r w:rsidR="00E136B1" w:rsidRPr="00FD6748">
              <w:rPr>
                <w:rFonts w:cs="Arial"/>
                <w:b/>
                <w:bCs/>
                <w:color w:val="000000"/>
                <w:sz w:val="18"/>
                <w:szCs w:val="18"/>
              </w:rPr>
              <w:t>Κυβέρνησης</w:t>
            </w:r>
            <w:r w:rsidR="00C344CB" w:rsidRPr="00C344CB">
              <w:rPr>
                <w:rFonts w:cs="Arial"/>
                <w:b/>
                <w:bCs/>
                <w:color w:val="000000"/>
                <w:sz w:val="18"/>
                <w:szCs w:val="18"/>
              </w:rPr>
              <w:t xml:space="preserve"> </w:t>
            </w:r>
            <w:r w:rsidR="00E136B1" w:rsidRPr="00FD6748">
              <w:rPr>
                <w:rFonts w:cs="Arial"/>
                <w:b/>
                <w:bCs/>
                <w:color w:val="000000"/>
                <w:sz w:val="18"/>
                <w:szCs w:val="18"/>
              </w:rPr>
              <w:t>Δεκέμβριος 202</w:t>
            </w:r>
            <w:r w:rsidR="00FD6748" w:rsidRPr="00FD6748">
              <w:rPr>
                <w:rFonts w:cs="Arial"/>
                <w:b/>
                <w:bCs/>
                <w:color w:val="000000"/>
                <w:sz w:val="18"/>
                <w:szCs w:val="18"/>
              </w:rPr>
              <w:t>4</w:t>
            </w:r>
            <w:r w:rsidR="00E136B1" w:rsidRPr="00FD6748">
              <w:rPr>
                <w:rFonts w:cs="Arial"/>
                <w:b/>
                <w:bCs/>
                <w:color w:val="000000"/>
                <w:sz w:val="18"/>
                <w:szCs w:val="18"/>
              </w:rPr>
              <w:t xml:space="preserve"> - Ιούλιος 202</w:t>
            </w:r>
            <w:r w:rsidR="00FD6748" w:rsidRPr="00FD6748">
              <w:rPr>
                <w:rFonts w:cs="Arial"/>
                <w:b/>
                <w:bCs/>
                <w:color w:val="000000"/>
                <w:sz w:val="18"/>
                <w:szCs w:val="18"/>
              </w:rPr>
              <w:t>6</w:t>
            </w:r>
            <w:r w:rsidR="00E136B1" w:rsidRPr="00FD6748">
              <w:rPr>
                <w:rFonts w:cs="Arial"/>
                <w:b/>
                <w:bCs/>
                <w:color w:val="000000"/>
                <w:sz w:val="18"/>
                <w:szCs w:val="18"/>
              </w:rPr>
              <w:t xml:space="preserve"> (σε εκατ. ευρώ)</w:t>
            </w:r>
            <w:bookmarkEnd w:id="138"/>
          </w:p>
        </w:tc>
      </w:tr>
      <w:tr w:rsidR="00E136B1" w:rsidRPr="005A76C1" w14:paraId="21B07A5B" w14:textId="77777777" w:rsidTr="00CD0B6B">
        <w:trPr>
          <w:cantSplit/>
          <w:trHeight w:val="443"/>
          <w:jc w:val="center"/>
        </w:trPr>
        <w:tc>
          <w:tcPr>
            <w:tcW w:w="2025" w:type="dxa"/>
            <w:tcBorders>
              <w:top w:val="nil"/>
              <w:left w:val="single" w:sz="2" w:space="0" w:color="A6A6A6" w:themeColor="background1" w:themeShade="A6"/>
              <w:bottom w:val="nil"/>
            </w:tcBorders>
            <w:shd w:val="clear" w:color="auto" w:fill="F2F2F2" w:themeFill="background1" w:themeFillShade="F2"/>
            <w:vAlign w:val="center"/>
            <w:hideMark/>
          </w:tcPr>
          <w:p w14:paraId="1BE8B9B6" w14:textId="77777777" w:rsidR="00E136B1" w:rsidRPr="005A76C1" w:rsidRDefault="00E136B1" w:rsidP="00980693">
            <w:pPr>
              <w:spacing w:after="0" w:line="276" w:lineRule="auto"/>
              <w:jc w:val="left"/>
              <w:rPr>
                <w:rFonts w:cs="Arial"/>
                <w:b/>
                <w:bCs/>
                <w:color w:val="000000"/>
                <w:sz w:val="16"/>
                <w:szCs w:val="16"/>
              </w:rPr>
            </w:pPr>
            <w:r w:rsidRPr="005A76C1">
              <w:rPr>
                <w:rFonts w:cs="Arial"/>
                <w:b/>
                <w:bCs/>
                <w:color w:val="000000"/>
                <w:sz w:val="16"/>
                <w:szCs w:val="16"/>
              </w:rPr>
              <w:t>Φορέας</w:t>
            </w:r>
            <w:r w:rsidR="00217D5D" w:rsidRPr="00217D5D">
              <w:rPr>
                <w:rFonts w:cs="Arial"/>
                <w:b/>
                <w:bCs/>
                <w:color w:val="000000"/>
                <w:sz w:val="16"/>
                <w:szCs w:val="16"/>
              </w:rPr>
              <w:t>/Υποτομέας</w:t>
            </w:r>
            <w:r w:rsidRPr="005A76C1">
              <w:rPr>
                <w:rFonts w:cs="Arial"/>
                <w:b/>
                <w:bCs/>
                <w:color w:val="000000"/>
                <w:sz w:val="16"/>
                <w:szCs w:val="16"/>
              </w:rPr>
              <w:t xml:space="preserve"> Γενικής Κυβέρνησης</w:t>
            </w:r>
          </w:p>
        </w:tc>
        <w:tc>
          <w:tcPr>
            <w:tcW w:w="739" w:type="dxa"/>
            <w:tcBorders>
              <w:top w:val="nil"/>
              <w:bottom w:val="nil"/>
            </w:tcBorders>
            <w:shd w:val="clear" w:color="auto" w:fill="F2F2F2" w:themeFill="background1" w:themeFillShade="F2"/>
            <w:vAlign w:val="center"/>
            <w:hideMark/>
          </w:tcPr>
          <w:p w14:paraId="4A292ED1" w14:textId="573240B7"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Δεκ.</w:t>
            </w:r>
            <w:r w:rsidRPr="005A76C1">
              <w:rPr>
                <w:rFonts w:cs="Arial"/>
                <w:b/>
                <w:bCs/>
                <w:color w:val="000000"/>
                <w:sz w:val="16"/>
                <w:szCs w:val="16"/>
              </w:rPr>
              <w:br/>
              <w:t>202</w:t>
            </w:r>
            <w:r w:rsidR="00FD6748">
              <w:rPr>
                <w:rFonts w:cs="Arial"/>
                <w:b/>
                <w:bCs/>
                <w:color w:val="000000"/>
                <w:sz w:val="16"/>
                <w:szCs w:val="16"/>
              </w:rPr>
              <w:t>4</w:t>
            </w:r>
          </w:p>
        </w:tc>
        <w:tc>
          <w:tcPr>
            <w:tcW w:w="785" w:type="dxa"/>
            <w:tcBorders>
              <w:top w:val="nil"/>
              <w:bottom w:val="nil"/>
            </w:tcBorders>
            <w:shd w:val="clear" w:color="auto" w:fill="F2F2F2" w:themeFill="background1" w:themeFillShade="F2"/>
            <w:vAlign w:val="center"/>
            <w:hideMark/>
          </w:tcPr>
          <w:p w14:paraId="28F5EE81" w14:textId="42C749FA"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Ιο</w:t>
            </w:r>
            <w:r w:rsidR="00BC56C2">
              <w:rPr>
                <w:rFonts w:cs="Arial"/>
                <w:b/>
                <w:bCs/>
                <w:color w:val="000000"/>
                <w:sz w:val="16"/>
                <w:szCs w:val="16"/>
              </w:rPr>
              <w:t>υ</w:t>
            </w:r>
            <w:r w:rsidRPr="005A76C1">
              <w:rPr>
                <w:rFonts w:cs="Arial"/>
                <w:b/>
                <w:bCs/>
                <w:color w:val="000000"/>
                <w:sz w:val="16"/>
                <w:szCs w:val="16"/>
              </w:rPr>
              <w:t>λ.</w:t>
            </w:r>
            <w:r w:rsidRPr="005A76C1">
              <w:rPr>
                <w:rFonts w:cs="Arial"/>
                <w:b/>
                <w:bCs/>
                <w:color w:val="000000"/>
                <w:sz w:val="16"/>
                <w:szCs w:val="16"/>
              </w:rPr>
              <w:br/>
              <w:t>202</w:t>
            </w:r>
            <w:r w:rsidR="00FD6748">
              <w:rPr>
                <w:rFonts w:cs="Arial"/>
                <w:b/>
                <w:bCs/>
                <w:color w:val="000000"/>
                <w:sz w:val="16"/>
                <w:szCs w:val="16"/>
              </w:rPr>
              <w:t>5</w:t>
            </w:r>
          </w:p>
        </w:tc>
        <w:tc>
          <w:tcPr>
            <w:tcW w:w="739" w:type="dxa"/>
            <w:tcBorders>
              <w:top w:val="nil"/>
              <w:bottom w:val="nil"/>
            </w:tcBorders>
            <w:shd w:val="clear" w:color="auto" w:fill="F2F2F2" w:themeFill="background1" w:themeFillShade="F2"/>
            <w:vAlign w:val="center"/>
            <w:hideMark/>
          </w:tcPr>
          <w:p w14:paraId="7DCB97E3" w14:textId="7D11AA63"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Δεκ.</w:t>
            </w:r>
            <w:r w:rsidRPr="005A76C1">
              <w:rPr>
                <w:rFonts w:cs="Arial"/>
                <w:b/>
                <w:bCs/>
                <w:color w:val="000000"/>
                <w:sz w:val="16"/>
                <w:szCs w:val="16"/>
              </w:rPr>
              <w:br/>
              <w:t>202</w:t>
            </w:r>
            <w:r w:rsidR="00FD6748">
              <w:rPr>
                <w:rFonts w:cs="Arial"/>
                <w:b/>
                <w:bCs/>
                <w:color w:val="000000"/>
                <w:sz w:val="16"/>
                <w:szCs w:val="16"/>
              </w:rPr>
              <w:t>5</w:t>
            </w:r>
          </w:p>
        </w:tc>
        <w:tc>
          <w:tcPr>
            <w:tcW w:w="726" w:type="dxa"/>
            <w:tcBorders>
              <w:top w:val="nil"/>
              <w:bottom w:val="nil"/>
            </w:tcBorders>
            <w:shd w:val="clear" w:color="auto" w:fill="F2F2F2" w:themeFill="background1" w:themeFillShade="F2"/>
            <w:vAlign w:val="center"/>
            <w:hideMark/>
          </w:tcPr>
          <w:p w14:paraId="068ED52E" w14:textId="29547B5F"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Ιαν.</w:t>
            </w:r>
            <w:r w:rsidRPr="005A76C1">
              <w:rPr>
                <w:rFonts w:cs="Arial"/>
                <w:b/>
                <w:bCs/>
                <w:color w:val="000000"/>
                <w:sz w:val="16"/>
                <w:szCs w:val="16"/>
              </w:rPr>
              <w:br/>
              <w:t>202</w:t>
            </w:r>
            <w:r w:rsidR="00FD6748">
              <w:rPr>
                <w:rFonts w:cs="Arial"/>
                <w:b/>
                <w:bCs/>
                <w:color w:val="000000"/>
                <w:sz w:val="16"/>
                <w:szCs w:val="16"/>
              </w:rPr>
              <w:t>6</w:t>
            </w:r>
          </w:p>
        </w:tc>
        <w:tc>
          <w:tcPr>
            <w:tcW w:w="765" w:type="dxa"/>
            <w:tcBorders>
              <w:top w:val="nil"/>
              <w:bottom w:val="nil"/>
            </w:tcBorders>
            <w:shd w:val="clear" w:color="auto" w:fill="F2F2F2" w:themeFill="background1" w:themeFillShade="F2"/>
            <w:vAlign w:val="center"/>
            <w:hideMark/>
          </w:tcPr>
          <w:p w14:paraId="309506FA" w14:textId="0B933656"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Φεβ.</w:t>
            </w:r>
            <w:r w:rsidRPr="005A76C1">
              <w:rPr>
                <w:rFonts w:cs="Arial"/>
                <w:b/>
                <w:bCs/>
                <w:color w:val="000000"/>
                <w:sz w:val="16"/>
                <w:szCs w:val="16"/>
              </w:rPr>
              <w:br/>
              <w:t>202</w:t>
            </w:r>
            <w:r w:rsidR="00FD6748">
              <w:rPr>
                <w:rFonts w:cs="Arial"/>
                <w:b/>
                <w:bCs/>
                <w:color w:val="000000"/>
                <w:sz w:val="16"/>
                <w:szCs w:val="16"/>
              </w:rPr>
              <w:t>6</w:t>
            </w:r>
          </w:p>
        </w:tc>
        <w:tc>
          <w:tcPr>
            <w:tcW w:w="865" w:type="dxa"/>
            <w:tcBorders>
              <w:top w:val="nil"/>
              <w:bottom w:val="nil"/>
            </w:tcBorders>
            <w:shd w:val="clear" w:color="auto" w:fill="F2F2F2" w:themeFill="background1" w:themeFillShade="F2"/>
            <w:vAlign w:val="center"/>
            <w:hideMark/>
          </w:tcPr>
          <w:p w14:paraId="60396050" w14:textId="4D1D402F" w:rsidR="00E136B1" w:rsidRPr="00BC56C2" w:rsidRDefault="00E136B1" w:rsidP="00980693">
            <w:pPr>
              <w:spacing w:after="0" w:line="276" w:lineRule="auto"/>
              <w:jc w:val="center"/>
              <w:rPr>
                <w:rFonts w:cs="Arial"/>
                <w:b/>
                <w:bCs/>
                <w:color w:val="000000"/>
                <w:sz w:val="16"/>
                <w:szCs w:val="16"/>
                <w:lang w:val="en-US"/>
              </w:rPr>
            </w:pPr>
            <w:proofErr w:type="spellStart"/>
            <w:r w:rsidRPr="005A76C1">
              <w:rPr>
                <w:rFonts w:cs="Arial"/>
                <w:b/>
                <w:bCs/>
                <w:color w:val="000000"/>
                <w:sz w:val="16"/>
                <w:szCs w:val="16"/>
              </w:rPr>
              <w:t>Μ</w:t>
            </w:r>
            <w:r w:rsidR="00BC56C2">
              <w:rPr>
                <w:rFonts w:cs="Arial"/>
                <w:b/>
                <w:bCs/>
                <w:color w:val="000000"/>
                <w:sz w:val="16"/>
                <w:szCs w:val="16"/>
              </w:rPr>
              <w:t>α</w:t>
            </w:r>
            <w:r w:rsidRPr="005A76C1">
              <w:rPr>
                <w:rFonts w:cs="Arial"/>
                <w:b/>
                <w:bCs/>
                <w:color w:val="000000"/>
                <w:sz w:val="16"/>
                <w:szCs w:val="16"/>
              </w:rPr>
              <w:t>ρτ</w:t>
            </w:r>
            <w:proofErr w:type="spellEnd"/>
            <w:r w:rsidRPr="005A76C1">
              <w:rPr>
                <w:rFonts w:cs="Arial"/>
                <w:b/>
                <w:bCs/>
                <w:color w:val="000000"/>
                <w:sz w:val="16"/>
                <w:szCs w:val="16"/>
              </w:rPr>
              <w:t>.</w:t>
            </w:r>
            <w:r w:rsidRPr="005A76C1">
              <w:rPr>
                <w:rFonts w:cs="Arial"/>
                <w:b/>
                <w:bCs/>
                <w:color w:val="000000"/>
                <w:sz w:val="16"/>
                <w:szCs w:val="16"/>
              </w:rPr>
              <w:br/>
              <w:t>202</w:t>
            </w:r>
            <w:r w:rsidR="00FD6748">
              <w:rPr>
                <w:rFonts w:cs="Arial"/>
                <w:b/>
                <w:bCs/>
                <w:color w:val="000000"/>
                <w:sz w:val="16"/>
                <w:szCs w:val="16"/>
              </w:rPr>
              <w:t>6</w:t>
            </w:r>
          </w:p>
        </w:tc>
        <w:tc>
          <w:tcPr>
            <w:tcW w:w="798" w:type="dxa"/>
            <w:tcBorders>
              <w:top w:val="nil"/>
              <w:bottom w:val="nil"/>
            </w:tcBorders>
            <w:shd w:val="clear" w:color="auto" w:fill="F2F2F2" w:themeFill="background1" w:themeFillShade="F2"/>
            <w:vAlign w:val="center"/>
            <w:hideMark/>
          </w:tcPr>
          <w:p w14:paraId="1430BF72" w14:textId="4770AE16"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Απρ.</w:t>
            </w:r>
            <w:r w:rsidRPr="005A76C1">
              <w:rPr>
                <w:rFonts w:cs="Arial"/>
                <w:b/>
                <w:bCs/>
                <w:color w:val="000000"/>
                <w:sz w:val="16"/>
                <w:szCs w:val="16"/>
              </w:rPr>
              <w:br/>
              <w:t>202</w:t>
            </w:r>
            <w:r w:rsidR="00FD6748">
              <w:rPr>
                <w:rFonts w:cs="Arial"/>
                <w:b/>
                <w:bCs/>
                <w:color w:val="000000"/>
                <w:sz w:val="16"/>
                <w:szCs w:val="16"/>
              </w:rPr>
              <w:t>6</w:t>
            </w:r>
          </w:p>
        </w:tc>
        <w:tc>
          <w:tcPr>
            <w:tcW w:w="875" w:type="dxa"/>
            <w:tcBorders>
              <w:top w:val="nil"/>
              <w:bottom w:val="nil"/>
            </w:tcBorders>
            <w:shd w:val="clear" w:color="auto" w:fill="F2F2F2" w:themeFill="background1" w:themeFillShade="F2"/>
            <w:vAlign w:val="center"/>
            <w:hideMark/>
          </w:tcPr>
          <w:p w14:paraId="2D2D3ED9" w14:textId="71F4EF56"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Μάιος</w:t>
            </w:r>
            <w:r w:rsidRPr="005A76C1">
              <w:rPr>
                <w:rFonts w:cs="Arial"/>
                <w:b/>
                <w:bCs/>
                <w:color w:val="000000"/>
                <w:sz w:val="16"/>
                <w:szCs w:val="16"/>
              </w:rPr>
              <w:br/>
              <w:t>202</w:t>
            </w:r>
            <w:r w:rsidR="00FD6748">
              <w:rPr>
                <w:rFonts w:cs="Arial"/>
                <w:b/>
                <w:bCs/>
                <w:color w:val="000000"/>
                <w:sz w:val="16"/>
                <w:szCs w:val="16"/>
              </w:rPr>
              <w:t>6</w:t>
            </w:r>
          </w:p>
        </w:tc>
        <w:tc>
          <w:tcPr>
            <w:tcW w:w="784" w:type="dxa"/>
            <w:tcBorders>
              <w:top w:val="nil"/>
              <w:bottom w:val="nil"/>
            </w:tcBorders>
            <w:shd w:val="clear" w:color="auto" w:fill="F2F2F2" w:themeFill="background1" w:themeFillShade="F2"/>
            <w:vAlign w:val="center"/>
            <w:hideMark/>
          </w:tcPr>
          <w:p w14:paraId="3BD0DAC8" w14:textId="6AC8FBD9"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Ιο</w:t>
            </w:r>
            <w:r w:rsidR="00BC56C2">
              <w:rPr>
                <w:rFonts w:cs="Arial"/>
                <w:b/>
                <w:bCs/>
                <w:color w:val="000000"/>
                <w:sz w:val="16"/>
                <w:szCs w:val="16"/>
              </w:rPr>
              <w:t>υ</w:t>
            </w:r>
            <w:r w:rsidRPr="005A76C1">
              <w:rPr>
                <w:rFonts w:cs="Arial"/>
                <w:b/>
                <w:bCs/>
                <w:color w:val="000000"/>
                <w:sz w:val="16"/>
                <w:szCs w:val="16"/>
              </w:rPr>
              <w:t>ν.</w:t>
            </w:r>
            <w:r w:rsidRPr="005A76C1">
              <w:rPr>
                <w:rFonts w:cs="Arial"/>
                <w:b/>
                <w:bCs/>
                <w:color w:val="000000"/>
                <w:sz w:val="16"/>
                <w:szCs w:val="16"/>
              </w:rPr>
              <w:br/>
              <w:t>202</w:t>
            </w:r>
            <w:r w:rsidR="00FD6748">
              <w:rPr>
                <w:rFonts w:cs="Arial"/>
                <w:b/>
                <w:bCs/>
                <w:color w:val="000000"/>
                <w:sz w:val="16"/>
                <w:szCs w:val="16"/>
              </w:rPr>
              <w:t>6</w:t>
            </w:r>
          </w:p>
        </w:tc>
        <w:tc>
          <w:tcPr>
            <w:tcW w:w="792" w:type="dxa"/>
            <w:tcBorders>
              <w:top w:val="nil"/>
              <w:bottom w:val="nil"/>
              <w:right w:val="single" w:sz="2" w:space="0" w:color="A6A6A6" w:themeColor="background1" w:themeShade="A6"/>
            </w:tcBorders>
            <w:shd w:val="clear" w:color="auto" w:fill="F2F2F2" w:themeFill="background1" w:themeFillShade="F2"/>
            <w:vAlign w:val="center"/>
            <w:hideMark/>
          </w:tcPr>
          <w:p w14:paraId="5665FD3A" w14:textId="3732D478"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Ιο</w:t>
            </w:r>
            <w:r w:rsidR="00BC56C2">
              <w:rPr>
                <w:rFonts w:cs="Arial"/>
                <w:b/>
                <w:bCs/>
                <w:color w:val="000000"/>
                <w:sz w:val="16"/>
                <w:szCs w:val="16"/>
              </w:rPr>
              <w:t>υ</w:t>
            </w:r>
            <w:r w:rsidRPr="005A76C1">
              <w:rPr>
                <w:rFonts w:cs="Arial"/>
                <w:b/>
                <w:bCs/>
                <w:color w:val="000000"/>
                <w:sz w:val="16"/>
                <w:szCs w:val="16"/>
              </w:rPr>
              <w:t>λ.</w:t>
            </w:r>
            <w:r w:rsidRPr="005A76C1">
              <w:rPr>
                <w:rFonts w:cs="Arial"/>
                <w:b/>
                <w:bCs/>
                <w:color w:val="000000"/>
                <w:sz w:val="16"/>
                <w:szCs w:val="16"/>
              </w:rPr>
              <w:br/>
              <w:t>202</w:t>
            </w:r>
            <w:r w:rsidR="00FD6748">
              <w:rPr>
                <w:rFonts w:cs="Arial"/>
                <w:b/>
                <w:bCs/>
                <w:color w:val="000000"/>
                <w:sz w:val="16"/>
                <w:szCs w:val="16"/>
              </w:rPr>
              <w:t>6</w:t>
            </w:r>
          </w:p>
        </w:tc>
      </w:tr>
      <w:tr w:rsidR="00FD6748" w:rsidRPr="005A76C1" w14:paraId="0B8C6D77" w14:textId="77777777" w:rsidTr="00CD0B6B">
        <w:trPr>
          <w:cantSplit/>
          <w:trHeight w:val="295"/>
          <w:jc w:val="center"/>
        </w:trPr>
        <w:tc>
          <w:tcPr>
            <w:tcW w:w="2025" w:type="dxa"/>
            <w:tcBorders>
              <w:top w:val="nil"/>
              <w:left w:val="single" w:sz="2" w:space="0" w:color="A6A6A6" w:themeColor="background1" w:themeShade="A6"/>
              <w:bottom w:val="nil"/>
            </w:tcBorders>
            <w:noWrap/>
            <w:vAlign w:val="center"/>
            <w:hideMark/>
          </w:tcPr>
          <w:p w14:paraId="0A52B833"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Κράτος</w:t>
            </w:r>
          </w:p>
        </w:tc>
        <w:tc>
          <w:tcPr>
            <w:tcW w:w="739" w:type="dxa"/>
            <w:tcBorders>
              <w:top w:val="nil"/>
              <w:bottom w:val="nil"/>
            </w:tcBorders>
            <w:vAlign w:val="center"/>
          </w:tcPr>
          <w:p w14:paraId="2271266A" w14:textId="6DD204B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157</w:t>
            </w:r>
          </w:p>
        </w:tc>
        <w:tc>
          <w:tcPr>
            <w:tcW w:w="785" w:type="dxa"/>
            <w:tcBorders>
              <w:top w:val="nil"/>
              <w:bottom w:val="nil"/>
            </w:tcBorders>
            <w:noWrap/>
            <w:vAlign w:val="center"/>
          </w:tcPr>
          <w:p w14:paraId="69DB7896" w14:textId="2D0B413D"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218</w:t>
            </w:r>
          </w:p>
        </w:tc>
        <w:tc>
          <w:tcPr>
            <w:tcW w:w="739" w:type="dxa"/>
            <w:tcBorders>
              <w:top w:val="nil"/>
              <w:bottom w:val="nil"/>
            </w:tcBorders>
            <w:vAlign w:val="center"/>
          </w:tcPr>
          <w:p w14:paraId="23AE08A8" w14:textId="23D27E8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127</w:t>
            </w:r>
          </w:p>
        </w:tc>
        <w:tc>
          <w:tcPr>
            <w:tcW w:w="726" w:type="dxa"/>
            <w:tcBorders>
              <w:top w:val="nil"/>
              <w:bottom w:val="nil"/>
            </w:tcBorders>
            <w:noWrap/>
            <w:vAlign w:val="center"/>
          </w:tcPr>
          <w:p w14:paraId="668ED9AA" w14:textId="5D4CD1D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138</w:t>
            </w:r>
          </w:p>
        </w:tc>
        <w:tc>
          <w:tcPr>
            <w:tcW w:w="765" w:type="dxa"/>
            <w:tcBorders>
              <w:top w:val="nil"/>
              <w:bottom w:val="nil"/>
            </w:tcBorders>
            <w:noWrap/>
            <w:vAlign w:val="center"/>
          </w:tcPr>
          <w:p w14:paraId="11413749" w14:textId="671A116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156</w:t>
            </w:r>
          </w:p>
        </w:tc>
        <w:tc>
          <w:tcPr>
            <w:tcW w:w="865" w:type="dxa"/>
            <w:tcBorders>
              <w:top w:val="nil"/>
              <w:bottom w:val="nil"/>
            </w:tcBorders>
            <w:noWrap/>
            <w:vAlign w:val="center"/>
          </w:tcPr>
          <w:p w14:paraId="0DF2ADE9" w14:textId="6E1B358C"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199</w:t>
            </w:r>
          </w:p>
        </w:tc>
        <w:tc>
          <w:tcPr>
            <w:tcW w:w="798" w:type="dxa"/>
            <w:tcBorders>
              <w:top w:val="nil"/>
              <w:bottom w:val="nil"/>
            </w:tcBorders>
            <w:noWrap/>
            <w:vAlign w:val="center"/>
          </w:tcPr>
          <w:p w14:paraId="32067493" w14:textId="24E2297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183</w:t>
            </w:r>
          </w:p>
        </w:tc>
        <w:tc>
          <w:tcPr>
            <w:tcW w:w="875" w:type="dxa"/>
            <w:tcBorders>
              <w:top w:val="nil"/>
              <w:bottom w:val="nil"/>
            </w:tcBorders>
            <w:noWrap/>
            <w:vAlign w:val="center"/>
          </w:tcPr>
          <w:p w14:paraId="3CB2F655" w14:textId="135E23A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193</w:t>
            </w:r>
          </w:p>
        </w:tc>
        <w:tc>
          <w:tcPr>
            <w:tcW w:w="784" w:type="dxa"/>
            <w:tcBorders>
              <w:top w:val="nil"/>
              <w:bottom w:val="nil"/>
            </w:tcBorders>
            <w:noWrap/>
            <w:vAlign w:val="center"/>
          </w:tcPr>
          <w:p w14:paraId="38A0E6EF" w14:textId="1D89D06D"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167</w:t>
            </w:r>
          </w:p>
        </w:tc>
        <w:tc>
          <w:tcPr>
            <w:tcW w:w="792" w:type="dxa"/>
            <w:tcBorders>
              <w:top w:val="nil"/>
              <w:bottom w:val="nil"/>
              <w:right w:val="single" w:sz="2" w:space="0" w:color="A6A6A6" w:themeColor="background1" w:themeShade="A6"/>
            </w:tcBorders>
            <w:noWrap/>
            <w:vAlign w:val="center"/>
          </w:tcPr>
          <w:p w14:paraId="0FC82051" w14:textId="4B0D9F84"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167</w:t>
            </w:r>
          </w:p>
        </w:tc>
      </w:tr>
      <w:tr w:rsidR="00FD6748" w:rsidRPr="005A76C1" w14:paraId="5FD81FDA" w14:textId="77777777" w:rsidTr="00CD0B6B">
        <w:trPr>
          <w:cantSplit/>
          <w:trHeight w:val="295"/>
          <w:jc w:val="center"/>
        </w:trPr>
        <w:tc>
          <w:tcPr>
            <w:tcW w:w="2025" w:type="dxa"/>
            <w:tcBorders>
              <w:top w:val="nil"/>
              <w:left w:val="single" w:sz="2" w:space="0" w:color="A6A6A6" w:themeColor="background1" w:themeShade="A6"/>
              <w:bottom w:val="nil"/>
            </w:tcBorders>
            <w:noWrap/>
            <w:vAlign w:val="center"/>
            <w:hideMark/>
          </w:tcPr>
          <w:p w14:paraId="25501DE3"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ΟΤΑ</w:t>
            </w:r>
          </w:p>
        </w:tc>
        <w:tc>
          <w:tcPr>
            <w:tcW w:w="739" w:type="dxa"/>
            <w:tcBorders>
              <w:top w:val="nil"/>
              <w:bottom w:val="nil"/>
            </w:tcBorders>
            <w:vAlign w:val="center"/>
          </w:tcPr>
          <w:p w14:paraId="0D975506" w14:textId="64AD747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231</w:t>
            </w:r>
          </w:p>
        </w:tc>
        <w:tc>
          <w:tcPr>
            <w:tcW w:w="785" w:type="dxa"/>
            <w:tcBorders>
              <w:top w:val="nil"/>
              <w:bottom w:val="nil"/>
            </w:tcBorders>
            <w:noWrap/>
            <w:vAlign w:val="center"/>
          </w:tcPr>
          <w:p w14:paraId="01A58C91" w14:textId="6D59566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247</w:t>
            </w:r>
          </w:p>
        </w:tc>
        <w:tc>
          <w:tcPr>
            <w:tcW w:w="739" w:type="dxa"/>
            <w:tcBorders>
              <w:top w:val="nil"/>
              <w:bottom w:val="nil"/>
            </w:tcBorders>
            <w:vAlign w:val="center"/>
          </w:tcPr>
          <w:p w14:paraId="470E51CB" w14:textId="1754026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180</w:t>
            </w:r>
          </w:p>
        </w:tc>
        <w:tc>
          <w:tcPr>
            <w:tcW w:w="726" w:type="dxa"/>
            <w:tcBorders>
              <w:top w:val="nil"/>
              <w:bottom w:val="nil"/>
            </w:tcBorders>
            <w:noWrap/>
            <w:vAlign w:val="center"/>
          </w:tcPr>
          <w:p w14:paraId="0B64BEA7" w14:textId="0CED461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209</w:t>
            </w:r>
          </w:p>
        </w:tc>
        <w:tc>
          <w:tcPr>
            <w:tcW w:w="765" w:type="dxa"/>
            <w:tcBorders>
              <w:top w:val="nil"/>
              <w:bottom w:val="nil"/>
            </w:tcBorders>
            <w:noWrap/>
            <w:vAlign w:val="center"/>
          </w:tcPr>
          <w:p w14:paraId="32F2CCCF" w14:textId="05A6D94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260</w:t>
            </w:r>
          </w:p>
        </w:tc>
        <w:tc>
          <w:tcPr>
            <w:tcW w:w="865" w:type="dxa"/>
            <w:tcBorders>
              <w:top w:val="nil"/>
              <w:bottom w:val="nil"/>
            </w:tcBorders>
            <w:noWrap/>
            <w:vAlign w:val="center"/>
          </w:tcPr>
          <w:p w14:paraId="27A7E742" w14:textId="6CEACC2A"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329</w:t>
            </w:r>
          </w:p>
        </w:tc>
        <w:tc>
          <w:tcPr>
            <w:tcW w:w="798" w:type="dxa"/>
            <w:tcBorders>
              <w:top w:val="nil"/>
              <w:bottom w:val="nil"/>
            </w:tcBorders>
            <w:noWrap/>
            <w:vAlign w:val="center"/>
          </w:tcPr>
          <w:p w14:paraId="6F5FA272" w14:textId="06A750C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367</w:t>
            </w:r>
          </w:p>
        </w:tc>
        <w:tc>
          <w:tcPr>
            <w:tcW w:w="875" w:type="dxa"/>
            <w:tcBorders>
              <w:top w:val="nil"/>
              <w:bottom w:val="nil"/>
            </w:tcBorders>
            <w:noWrap/>
            <w:vAlign w:val="center"/>
          </w:tcPr>
          <w:p w14:paraId="42E7D697" w14:textId="5BD1F2B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345</w:t>
            </w:r>
          </w:p>
        </w:tc>
        <w:tc>
          <w:tcPr>
            <w:tcW w:w="784" w:type="dxa"/>
            <w:tcBorders>
              <w:top w:val="nil"/>
              <w:bottom w:val="nil"/>
            </w:tcBorders>
            <w:noWrap/>
            <w:vAlign w:val="center"/>
          </w:tcPr>
          <w:p w14:paraId="53203D57" w14:textId="205991A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335</w:t>
            </w:r>
          </w:p>
        </w:tc>
        <w:tc>
          <w:tcPr>
            <w:tcW w:w="792" w:type="dxa"/>
            <w:tcBorders>
              <w:top w:val="nil"/>
              <w:bottom w:val="nil"/>
              <w:right w:val="single" w:sz="2" w:space="0" w:color="A6A6A6" w:themeColor="background1" w:themeShade="A6"/>
            </w:tcBorders>
            <w:noWrap/>
            <w:vAlign w:val="center"/>
          </w:tcPr>
          <w:p w14:paraId="16DE0E52" w14:textId="27358378"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326</w:t>
            </w:r>
          </w:p>
        </w:tc>
      </w:tr>
      <w:tr w:rsidR="00FD6748" w:rsidRPr="005A76C1" w14:paraId="77467441" w14:textId="77777777" w:rsidTr="00CD0B6B">
        <w:trPr>
          <w:cantSplit/>
          <w:trHeight w:val="295"/>
          <w:jc w:val="center"/>
        </w:trPr>
        <w:tc>
          <w:tcPr>
            <w:tcW w:w="2025" w:type="dxa"/>
            <w:tcBorders>
              <w:top w:val="nil"/>
              <w:left w:val="single" w:sz="2" w:space="0" w:color="A6A6A6" w:themeColor="background1" w:themeShade="A6"/>
              <w:bottom w:val="nil"/>
            </w:tcBorders>
            <w:noWrap/>
            <w:vAlign w:val="center"/>
            <w:hideMark/>
          </w:tcPr>
          <w:p w14:paraId="014AD3A7"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ΟΚΑ</w:t>
            </w:r>
            <w:r w:rsidRPr="00901E10">
              <w:rPr>
                <w:rFonts w:cs="Arial"/>
                <w:color w:val="000000"/>
                <w:sz w:val="16"/>
                <w:szCs w:val="16"/>
                <w:vertAlign w:val="superscript"/>
              </w:rPr>
              <w:t>1</w:t>
            </w:r>
          </w:p>
        </w:tc>
        <w:tc>
          <w:tcPr>
            <w:tcW w:w="739" w:type="dxa"/>
            <w:tcBorders>
              <w:top w:val="nil"/>
              <w:bottom w:val="nil"/>
            </w:tcBorders>
            <w:vAlign w:val="center"/>
          </w:tcPr>
          <w:p w14:paraId="2EA65EE6" w14:textId="4B01573A"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617</w:t>
            </w:r>
          </w:p>
        </w:tc>
        <w:tc>
          <w:tcPr>
            <w:tcW w:w="785" w:type="dxa"/>
            <w:tcBorders>
              <w:top w:val="nil"/>
              <w:bottom w:val="nil"/>
            </w:tcBorders>
            <w:noWrap/>
            <w:vAlign w:val="center"/>
          </w:tcPr>
          <w:p w14:paraId="3F935DFF" w14:textId="0D7C349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623</w:t>
            </w:r>
          </w:p>
        </w:tc>
        <w:tc>
          <w:tcPr>
            <w:tcW w:w="739" w:type="dxa"/>
            <w:tcBorders>
              <w:top w:val="nil"/>
              <w:bottom w:val="nil"/>
            </w:tcBorders>
            <w:vAlign w:val="center"/>
          </w:tcPr>
          <w:p w14:paraId="1389C6B6" w14:textId="70FA93F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666</w:t>
            </w:r>
          </w:p>
        </w:tc>
        <w:tc>
          <w:tcPr>
            <w:tcW w:w="726" w:type="dxa"/>
            <w:tcBorders>
              <w:top w:val="nil"/>
              <w:bottom w:val="nil"/>
            </w:tcBorders>
            <w:noWrap/>
            <w:vAlign w:val="center"/>
          </w:tcPr>
          <w:p w14:paraId="2798DF6D" w14:textId="580B6862"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652</w:t>
            </w:r>
          </w:p>
        </w:tc>
        <w:tc>
          <w:tcPr>
            <w:tcW w:w="765" w:type="dxa"/>
            <w:tcBorders>
              <w:top w:val="nil"/>
              <w:bottom w:val="nil"/>
            </w:tcBorders>
            <w:noWrap/>
            <w:vAlign w:val="center"/>
          </w:tcPr>
          <w:p w14:paraId="2EC031FD" w14:textId="48B068F8"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606</w:t>
            </w:r>
          </w:p>
        </w:tc>
        <w:tc>
          <w:tcPr>
            <w:tcW w:w="865" w:type="dxa"/>
            <w:tcBorders>
              <w:top w:val="nil"/>
              <w:bottom w:val="nil"/>
            </w:tcBorders>
            <w:noWrap/>
            <w:vAlign w:val="center"/>
          </w:tcPr>
          <w:p w14:paraId="1E4A8523" w14:textId="32B7C51E"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668</w:t>
            </w:r>
          </w:p>
        </w:tc>
        <w:tc>
          <w:tcPr>
            <w:tcW w:w="798" w:type="dxa"/>
            <w:tcBorders>
              <w:top w:val="nil"/>
              <w:bottom w:val="nil"/>
            </w:tcBorders>
            <w:noWrap/>
            <w:vAlign w:val="center"/>
          </w:tcPr>
          <w:p w14:paraId="2BE25B78" w14:textId="4F11CD44"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721</w:t>
            </w:r>
          </w:p>
        </w:tc>
        <w:tc>
          <w:tcPr>
            <w:tcW w:w="875" w:type="dxa"/>
            <w:tcBorders>
              <w:top w:val="nil"/>
              <w:bottom w:val="nil"/>
            </w:tcBorders>
            <w:noWrap/>
            <w:vAlign w:val="center"/>
          </w:tcPr>
          <w:p w14:paraId="25DBD693" w14:textId="78FC7A7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706</w:t>
            </w:r>
          </w:p>
        </w:tc>
        <w:tc>
          <w:tcPr>
            <w:tcW w:w="784" w:type="dxa"/>
            <w:tcBorders>
              <w:top w:val="nil"/>
              <w:bottom w:val="nil"/>
            </w:tcBorders>
            <w:noWrap/>
            <w:vAlign w:val="center"/>
          </w:tcPr>
          <w:p w14:paraId="7DC37FEB" w14:textId="08F36CD2"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715</w:t>
            </w:r>
          </w:p>
        </w:tc>
        <w:tc>
          <w:tcPr>
            <w:tcW w:w="792" w:type="dxa"/>
            <w:tcBorders>
              <w:top w:val="nil"/>
              <w:bottom w:val="nil"/>
              <w:right w:val="single" w:sz="2" w:space="0" w:color="A6A6A6" w:themeColor="background1" w:themeShade="A6"/>
            </w:tcBorders>
            <w:noWrap/>
            <w:vAlign w:val="center"/>
          </w:tcPr>
          <w:p w14:paraId="500F5541" w14:textId="7DA2675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681</w:t>
            </w:r>
          </w:p>
        </w:tc>
      </w:tr>
      <w:tr w:rsidR="00FD6748" w:rsidRPr="005A76C1" w14:paraId="6AB6C811" w14:textId="77777777" w:rsidTr="00CD0B6B">
        <w:trPr>
          <w:cantSplit/>
          <w:trHeight w:val="295"/>
          <w:jc w:val="center"/>
        </w:trPr>
        <w:tc>
          <w:tcPr>
            <w:tcW w:w="2025" w:type="dxa"/>
            <w:tcBorders>
              <w:top w:val="nil"/>
              <w:left w:val="single" w:sz="2" w:space="0" w:color="A6A6A6" w:themeColor="background1" w:themeShade="A6"/>
              <w:bottom w:val="nil"/>
            </w:tcBorders>
            <w:noWrap/>
            <w:vAlign w:val="center"/>
            <w:hideMark/>
          </w:tcPr>
          <w:p w14:paraId="64E6D30E"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Νοσοκομεία</w:t>
            </w:r>
            <w:r w:rsidRPr="00C73A7A">
              <w:rPr>
                <w:rFonts w:cs="Arial"/>
                <w:color w:val="000000"/>
                <w:sz w:val="16"/>
                <w:szCs w:val="16"/>
                <w:vertAlign w:val="superscript"/>
              </w:rPr>
              <w:t>1</w:t>
            </w:r>
            <w:r>
              <w:rPr>
                <w:rFonts w:cs="Arial"/>
                <w:color w:val="000000"/>
                <w:sz w:val="16"/>
                <w:szCs w:val="16"/>
                <w:vertAlign w:val="superscript"/>
              </w:rPr>
              <w:t>, 2</w:t>
            </w:r>
          </w:p>
        </w:tc>
        <w:tc>
          <w:tcPr>
            <w:tcW w:w="739" w:type="dxa"/>
            <w:tcBorders>
              <w:top w:val="nil"/>
              <w:bottom w:val="nil"/>
            </w:tcBorders>
            <w:vAlign w:val="center"/>
          </w:tcPr>
          <w:p w14:paraId="063B9A3B" w14:textId="5A625CA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1.164</w:t>
            </w:r>
          </w:p>
        </w:tc>
        <w:tc>
          <w:tcPr>
            <w:tcW w:w="785" w:type="dxa"/>
            <w:tcBorders>
              <w:top w:val="nil"/>
              <w:bottom w:val="nil"/>
            </w:tcBorders>
            <w:noWrap/>
            <w:vAlign w:val="center"/>
          </w:tcPr>
          <w:p w14:paraId="37986A41" w14:textId="0A893E6D"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1.498</w:t>
            </w:r>
          </w:p>
        </w:tc>
        <w:tc>
          <w:tcPr>
            <w:tcW w:w="739" w:type="dxa"/>
            <w:tcBorders>
              <w:top w:val="nil"/>
              <w:bottom w:val="nil"/>
            </w:tcBorders>
            <w:vAlign w:val="center"/>
          </w:tcPr>
          <w:p w14:paraId="6D310884" w14:textId="4E2C813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1.397</w:t>
            </w:r>
          </w:p>
        </w:tc>
        <w:tc>
          <w:tcPr>
            <w:tcW w:w="726" w:type="dxa"/>
            <w:tcBorders>
              <w:top w:val="nil"/>
              <w:bottom w:val="nil"/>
            </w:tcBorders>
            <w:noWrap/>
            <w:vAlign w:val="center"/>
          </w:tcPr>
          <w:p w14:paraId="0D20A60B" w14:textId="1C65D581"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1.605</w:t>
            </w:r>
          </w:p>
        </w:tc>
        <w:tc>
          <w:tcPr>
            <w:tcW w:w="765" w:type="dxa"/>
            <w:tcBorders>
              <w:top w:val="nil"/>
              <w:bottom w:val="nil"/>
            </w:tcBorders>
            <w:noWrap/>
            <w:vAlign w:val="center"/>
          </w:tcPr>
          <w:p w14:paraId="388EB1AA" w14:textId="09BC640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1.694</w:t>
            </w:r>
          </w:p>
        </w:tc>
        <w:tc>
          <w:tcPr>
            <w:tcW w:w="865" w:type="dxa"/>
            <w:tcBorders>
              <w:top w:val="nil"/>
              <w:bottom w:val="nil"/>
            </w:tcBorders>
            <w:noWrap/>
            <w:vAlign w:val="center"/>
          </w:tcPr>
          <w:p w14:paraId="55428D0A" w14:textId="1B55E97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1.586</w:t>
            </w:r>
          </w:p>
        </w:tc>
        <w:tc>
          <w:tcPr>
            <w:tcW w:w="798" w:type="dxa"/>
            <w:tcBorders>
              <w:top w:val="nil"/>
              <w:bottom w:val="nil"/>
            </w:tcBorders>
            <w:noWrap/>
            <w:vAlign w:val="center"/>
          </w:tcPr>
          <w:p w14:paraId="7529A101" w14:textId="49EA1EF2"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1.468</w:t>
            </w:r>
          </w:p>
        </w:tc>
        <w:tc>
          <w:tcPr>
            <w:tcW w:w="875" w:type="dxa"/>
            <w:tcBorders>
              <w:top w:val="nil"/>
              <w:bottom w:val="nil"/>
            </w:tcBorders>
            <w:noWrap/>
            <w:vAlign w:val="center"/>
          </w:tcPr>
          <w:p w14:paraId="5912A48A" w14:textId="35B203E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1.519</w:t>
            </w:r>
          </w:p>
        </w:tc>
        <w:tc>
          <w:tcPr>
            <w:tcW w:w="784" w:type="dxa"/>
            <w:tcBorders>
              <w:top w:val="nil"/>
              <w:bottom w:val="nil"/>
            </w:tcBorders>
            <w:noWrap/>
            <w:vAlign w:val="center"/>
          </w:tcPr>
          <w:p w14:paraId="3B3F21AB" w14:textId="094C9488"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1.305</w:t>
            </w:r>
          </w:p>
        </w:tc>
        <w:tc>
          <w:tcPr>
            <w:tcW w:w="792" w:type="dxa"/>
            <w:tcBorders>
              <w:top w:val="nil"/>
              <w:bottom w:val="nil"/>
              <w:right w:val="single" w:sz="2" w:space="0" w:color="A6A6A6" w:themeColor="background1" w:themeShade="A6"/>
            </w:tcBorders>
            <w:noWrap/>
            <w:vAlign w:val="center"/>
          </w:tcPr>
          <w:p w14:paraId="7FFB674C" w14:textId="59EAD03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1.235</w:t>
            </w:r>
          </w:p>
        </w:tc>
      </w:tr>
      <w:tr w:rsidR="00FD6748" w:rsidRPr="005A76C1" w14:paraId="31F4D1E0" w14:textId="77777777" w:rsidTr="00CD0B6B">
        <w:trPr>
          <w:cantSplit/>
          <w:trHeight w:val="295"/>
          <w:jc w:val="center"/>
        </w:trPr>
        <w:tc>
          <w:tcPr>
            <w:tcW w:w="2025" w:type="dxa"/>
            <w:tcBorders>
              <w:top w:val="nil"/>
              <w:left w:val="single" w:sz="2" w:space="0" w:color="A6A6A6" w:themeColor="background1" w:themeShade="A6"/>
              <w:bottom w:val="nil"/>
            </w:tcBorders>
            <w:noWrap/>
            <w:vAlign w:val="center"/>
            <w:hideMark/>
          </w:tcPr>
          <w:p w14:paraId="01261EF4"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Λοιπά Νομικά Πρόσωπα</w:t>
            </w:r>
          </w:p>
        </w:tc>
        <w:tc>
          <w:tcPr>
            <w:tcW w:w="739" w:type="dxa"/>
            <w:tcBorders>
              <w:top w:val="nil"/>
              <w:bottom w:val="nil"/>
            </w:tcBorders>
            <w:vAlign w:val="center"/>
          </w:tcPr>
          <w:p w14:paraId="2E7E23E6" w14:textId="2041B6C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184</w:t>
            </w:r>
          </w:p>
        </w:tc>
        <w:tc>
          <w:tcPr>
            <w:tcW w:w="785" w:type="dxa"/>
            <w:tcBorders>
              <w:top w:val="nil"/>
              <w:bottom w:val="nil"/>
            </w:tcBorders>
            <w:noWrap/>
            <w:vAlign w:val="center"/>
          </w:tcPr>
          <w:p w14:paraId="3833FD4E" w14:textId="140DB501"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224</w:t>
            </w:r>
          </w:p>
        </w:tc>
        <w:tc>
          <w:tcPr>
            <w:tcW w:w="739" w:type="dxa"/>
            <w:tcBorders>
              <w:top w:val="nil"/>
              <w:bottom w:val="nil"/>
            </w:tcBorders>
            <w:vAlign w:val="center"/>
          </w:tcPr>
          <w:p w14:paraId="3D897B01" w14:textId="6CE5B07E"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208</w:t>
            </w:r>
          </w:p>
        </w:tc>
        <w:tc>
          <w:tcPr>
            <w:tcW w:w="726" w:type="dxa"/>
            <w:tcBorders>
              <w:top w:val="nil"/>
              <w:bottom w:val="nil"/>
            </w:tcBorders>
            <w:noWrap/>
            <w:vAlign w:val="center"/>
          </w:tcPr>
          <w:p w14:paraId="5E40B977" w14:textId="42B0B66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194</w:t>
            </w:r>
          </w:p>
        </w:tc>
        <w:tc>
          <w:tcPr>
            <w:tcW w:w="765" w:type="dxa"/>
            <w:tcBorders>
              <w:top w:val="nil"/>
              <w:bottom w:val="nil"/>
            </w:tcBorders>
            <w:noWrap/>
            <w:vAlign w:val="center"/>
          </w:tcPr>
          <w:p w14:paraId="7417FDD8" w14:textId="1052652A"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197</w:t>
            </w:r>
          </w:p>
        </w:tc>
        <w:tc>
          <w:tcPr>
            <w:tcW w:w="865" w:type="dxa"/>
            <w:tcBorders>
              <w:top w:val="nil"/>
              <w:bottom w:val="nil"/>
            </w:tcBorders>
            <w:noWrap/>
            <w:vAlign w:val="center"/>
          </w:tcPr>
          <w:p w14:paraId="57722BB9" w14:textId="43FFA445"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215</w:t>
            </w:r>
          </w:p>
        </w:tc>
        <w:tc>
          <w:tcPr>
            <w:tcW w:w="798" w:type="dxa"/>
            <w:tcBorders>
              <w:top w:val="nil"/>
              <w:bottom w:val="nil"/>
            </w:tcBorders>
            <w:noWrap/>
            <w:vAlign w:val="center"/>
          </w:tcPr>
          <w:p w14:paraId="5204338B" w14:textId="414DC4C1"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214</w:t>
            </w:r>
          </w:p>
        </w:tc>
        <w:tc>
          <w:tcPr>
            <w:tcW w:w="875" w:type="dxa"/>
            <w:tcBorders>
              <w:top w:val="nil"/>
              <w:bottom w:val="nil"/>
            </w:tcBorders>
            <w:noWrap/>
            <w:vAlign w:val="center"/>
          </w:tcPr>
          <w:p w14:paraId="063A4573" w14:textId="5F820A3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236</w:t>
            </w:r>
          </w:p>
        </w:tc>
        <w:tc>
          <w:tcPr>
            <w:tcW w:w="784" w:type="dxa"/>
            <w:tcBorders>
              <w:top w:val="nil"/>
              <w:bottom w:val="nil"/>
            </w:tcBorders>
            <w:noWrap/>
            <w:vAlign w:val="center"/>
          </w:tcPr>
          <w:p w14:paraId="0486FA1D" w14:textId="1ACE9B4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243</w:t>
            </w:r>
          </w:p>
        </w:tc>
        <w:tc>
          <w:tcPr>
            <w:tcW w:w="792" w:type="dxa"/>
            <w:tcBorders>
              <w:top w:val="nil"/>
              <w:bottom w:val="nil"/>
              <w:right w:val="single" w:sz="2" w:space="0" w:color="A6A6A6" w:themeColor="background1" w:themeShade="A6"/>
            </w:tcBorders>
            <w:noWrap/>
            <w:vAlign w:val="center"/>
          </w:tcPr>
          <w:p w14:paraId="4935D9E4" w14:textId="0326B3B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237</w:t>
            </w:r>
          </w:p>
        </w:tc>
      </w:tr>
      <w:tr w:rsidR="00FD6748" w:rsidRPr="005A76C1" w14:paraId="4CAFF644" w14:textId="77777777" w:rsidTr="00CD0B6B">
        <w:trPr>
          <w:cantSplit/>
          <w:trHeight w:val="679"/>
          <w:jc w:val="center"/>
        </w:trPr>
        <w:tc>
          <w:tcPr>
            <w:tcW w:w="2025" w:type="dxa"/>
            <w:tcBorders>
              <w:top w:val="nil"/>
              <w:left w:val="single" w:sz="2" w:space="0" w:color="A6A6A6" w:themeColor="background1" w:themeShade="A6"/>
              <w:bottom w:val="single" w:sz="2" w:space="0" w:color="A6A6A6" w:themeColor="background1" w:themeShade="A6"/>
            </w:tcBorders>
            <w:shd w:val="clear" w:color="000000" w:fill="D5DCE4"/>
            <w:vAlign w:val="center"/>
            <w:hideMark/>
          </w:tcPr>
          <w:p w14:paraId="1824543F" w14:textId="77777777" w:rsidR="00FD6748" w:rsidRPr="005A76C1" w:rsidRDefault="00FD6748" w:rsidP="00980693">
            <w:pPr>
              <w:spacing w:after="0" w:line="276" w:lineRule="auto"/>
              <w:jc w:val="left"/>
              <w:rPr>
                <w:rFonts w:cs="Arial"/>
                <w:b/>
                <w:bCs/>
                <w:color w:val="000000"/>
                <w:sz w:val="16"/>
                <w:szCs w:val="16"/>
              </w:rPr>
            </w:pPr>
            <w:r w:rsidRPr="005A76C1">
              <w:rPr>
                <w:rFonts w:cs="Arial"/>
                <w:b/>
                <w:bCs/>
                <w:color w:val="000000"/>
                <w:sz w:val="16"/>
                <w:szCs w:val="16"/>
              </w:rPr>
              <w:t xml:space="preserve">Ληξιπρόθεσμες υποχρεώσεις </w:t>
            </w:r>
            <w:r w:rsidRPr="005A76C1">
              <w:rPr>
                <w:rFonts w:cs="Arial"/>
                <w:b/>
                <w:bCs/>
                <w:color w:val="000000"/>
                <w:sz w:val="16"/>
                <w:szCs w:val="16"/>
              </w:rPr>
              <w:br/>
              <w:t>Γενικής Κυβέρνησης</w:t>
            </w:r>
          </w:p>
        </w:tc>
        <w:tc>
          <w:tcPr>
            <w:tcW w:w="739" w:type="dxa"/>
            <w:tcBorders>
              <w:top w:val="nil"/>
              <w:bottom w:val="single" w:sz="2" w:space="0" w:color="A6A6A6" w:themeColor="background1" w:themeShade="A6"/>
            </w:tcBorders>
            <w:shd w:val="clear" w:color="000000" w:fill="D5DCE4"/>
            <w:noWrap/>
            <w:vAlign w:val="center"/>
          </w:tcPr>
          <w:p w14:paraId="44C0AE82" w14:textId="7EC9B95D"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2.352</w:t>
            </w:r>
          </w:p>
        </w:tc>
        <w:tc>
          <w:tcPr>
            <w:tcW w:w="785" w:type="dxa"/>
            <w:tcBorders>
              <w:top w:val="nil"/>
              <w:bottom w:val="single" w:sz="2" w:space="0" w:color="A6A6A6" w:themeColor="background1" w:themeShade="A6"/>
            </w:tcBorders>
            <w:shd w:val="clear" w:color="000000" w:fill="D5DCE4"/>
            <w:noWrap/>
            <w:vAlign w:val="center"/>
          </w:tcPr>
          <w:p w14:paraId="2EF37EDB" w14:textId="1BD919FA"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2.810</w:t>
            </w:r>
          </w:p>
        </w:tc>
        <w:tc>
          <w:tcPr>
            <w:tcW w:w="739" w:type="dxa"/>
            <w:tcBorders>
              <w:top w:val="nil"/>
              <w:bottom w:val="single" w:sz="2" w:space="0" w:color="A6A6A6" w:themeColor="background1" w:themeShade="A6"/>
            </w:tcBorders>
            <w:shd w:val="clear" w:color="000000" w:fill="D5DCE4"/>
            <w:noWrap/>
            <w:vAlign w:val="center"/>
          </w:tcPr>
          <w:p w14:paraId="4E5651ED" w14:textId="72C659AB"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2.577</w:t>
            </w:r>
          </w:p>
        </w:tc>
        <w:tc>
          <w:tcPr>
            <w:tcW w:w="726" w:type="dxa"/>
            <w:tcBorders>
              <w:top w:val="nil"/>
              <w:bottom w:val="single" w:sz="2" w:space="0" w:color="A6A6A6" w:themeColor="background1" w:themeShade="A6"/>
            </w:tcBorders>
            <w:shd w:val="clear" w:color="000000" w:fill="D5DCE4"/>
            <w:noWrap/>
            <w:vAlign w:val="center"/>
          </w:tcPr>
          <w:p w14:paraId="6091DE0B" w14:textId="3E6AEAC2"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2.797</w:t>
            </w:r>
          </w:p>
        </w:tc>
        <w:tc>
          <w:tcPr>
            <w:tcW w:w="765" w:type="dxa"/>
            <w:tcBorders>
              <w:top w:val="nil"/>
              <w:bottom w:val="single" w:sz="2" w:space="0" w:color="A6A6A6" w:themeColor="background1" w:themeShade="A6"/>
            </w:tcBorders>
            <w:shd w:val="clear" w:color="000000" w:fill="D5DCE4"/>
            <w:noWrap/>
            <w:vAlign w:val="center"/>
          </w:tcPr>
          <w:p w14:paraId="570029E1" w14:textId="26BCF536"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2.912</w:t>
            </w:r>
          </w:p>
        </w:tc>
        <w:tc>
          <w:tcPr>
            <w:tcW w:w="865" w:type="dxa"/>
            <w:tcBorders>
              <w:top w:val="nil"/>
              <w:bottom w:val="single" w:sz="2" w:space="0" w:color="A6A6A6" w:themeColor="background1" w:themeShade="A6"/>
            </w:tcBorders>
            <w:shd w:val="clear" w:color="000000" w:fill="D5DCE4"/>
            <w:noWrap/>
            <w:vAlign w:val="center"/>
          </w:tcPr>
          <w:p w14:paraId="3C538D6E" w14:textId="3A17DF33"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2.996</w:t>
            </w:r>
          </w:p>
        </w:tc>
        <w:tc>
          <w:tcPr>
            <w:tcW w:w="798" w:type="dxa"/>
            <w:tcBorders>
              <w:top w:val="nil"/>
              <w:bottom w:val="single" w:sz="2" w:space="0" w:color="A6A6A6" w:themeColor="background1" w:themeShade="A6"/>
            </w:tcBorders>
            <w:shd w:val="clear" w:color="000000" w:fill="D5DCE4"/>
            <w:noWrap/>
            <w:vAlign w:val="center"/>
          </w:tcPr>
          <w:p w14:paraId="6C6595FE" w14:textId="40DA856A"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2.953</w:t>
            </w:r>
          </w:p>
        </w:tc>
        <w:tc>
          <w:tcPr>
            <w:tcW w:w="875" w:type="dxa"/>
            <w:tcBorders>
              <w:top w:val="nil"/>
              <w:bottom w:val="single" w:sz="2" w:space="0" w:color="A6A6A6" w:themeColor="background1" w:themeShade="A6"/>
            </w:tcBorders>
            <w:shd w:val="clear" w:color="000000" w:fill="D5DCE4"/>
            <w:noWrap/>
            <w:vAlign w:val="center"/>
          </w:tcPr>
          <w:p w14:paraId="103813BC" w14:textId="1A3CFDD7"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3.000</w:t>
            </w:r>
          </w:p>
        </w:tc>
        <w:tc>
          <w:tcPr>
            <w:tcW w:w="784" w:type="dxa"/>
            <w:tcBorders>
              <w:top w:val="nil"/>
              <w:bottom w:val="single" w:sz="2" w:space="0" w:color="A6A6A6" w:themeColor="background1" w:themeShade="A6"/>
            </w:tcBorders>
            <w:shd w:val="clear" w:color="000000" w:fill="D5DCE4"/>
            <w:noWrap/>
            <w:vAlign w:val="center"/>
          </w:tcPr>
          <w:p w14:paraId="5259BA7C" w14:textId="30E2DBC7"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2.764</w:t>
            </w:r>
          </w:p>
        </w:tc>
        <w:tc>
          <w:tcPr>
            <w:tcW w:w="792" w:type="dxa"/>
            <w:tcBorders>
              <w:top w:val="nil"/>
              <w:bottom w:val="single" w:sz="2" w:space="0" w:color="A6A6A6" w:themeColor="background1" w:themeShade="A6"/>
              <w:right w:val="single" w:sz="2" w:space="0" w:color="A6A6A6" w:themeColor="background1" w:themeShade="A6"/>
            </w:tcBorders>
            <w:shd w:val="clear" w:color="000000" w:fill="D5DCE4"/>
            <w:noWrap/>
            <w:vAlign w:val="center"/>
          </w:tcPr>
          <w:p w14:paraId="575400CF" w14:textId="0A161D64"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2.646</w:t>
            </w:r>
          </w:p>
        </w:tc>
      </w:tr>
      <w:tr w:rsidR="008D407B" w:rsidRPr="005A76C1" w14:paraId="074F47D6" w14:textId="77777777" w:rsidTr="00CD0B6B">
        <w:trPr>
          <w:cantSplit/>
          <w:trHeight w:val="283"/>
          <w:jc w:val="center"/>
        </w:trPr>
        <w:tc>
          <w:tcPr>
            <w:tcW w:w="9893" w:type="dxa"/>
            <w:gridSpan w:val="11"/>
            <w:tcBorders>
              <w:top w:val="single" w:sz="2" w:space="0" w:color="A6A6A6" w:themeColor="background1" w:themeShade="A6"/>
              <w:left w:val="nil"/>
              <w:bottom w:val="nil"/>
              <w:right w:val="nil"/>
            </w:tcBorders>
            <w:vAlign w:val="center"/>
          </w:tcPr>
          <w:p w14:paraId="56A3BFFC" w14:textId="77777777" w:rsidR="008D407B" w:rsidRDefault="008D407B" w:rsidP="00BE2019">
            <w:pPr>
              <w:tabs>
                <w:tab w:val="left" w:pos="113"/>
              </w:tabs>
              <w:spacing w:before="60" w:after="0" w:line="276" w:lineRule="auto"/>
              <w:jc w:val="left"/>
              <w:rPr>
                <w:rFonts w:cs="Arial"/>
                <w:bCs/>
                <w:sz w:val="16"/>
                <w:szCs w:val="16"/>
              </w:rPr>
            </w:pPr>
            <w:r w:rsidRPr="00901E10">
              <w:rPr>
                <w:rFonts w:cs="Arial"/>
                <w:bCs/>
                <w:sz w:val="16"/>
                <w:szCs w:val="16"/>
                <w:vertAlign w:val="superscript"/>
              </w:rPr>
              <w:t>1</w:t>
            </w:r>
            <w:r>
              <w:rPr>
                <w:rFonts w:cs="Arial"/>
                <w:bCs/>
                <w:sz w:val="16"/>
                <w:szCs w:val="16"/>
                <w:vertAlign w:val="superscript"/>
              </w:rPr>
              <w:tab/>
            </w:r>
            <w:r w:rsidRPr="00217D5D">
              <w:rPr>
                <w:rFonts w:cs="Arial"/>
                <w:bCs/>
                <w:sz w:val="16"/>
                <w:szCs w:val="16"/>
              </w:rPr>
              <w:t>Περιλαμβάνονται και ποσά clawback και rebate που δεν έχουν συμψηφιστεί.</w:t>
            </w:r>
          </w:p>
          <w:p w14:paraId="15876C37" w14:textId="2B6F6DDE" w:rsidR="004F0DAA" w:rsidRPr="005A76C1" w:rsidRDefault="004F0DAA" w:rsidP="00BE2019">
            <w:pPr>
              <w:tabs>
                <w:tab w:val="left" w:pos="113"/>
              </w:tabs>
              <w:spacing w:before="60" w:after="0" w:line="276" w:lineRule="auto"/>
              <w:jc w:val="left"/>
              <w:rPr>
                <w:rFonts w:cs="Arial"/>
                <w:b/>
                <w:bCs/>
                <w:color w:val="000000"/>
                <w:sz w:val="16"/>
                <w:szCs w:val="16"/>
              </w:rPr>
            </w:pPr>
            <w:r w:rsidRPr="00901E10">
              <w:rPr>
                <w:rFonts w:cs="Arial"/>
                <w:bCs/>
                <w:sz w:val="16"/>
                <w:szCs w:val="16"/>
                <w:vertAlign w:val="superscript"/>
              </w:rPr>
              <w:t>2</w:t>
            </w:r>
            <w:r>
              <w:rPr>
                <w:rFonts w:cs="Arial"/>
                <w:bCs/>
                <w:sz w:val="16"/>
                <w:szCs w:val="16"/>
                <w:vertAlign w:val="superscript"/>
              </w:rPr>
              <w:tab/>
            </w:r>
            <w:r>
              <w:rPr>
                <w:rFonts w:cs="Arial"/>
                <w:bCs/>
                <w:sz w:val="16"/>
                <w:szCs w:val="16"/>
              </w:rPr>
              <w:t>Π</w:t>
            </w:r>
            <w:r w:rsidRPr="00217D5D">
              <w:rPr>
                <w:rFonts w:cs="Arial"/>
                <w:bCs/>
                <w:sz w:val="16"/>
                <w:szCs w:val="16"/>
              </w:rPr>
              <w:t>εριλαμβάνονται και οι ληξιπρόθεσμες υποχρεώσεις της ΕΚΑΠΥ.</w:t>
            </w:r>
          </w:p>
        </w:tc>
      </w:tr>
    </w:tbl>
    <w:p w14:paraId="5299CE42" w14:textId="77777777" w:rsidR="00E8782C" w:rsidRDefault="00E8782C" w:rsidP="00E8782C"/>
    <w:tbl>
      <w:tblPr>
        <w:tblW w:w="10628" w:type="dxa"/>
        <w:jc w:val="cente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blBorders>
        <w:tblLook w:val="04A0" w:firstRow="1" w:lastRow="0" w:firstColumn="1" w:lastColumn="0" w:noHBand="0" w:noVBand="1"/>
      </w:tblPr>
      <w:tblGrid>
        <w:gridCol w:w="2750"/>
        <w:gridCol w:w="733"/>
        <w:gridCol w:w="793"/>
        <w:gridCol w:w="744"/>
        <w:gridCol w:w="693"/>
        <w:gridCol w:w="772"/>
        <w:gridCol w:w="874"/>
        <w:gridCol w:w="803"/>
        <w:gridCol w:w="880"/>
        <w:gridCol w:w="793"/>
        <w:gridCol w:w="793"/>
      </w:tblGrid>
      <w:tr w:rsidR="00083965" w:rsidRPr="007222E8" w14:paraId="4DCEBF31" w14:textId="77777777" w:rsidTr="00AE39BF">
        <w:trPr>
          <w:cantSplit/>
          <w:trHeight w:val="567"/>
          <w:jc w:val="center"/>
        </w:trPr>
        <w:tc>
          <w:tcPr>
            <w:tcW w:w="5000" w:type="pct"/>
            <w:gridSpan w:val="11"/>
            <w:shd w:val="clear" w:color="000000" w:fill="D5DCE4"/>
            <w:vAlign w:val="center"/>
            <w:hideMark/>
          </w:tcPr>
          <w:p w14:paraId="6E2CF563" w14:textId="53322667" w:rsidR="00E136B1" w:rsidRPr="007222E8" w:rsidRDefault="00DF39C6" w:rsidP="00787B59">
            <w:pPr>
              <w:spacing w:after="0" w:line="276" w:lineRule="auto"/>
              <w:jc w:val="center"/>
              <w:rPr>
                <w:rFonts w:cs="Arial"/>
                <w:b/>
                <w:bCs/>
                <w:color w:val="000000"/>
                <w:sz w:val="18"/>
                <w:szCs w:val="18"/>
              </w:rPr>
            </w:pPr>
            <w:bookmarkStart w:id="139" w:name="_Ref146621887"/>
            <w:bookmarkStart w:id="140" w:name="_Toc241953650"/>
            <w:r w:rsidRPr="00CB6F91">
              <w:rPr>
                <w:rFonts w:cs="Arial"/>
                <w:b/>
                <w:bCs/>
                <w:color w:val="000000"/>
                <w:sz w:val="18"/>
                <w:szCs w:val="18"/>
              </w:rPr>
              <w:t>Πίνακας 2.</w:t>
            </w:r>
            <w:r w:rsidRPr="00CB6F91">
              <w:rPr>
                <w:rFonts w:cs="Arial"/>
                <w:b/>
                <w:bCs/>
                <w:color w:val="000000"/>
                <w:sz w:val="18"/>
                <w:szCs w:val="18"/>
              </w:rPr>
              <w:fldChar w:fldCharType="begin"/>
            </w:r>
            <w:r w:rsidRPr="00CB6F91">
              <w:rPr>
                <w:rFonts w:cs="Arial"/>
                <w:b/>
                <w:bCs/>
                <w:color w:val="000000"/>
                <w:sz w:val="18"/>
                <w:szCs w:val="18"/>
              </w:rPr>
              <w:instrText xml:space="preserve"> SEQ Πίνακας_2. \* ARABIC </w:instrText>
            </w:r>
            <w:r w:rsidRPr="00CB6F91">
              <w:rPr>
                <w:rFonts w:cs="Arial"/>
                <w:b/>
                <w:bCs/>
                <w:color w:val="000000"/>
                <w:sz w:val="18"/>
                <w:szCs w:val="18"/>
              </w:rPr>
              <w:fldChar w:fldCharType="separate"/>
            </w:r>
            <w:r w:rsidR="007F6D9C">
              <w:rPr>
                <w:rFonts w:cs="Arial"/>
                <w:b/>
                <w:bCs/>
                <w:noProof/>
                <w:color w:val="000000"/>
                <w:sz w:val="18"/>
                <w:szCs w:val="18"/>
              </w:rPr>
              <w:t>3</w:t>
            </w:r>
            <w:r w:rsidRPr="00CB6F91">
              <w:rPr>
                <w:rFonts w:cs="Arial"/>
                <w:b/>
                <w:bCs/>
                <w:color w:val="000000"/>
                <w:sz w:val="18"/>
                <w:szCs w:val="18"/>
              </w:rPr>
              <w:fldChar w:fldCharType="end"/>
            </w:r>
            <w:bookmarkEnd w:id="139"/>
            <w:r w:rsidR="00FA79DA" w:rsidRPr="00CB6F91">
              <w:rPr>
                <w:rFonts w:cs="Arial"/>
                <w:b/>
                <w:bCs/>
                <w:color w:val="000000"/>
                <w:sz w:val="18"/>
                <w:szCs w:val="18"/>
              </w:rPr>
              <w:t>.:</w:t>
            </w:r>
            <w:r w:rsidR="00E136B1" w:rsidRPr="00CB6F91">
              <w:rPr>
                <w:rFonts w:cs="Arial"/>
                <w:b/>
                <w:bCs/>
                <w:color w:val="000000"/>
                <w:sz w:val="18"/>
                <w:szCs w:val="18"/>
              </w:rPr>
              <w:t xml:space="preserve"> Εξέλιξη εκκρεμών επιστροφών φόρων Δεκέμβριος 202</w:t>
            </w:r>
            <w:r w:rsidR="00DA73A0" w:rsidRPr="00CB6F91">
              <w:rPr>
                <w:rFonts w:cs="Arial"/>
                <w:b/>
                <w:bCs/>
                <w:color w:val="000000"/>
                <w:sz w:val="18"/>
                <w:szCs w:val="18"/>
              </w:rPr>
              <w:t>4</w:t>
            </w:r>
            <w:r w:rsidR="00E136B1" w:rsidRPr="00CB6F91">
              <w:rPr>
                <w:rFonts w:cs="Arial"/>
                <w:b/>
                <w:bCs/>
                <w:color w:val="000000"/>
                <w:sz w:val="18"/>
                <w:szCs w:val="18"/>
              </w:rPr>
              <w:t xml:space="preserve"> - Ιούλιος 202</w:t>
            </w:r>
            <w:r w:rsidR="00DA73A0" w:rsidRPr="00CB6F91">
              <w:rPr>
                <w:rFonts w:cs="Arial"/>
                <w:b/>
                <w:bCs/>
                <w:color w:val="000000"/>
                <w:sz w:val="18"/>
                <w:szCs w:val="18"/>
              </w:rPr>
              <w:t>6</w:t>
            </w:r>
            <w:r w:rsidR="00787B59">
              <w:rPr>
                <w:rFonts w:cs="Arial"/>
                <w:b/>
                <w:bCs/>
                <w:color w:val="000000"/>
                <w:sz w:val="18"/>
                <w:szCs w:val="18"/>
              </w:rPr>
              <w:br/>
            </w:r>
            <w:r w:rsidR="00921E96" w:rsidRPr="00CB6F91">
              <w:rPr>
                <w:rFonts w:cs="Arial"/>
                <w:b/>
                <w:bCs/>
                <w:color w:val="000000"/>
                <w:sz w:val="18"/>
                <w:szCs w:val="18"/>
              </w:rPr>
              <w:t>(σε εκατ. ευρώ)</w:t>
            </w:r>
            <w:bookmarkEnd w:id="140"/>
          </w:p>
        </w:tc>
      </w:tr>
      <w:tr w:rsidR="00BE5249" w:rsidRPr="007222E8" w14:paraId="39121E4C" w14:textId="77777777" w:rsidTr="007E1FE1">
        <w:trPr>
          <w:cantSplit/>
          <w:trHeight w:val="442"/>
          <w:jc w:val="center"/>
        </w:trPr>
        <w:tc>
          <w:tcPr>
            <w:tcW w:w="1294" w:type="pct"/>
            <w:vAlign w:val="center"/>
            <w:hideMark/>
          </w:tcPr>
          <w:p w14:paraId="0F8987C1" w14:textId="7D02B33F" w:rsidR="00E136B1" w:rsidRPr="007E1FE1" w:rsidRDefault="00E136B1" w:rsidP="00980693">
            <w:pPr>
              <w:spacing w:after="0" w:line="276" w:lineRule="auto"/>
              <w:jc w:val="left"/>
              <w:rPr>
                <w:rFonts w:ascii="Times New Roman" w:hAnsi="Times New Roman"/>
                <w:color w:val="000000"/>
                <w:szCs w:val="20"/>
              </w:rPr>
            </w:pPr>
          </w:p>
        </w:tc>
        <w:tc>
          <w:tcPr>
            <w:tcW w:w="345" w:type="pct"/>
            <w:vAlign w:val="center"/>
            <w:hideMark/>
          </w:tcPr>
          <w:p w14:paraId="2A29BF7F" w14:textId="7547DF4F"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Δεκ.</w:t>
            </w:r>
            <w:r w:rsidRPr="007E1FE1">
              <w:rPr>
                <w:rFonts w:cs="Arial"/>
                <w:b/>
                <w:bCs/>
                <w:color w:val="000000"/>
                <w:sz w:val="16"/>
                <w:szCs w:val="16"/>
              </w:rPr>
              <w:br/>
              <w:t>202</w:t>
            </w:r>
            <w:r w:rsidR="00DA73A0" w:rsidRPr="007E1FE1">
              <w:rPr>
                <w:rFonts w:cs="Arial"/>
                <w:b/>
                <w:bCs/>
                <w:color w:val="000000"/>
                <w:sz w:val="16"/>
                <w:szCs w:val="16"/>
              </w:rPr>
              <w:t>4</w:t>
            </w:r>
          </w:p>
        </w:tc>
        <w:tc>
          <w:tcPr>
            <w:tcW w:w="373" w:type="pct"/>
            <w:vAlign w:val="center"/>
            <w:hideMark/>
          </w:tcPr>
          <w:p w14:paraId="1EA43073" w14:textId="6D62F996"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Ιο</w:t>
            </w:r>
            <w:r w:rsidR="008C6C83" w:rsidRPr="007E1FE1">
              <w:rPr>
                <w:rFonts w:cs="Arial"/>
                <w:b/>
                <w:bCs/>
                <w:color w:val="000000"/>
                <w:sz w:val="16"/>
                <w:szCs w:val="16"/>
              </w:rPr>
              <w:t>υ</w:t>
            </w:r>
            <w:r w:rsidRPr="007E1FE1">
              <w:rPr>
                <w:rFonts w:cs="Arial"/>
                <w:b/>
                <w:bCs/>
                <w:color w:val="000000"/>
                <w:sz w:val="16"/>
                <w:szCs w:val="16"/>
              </w:rPr>
              <w:t>λ.</w:t>
            </w:r>
            <w:r w:rsidRPr="007E1FE1">
              <w:rPr>
                <w:rFonts w:cs="Arial"/>
                <w:b/>
                <w:bCs/>
                <w:color w:val="000000"/>
                <w:sz w:val="16"/>
                <w:szCs w:val="16"/>
              </w:rPr>
              <w:br/>
              <w:t>202</w:t>
            </w:r>
            <w:r w:rsidR="00CB6F91" w:rsidRPr="007E1FE1">
              <w:rPr>
                <w:rFonts w:cs="Arial"/>
                <w:b/>
                <w:bCs/>
                <w:color w:val="000000"/>
                <w:sz w:val="16"/>
                <w:szCs w:val="16"/>
              </w:rPr>
              <w:t>5</w:t>
            </w:r>
          </w:p>
        </w:tc>
        <w:tc>
          <w:tcPr>
            <w:tcW w:w="350" w:type="pct"/>
            <w:vAlign w:val="center"/>
            <w:hideMark/>
          </w:tcPr>
          <w:p w14:paraId="1BE35FEE" w14:textId="764F95CE"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Δεκ.</w:t>
            </w:r>
            <w:r w:rsidRPr="007E1FE1">
              <w:rPr>
                <w:rFonts w:cs="Arial"/>
                <w:b/>
                <w:bCs/>
                <w:color w:val="000000"/>
                <w:sz w:val="16"/>
                <w:szCs w:val="16"/>
              </w:rPr>
              <w:br/>
              <w:t>202</w:t>
            </w:r>
            <w:r w:rsidR="00CB6F91" w:rsidRPr="007E1FE1">
              <w:rPr>
                <w:rFonts w:cs="Arial"/>
                <w:b/>
                <w:bCs/>
                <w:color w:val="000000"/>
                <w:sz w:val="16"/>
                <w:szCs w:val="16"/>
              </w:rPr>
              <w:t>5</w:t>
            </w:r>
          </w:p>
        </w:tc>
        <w:tc>
          <w:tcPr>
            <w:tcW w:w="326" w:type="pct"/>
            <w:vAlign w:val="center"/>
            <w:hideMark/>
          </w:tcPr>
          <w:p w14:paraId="7CE3F11E" w14:textId="4C8FBD13"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Ιαν.</w:t>
            </w:r>
            <w:r w:rsidRPr="007E1FE1">
              <w:rPr>
                <w:rFonts w:cs="Arial"/>
                <w:b/>
                <w:bCs/>
                <w:color w:val="000000"/>
                <w:sz w:val="16"/>
                <w:szCs w:val="16"/>
              </w:rPr>
              <w:br/>
              <w:t>202</w:t>
            </w:r>
            <w:r w:rsidR="00CB6F91" w:rsidRPr="007E1FE1">
              <w:rPr>
                <w:rFonts w:cs="Arial"/>
                <w:b/>
                <w:bCs/>
                <w:color w:val="000000"/>
                <w:sz w:val="16"/>
                <w:szCs w:val="16"/>
              </w:rPr>
              <w:t>6</w:t>
            </w:r>
          </w:p>
        </w:tc>
        <w:tc>
          <w:tcPr>
            <w:tcW w:w="363" w:type="pct"/>
            <w:vAlign w:val="center"/>
            <w:hideMark/>
          </w:tcPr>
          <w:p w14:paraId="4FA60CED" w14:textId="01518959"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Φεβ.</w:t>
            </w:r>
            <w:r w:rsidRPr="007E1FE1">
              <w:rPr>
                <w:rFonts w:cs="Arial"/>
                <w:b/>
                <w:bCs/>
                <w:color w:val="000000"/>
                <w:sz w:val="16"/>
                <w:szCs w:val="16"/>
              </w:rPr>
              <w:br/>
              <w:t>202</w:t>
            </w:r>
            <w:r w:rsidR="00CB6F91" w:rsidRPr="007E1FE1">
              <w:rPr>
                <w:rFonts w:cs="Arial"/>
                <w:b/>
                <w:bCs/>
                <w:color w:val="000000"/>
                <w:sz w:val="16"/>
                <w:szCs w:val="16"/>
              </w:rPr>
              <w:t>6</w:t>
            </w:r>
          </w:p>
        </w:tc>
        <w:tc>
          <w:tcPr>
            <w:tcW w:w="411" w:type="pct"/>
            <w:vAlign w:val="center"/>
            <w:hideMark/>
          </w:tcPr>
          <w:p w14:paraId="304AB1D9" w14:textId="62F67C8C" w:rsidR="00E136B1" w:rsidRPr="007E1FE1" w:rsidRDefault="00E136B1" w:rsidP="00980693">
            <w:pPr>
              <w:spacing w:after="0" w:line="276" w:lineRule="auto"/>
              <w:jc w:val="center"/>
              <w:rPr>
                <w:rFonts w:cs="Arial"/>
                <w:b/>
                <w:bCs/>
                <w:color w:val="000000"/>
                <w:sz w:val="16"/>
                <w:szCs w:val="16"/>
              </w:rPr>
            </w:pPr>
            <w:proofErr w:type="spellStart"/>
            <w:r w:rsidRPr="007E1FE1">
              <w:rPr>
                <w:rFonts w:cs="Arial"/>
                <w:b/>
                <w:bCs/>
                <w:color w:val="000000"/>
                <w:sz w:val="16"/>
                <w:szCs w:val="16"/>
              </w:rPr>
              <w:t>Μ</w:t>
            </w:r>
            <w:r w:rsidR="008C6C83" w:rsidRPr="007E1FE1">
              <w:rPr>
                <w:rFonts w:cs="Arial"/>
                <w:b/>
                <w:bCs/>
                <w:color w:val="000000"/>
                <w:sz w:val="16"/>
                <w:szCs w:val="16"/>
              </w:rPr>
              <w:t>α</w:t>
            </w:r>
            <w:r w:rsidRPr="007E1FE1">
              <w:rPr>
                <w:rFonts w:cs="Arial"/>
                <w:b/>
                <w:bCs/>
                <w:color w:val="000000"/>
                <w:sz w:val="16"/>
                <w:szCs w:val="16"/>
              </w:rPr>
              <w:t>ρ</w:t>
            </w:r>
            <w:r w:rsidR="006D4600" w:rsidRPr="007E1FE1">
              <w:rPr>
                <w:rFonts w:cs="Arial"/>
                <w:b/>
                <w:bCs/>
                <w:color w:val="000000"/>
                <w:sz w:val="16"/>
                <w:szCs w:val="16"/>
              </w:rPr>
              <w:t>τ</w:t>
            </w:r>
            <w:proofErr w:type="spellEnd"/>
            <w:r w:rsidRPr="007E1FE1">
              <w:rPr>
                <w:rFonts w:cs="Arial"/>
                <w:b/>
                <w:bCs/>
                <w:color w:val="000000"/>
                <w:sz w:val="16"/>
                <w:szCs w:val="16"/>
              </w:rPr>
              <w:t>.</w:t>
            </w:r>
            <w:r w:rsidRPr="007E1FE1">
              <w:rPr>
                <w:rFonts w:cs="Arial"/>
                <w:b/>
                <w:bCs/>
                <w:color w:val="000000"/>
                <w:sz w:val="16"/>
                <w:szCs w:val="16"/>
              </w:rPr>
              <w:br/>
              <w:t>202</w:t>
            </w:r>
            <w:r w:rsidR="00CB6F91" w:rsidRPr="007E1FE1">
              <w:rPr>
                <w:rFonts w:cs="Arial"/>
                <w:b/>
                <w:bCs/>
                <w:color w:val="000000"/>
                <w:sz w:val="16"/>
                <w:szCs w:val="16"/>
              </w:rPr>
              <w:t>6</w:t>
            </w:r>
          </w:p>
        </w:tc>
        <w:tc>
          <w:tcPr>
            <w:tcW w:w="378" w:type="pct"/>
            <w:vAlign w:val="center"/>
            <w:hideMark/>
          </w:tcPr>
          <w:p w14:paraId="3C958BD4" w14:textId="6BD19964"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Απρ.</w:t>
            </w:r>
            <w:r w:rsidRPr="007E1FE1">
              <w:rPr>
                <w:rFonts w:cs="Arial"/>
                <w:b/>
                <w:bCs/>
                <w:color w:val="000000"/>
                <w:sz w:val="16"/>
                <w:szCs w:val="16"/>
              </w:rPr>
              <w:br/>
              <w:t>202</w:t>
            </w:r>
            <w:r w:rsidR="00CB6F91" w:rsidRPr="007E1FE1">
              <w:rPr>
                <w:rFonts w:cs="Arial"/>
                <w:b/>
                <w:bCs/>
                <w:color w:val="000000"/>
                <w:sz w:val="16"/>
                <w:szCs w:val="16"/>
              </w:rPr>
              <w:t>6</w:t>
            </w:r>
          </w:p>
        </w:tc>
        <w:tc>
          <w:tcPr>
            <w:tcW w:w="414" w:type="pct"/>
            <w:vAlign w:val="center"/>
            <w:hideMark/>
          </w:tcPr>
          <w:p w14:paraId="50220E1E" w14:textId="32554724"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Μ</w:t>
            </w:r>
            <w:r w:rsidR="00E8782C" w:rsidRPr="007E1FE1">
              <w:rPr>
                <w:rFonts w:cs="Arial"/>
                <w:b/>
                <w:bCs/>
                <w:color w:val="000000"/>
                <w:sz w:val="16"/>
                <w:szCs w:val="16"/>
              </w:rPr>
              <w:t>ά</w:t>
            </w:r>
            <w:r w:rsidRPr="007E1FE1">
              <w:rPr>
                <w:rFonts w:cs="Arial"/>
                <w:b/>
                <w:bCs/>
                <w:color w:val="000000"/>
                <w:sz w:val="16"/>
                <w:szCs w:val="16"/>
              </w:rPr>
              <w:t>ιος</w:t>
            </w:r>
            <w:r w:rsidRPr="007E1FE1">
              <w:rPr>
                <w:rFonts w:cs="Arial"/>
                <w:b/>
                <w:bCs/>
                <w:color w:val="000000"/>
                <w:sz w:val="16"/>
                <w:szCs w:val="16"/>
              </w:rPr>
              <w:br/>
              <w:t>202</w:t>
            </w:r>
            <w:r w:rsidR="00CB6F91" w:rsidRPr="007E1FE1">
              <w:rPr>
                <w:rFonts w:cs="Arial"/>
                <w:b/>
                <w:bCs/>
                <w:color w:val="000000"/>
                <w:sz w:val="16"/>
                <w:szCs w:val="16"/>
              </w:rPr>
              <w:t>6</w:t>
            </w:r>
          </w:p>
        </w:tc>
        <w:tc>
          <w:tcPr>
            <w:tcW w:w="373" w:type="pct"/>
            <w:vAlign w:val="center"/>
            <w:hideMark/>
          </w:tcPr>
          <w:p w14:paraId="45848764" w14:textId="188F979E"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Ιο</w:t>
            </w:r>
            <w:r w:rsidR="008C6C83" w:rsidRPr="007E1FE1">
              <w:rPr>
                <w:rFonts w:cs="Arial"/>
                <w:b/>
                <w:bCs/>
                <w:color w:val="000000"/>
                <w:sz w:val="16"/>
                <w:szCs w:val="16"/>
              </w:rPr>
              <w:t>υ</w:t>
            </w:r>
            <w:r w:rsidRPr="007E1FE1">
              <w:rPr>
                <w:rFonts w:cs="Arial"/>
                <w:b/>
                <w:bCs/>
                <w:color w:val="000000"/>
                <w:sz w:val="16"/>
                <w:szCs w:val="16"/>
              </w:rPr>
              <w:t>ν.</w:t>
            </w:r>
            <w:r w:rsidRPr="007E1FE1">
              <w:rPr>
                <w:rFonts w:cs="Arial"/>
                <w:b/>
                <w:bCs/>
                <w:color w:val="000000"/>
                <w:sz w:val="16"/>
                <w:szCs w:val="16"/>
              </w:rPr>
              <w:br/>
              <w:t>202</w:t>
            </w:r>
            <w:r w:rsidR="00CB6F91" w:rsidRPr="007E1FE1">
              <w:rPr>
                <w:rFonts w:cs="Arial"/>
                <w:b/>
                <w:bCs/>
                <w:color w:val="000000"/>
                <w:sz w:val="16"/>
                <w:szCs w:val="16"/>
              </w:rPr>
              <w:t>6</w:t>
            </w:r>
          </w:p>
        </w:tc>
        <w:tc>
          <w:tcPr>
            <w:tcW w:w="373" w:type="pct"/>
            <w:vAlign w:val="center"/>
            <w:hideMark/>
          </w:tcPr>
          <w:p w14:paraId="084ACFCA" w14:textId="5181D62F"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Ιο</w:t>
            </w:r>
            <w:r w:rsidR="008C6C83" w:rsidRPr="007E1FE1">
              <w:rPr>
                <w:rFonts w:cs="Arial"/>
                <w:b/>
                <w:bCs/>
                <w:color w:val="000000"/>
                <w:sz w:val="16"/>
                <w:szCs w:val="16"/>
              </w:rPr>
              <w:t>υ</w:t>
            </w:r>
            <w:r w:rsidRPr="007E1FE1">
              <w:rPr>
                <w:rFonts w:cs="Arial"/>
                <w:b/>
                <w:bCs/>
                <w:color w:val="000000"/>
                <w:sz w:val="16"/>
                <w:szCs w:val="16"/>
              </w:rPr>
              <w:t>λ.</w:t>
            </w:r>
            <w:r w:rsidRPr="007E1FE1">
              <w:rPr>
                <w:rFonts w:cs="Arial"/>
                <w:b/>
                <w:bCs/>
                <w:color w:val="000000"/>
                <w:sz w:val="16"/>
                <w:szCs w:val="16"/>
              </w:rPr>
              <w:br/>
              <w:t>202</w:t>
            </w:r>
            <w:r w:rsidR="00CB6F91" w:rsidRPr="007E1FE1">
              <w:rPr>
                <w:rFonts w:cs="Arial"/>
                <w:b/>
                <w:bCs/>
                <w:color w:val="000000"/>
                <w:sz w:val="16"/>
                <w:szCs w:val="16"/>
              </w:rPr>
              <w:t>6</w:t>
            </w:r>
          </w:p>
        </w:tc>
      </w:tr>
      <w:tr w:rsidR="00CB6F91" w:rsidRPr="007222E8" w14:paraId="32D52F61" w14:textId="77777777" w:rsidTr="00AE39BF">
        <w:trPr>
          <w:cantSplit/>
          <w:trHeight w:val="510"/>
          <w:jc w:val="center"/>
        </w:trPr>
        <w:tc>
          <w:tcPr>
            <w:tcW w:w="1294" w:type="pct"/>
            <w:shd w:val="clear" w:color="000000" w:fill="D5DCE4"/>
            <w:vAlign w:val="center"/>
            <w:hideMark/>
          </w:tcPr>
          <w:p w14:paraId="07212001" w14:textId="77777777" w:rsidR="00CB6F91" w:rsidRPr="00310D0C" w:rsidRDefault="00CB6F91" w:rsidP="00980693">
            <w:pPr>
              <w:spacing w:after="0" w:line="276" w:lineRule="auto"/>
              <w:jc w:val="left"/>
              <w:rPr>
                <w:rFonts w:cs="Arial"/>
                <w:b/>
                <w:bCs/>
                <w:color w:val="000000"/>
                <w:sz w:val="16"/>
                <w:szCs w:val="16"/>
              </w:rPr>
            </w:pPr>
            <w:r w:rsidRPr="00310D0C">
              <w:rPr>
                <w:rFonts w:cs="Arial"/>
                <w:b/>
                <w:bCs/>
                <w:color w:val="000000"/>
                <w:sz w:val="16"/>
                <w:szCs w:val="16"/>
              </w:rPr>
              <w:t>Εκκρεμείς επιστροφές φόρων</w:t>
            </w:r>
          </w:p>
        </w:tc>
        <w:tc>
          <w:tcPr>
            <w:tcW w:w="345" w:type="pct"/>
            <w:shd w:val="clear" w:color="000000" w:fill="D5DCE4"/>
            <w:vAlign w:val="center"/>
          </w:tcPr>
          <w:p w14:paraId="1CD58A67" w14:textId="5D1825F7"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731</w:t>
            </w:r>
          </w:p>
        </w:tc>
        <w:tc>
          <w:tcPr>
            <w:tcW w:w="373" w:type="pct"/>
            <w:shd w:val="clear" w:color="000000" w:fill="D5DCE4"/>
            <w:vAlign w:val="center"/>
          </w:tcPr>
          <w:p w14:paraId="472B4232" w14:textId="02756EA5"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732</w:t>
            </w:r>
          </w:p>
        </w:tc>
        <w:tc>
          <w:tcPr>
            <w:tcW w:w="350" w:type="pct"/>
            <w:shd w:val="clear" w:color="000000" w:fill="D5DCE4"/>
            <w:vAlign w:val="center"/>
          </w:tcPr>
          <w:p w14:paraId="61975B84" w14:textId="6E225CD2"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722</w:t>
            </w:r>
          </w:p>
        </w:tc>
        <w:tc>
          <w:tcPr>
            <w:tcW w:w="326" w:type="pct"/>
            <w:shd w:val="clear" w:color="000000" w:fill="D5DCE4"/>
            <w:vAlign w:val="center"/>
          </w:tcPr>
          <w:p w14:paraId="069ED19D" w14:textId="374FDCED"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702</w:t>
            </w:r>
          </w:p>
        </w:tc>
        <w:tc>
          <w:tcPr>
            <w:tcW w:w="363" w:type="pct"/>
            <w:shd w:val="clear" w:color="000000" w:fill="D5DCE4"/>
            <w:vAlign w:val="center"/>
          </w:tcPr>
          <w:p w14:paraId="15DC34C7" w14:textId="0DDB4B97"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750</w:t>
            </w:r>
          </w:p>
        </w:tc>
        <w:tc>
          <w:tcPr>
            <w:tcW w:w="411" w:type="pct"/>
            <w:shd w:val="clear" w:color="000000" w:fill="D5DCE4"/>
            <w:vAlign w:val="center"/>
          </w:tcPr>
          <w:p w14:paraId="3BE1675F" w14:textId="30EF8B04"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766</w:t>
            </w:r>
          </w:p>
        </w:tc>
        <w:tc>
          <w:tcPr>
            <w:tcW w:w="378" w:type="pct"/>
            <w:shd w:val="clear" w:color="000000" w:fill="D5DCE4"/>
            <w:vAlign w:val="center"/>
          </w:tcPr>
          <w:p w14:paraId="51478060" w14:textId="70B4E3E7"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737</w:t>
            </w:r>
          </w:p>
        </w:tc>
        <w:tc>
          <w:tcPr>
            <w:tcW w:w="414" w:type="pct"/>
            <w:shd w:val="clear" w:color="000000" w:fill="D5DCE4"/>
            <w:vAlign w:val="center"/>
          </w:tcPr>
          <w:p w14:paraId="3F14CD0C" w14:textId="669811BF"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719</w:t>
            </w:r>
          </w:p>
        </w:tc>
        <w:tc>
          <w:tcPr>
            <w:tcW w:w="373" w:type="pct"/>
            <w:shd w:val="clear" w:color="000000" w:fill="D5DCE4"/>
            <w:vAlign w:val="center"/>
          </w:tcPr>
          <w:p w14:paraId="1C0B2DF6" w14:textId="72EDBDE6"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788</w:t>
            </w:r>
          </w:p>
        </w:tc>
        <w:tc>
          <w:tcPr>
            <w:tcW w:w="373" w:type="pct"/>
            <w:shd w:val="clear" w:color="000000" w:fill="D5DCE4"/>
            <w:vAlign w:val="center"/>
          </w:tcPr>
          <w:p w14:paraId="73EEFFB8" w14:textId="259B27E1"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629</w:t>
            </w:r>
          </w:p>
        </w:tc>
      </w:tr>
      <w:tr w:rsidR="00CB6F91" w:rsidRPr="002A6280" w14:paraId="082C2354" w14:textId="77777777" w:rsidTr="00AE39BF">
        <w:trPr>
          <w:cantSplit/>
          <w:trHeight w:val="1104"/>
          <w:jc w:val="center"/>
        </w:trPr>
        <w:tc>
          <w:tcPr>
            <w:tcW w:w="1294" w:type="pct"/>
            <w:shd w:val="clear" w:color="auto" w:fill="F2F2F2"/>
            <w:vAlign w:val="center"/>
            <w:hideMark/>
          </w:tcPr>
          <w:p w14:paraId="378767B1" w14:textId="77777777" w:rsidR="00CB6F91" w:rsidRPr="002A6280" w:rsidRDefault="00CB6F91" w:rsidP="00980693">
            <w:pPr>
              <w:spacing w:after="0" w:line="276" w:lineRule="auto"/>
              <w:jc w:val="left"/>
              <w:rPr>
                <w:rFonts w:cs="Arial"/>
                <w:b/>
                <w:color w:val="000000"/>
                <w:sz w:val="16"/>
                <w:szCs w:val="16"/>
              </w:rPr>
            </w:pPr>
            <w:r w:rsidRPr="002A6280">
              <w:rPr>
                <w:rFonts w:cs="Arial"/>
                <w:b/>
                <w:color w:val="000000"/>
                <w:sz w:val="16"/>
                <w:szCs w:val="16"/>
              </w:rPr>
              <w:t>Εκκρεμείς επιστροφές φόρων άνω των 90 ημερών (ληξιπρόθεσμες επιστροφές) από την ημερομηνία έκδοσης του ΑΦΕΚ, εκ των οποίων:</w:t>
            </w:r>
          </w:p>
        </w:tc>
        <w:tc>
          <w:tcPr>
            <w:tcW w:w="345" w:type="pct"/>
            <w:shd w:val="clear" w:color="auto" w:fill="F2F2F2" w:themeFill="background1" w:themeFillShade="F2"/>
            <w:vAlign w:val="center"/>
          </w:tcPr>
          <w:p w14:paraId="60A1C7C4" w14:textId="4C559803"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331</w:t>
            </w:r>
          </w:p>
        </w:tc>
        <w:tc>
          <w:tcPr>
            <w:tcW w:w="373" w:type="pct"/>
            <w:shd w:val="clear" w:color="auto" w:fill="F2F2F2" w:themeFill="background1" w:themeFillShade="F2"/>
            <w:vAlign w:val="center"/>
          </w:tcPr>
          <w:p w14:paraId="39799B92" w14:textId="0AB58A8D"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329</w:t>
            </w:r>
          </w:p>
        </w:tc>
        <w:tc>
          <w:tcPr>
            <w:tcW w:w="350" w:type="pct"/>
            <w:shd w:val="clear" w:color="auto" w:fill="F2F2F2" w:themeFill="background1" w:themeFillShade="F2"/>
            <w:vAlign w:val="center"/>
          </w:tcPr>
          <w:p w14:paraId="09520310" w14:textId="7191066E"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336</w:t>
            </w:r>
          </w:p>
        </w:tc>
        <w:tc>
          <w:tcPr>
            <w:tcW w:w="326" w:type="pct"/>
            <w:shd w:val="clear" w:color="auto" w:fill="F2F2F2" w:themeFill="background1" w:themeFillShade="F2"/>
            <w:vAlign w:val="center"/>
          </w:tcPr>
          <w:p w14:paraId="2A4C3A2E" w14:textId="63B0A78A"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338</w:t>
            </w:r>
          </w:p>
        </w:tc>
        <w:tc>
          <w:tcPr>
            <w:tcW w:w="363" w:type="pct"/>
            <w:shd w:val="clear" w:color="auto" w:fill="F2F2F2" w:themeFill="background1" w:themeFillShade="F2"/>
            <w:vAlign w:val="center"/>
          </w:tcPr>
          <w:p w14:paraId="4960C77C" w14:textId="0B184376"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343</w:t>
            </w:r>
          </w:p>
        </w:tc>
        <w:tc>
          <w:tcPr>
            <w:tcW w:w="411" w:type="pct"/>
            <w:shd w:val="clear" w:color="auto" w:fill="F2F2F2" w:themeFill="background1" w:themeFillShade="F2"/>
            <w:vAlign w:val="center"/>
          </w:tcPr>
          <w:p w14:paraId="20D1B28C" w14:textId="3CE0AFAD"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329</w:t>
            </w:r>
          </w:p>
        </w:tc>
        <w:tc>
          <w:tcPr>
            <w:tcW w:w="378" w:type="pct"/>
            <w:shd w:val="clear" w:color="auto" w:fill="F2F2F2" w:themeFill="background1" w:themeFillShade="F2"/>
            <w:vAlign w:val="center"/>
          </w:tcPr>
          <w:p w14:paraId="27BB57D0" w14:textId="12C06754"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371</w:t>
            </w:r>
          </w:p>
        </w:tc>
        <w:tc>
          <w:tcPr>
            <w:tcW w:w="414" w:type="pct"/>
            <w:shd w:val="clear" w:color="auto" w:fill="F2F2F2" w:themeFill="background1" w:themeFillShade="F2"/>
            <w:vAlign w:val="center"/>
          </w:tcPr>
          <w:p w14:paraId="59248DD1" w14:textId="7A48AF12"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282</w:t>
            </w:r>
          </w:p>
        </w:tc>
        <w:tc>
          <w:tcPr>
            <w:tcW w:w="373" w:type="pct"/>
            <w:shd w:val="clear" w:color="auto" w:fill="F2F2F2" w:themeFill="background1" w:themeFillShade="F2"/>
            <w:vAlign w:val="center"/>
          </w:tcPr>
          <w:p w14:paraId="6A618129" w14:textId="51713029"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234</w:t>
            </w:r>
          </w:p>
        </w:tc>
        <w:tc>
          <w:tcPr>
            <w:tcW w:w="373" w:type="pct"/>
            <w:shd w:val="clear" w:color="auto" w:fill="F2F2F2" w:themeFill="background1" w:themeFillShade="F2"/>
            <w:noWrap/>
            <w:vAlign w:val="center"/>
          </w:tcPr>
          <w:p w14:paraId="39A4F3DC" w14:textId="7E518103"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254</w:t>
            </w:r>
          </w:p>
        </w:tc>
      </w:tr>
      <w:tr w:rsidR="00CB6F91" w:rsidRPr="007222E8" w14:paraId="07E27EF1" w14:textId="77777777" w:rsidTr="00AE39BF">
        <w:trPr>
          <w:cantSplit/>
          <w:trHeight w:val="1044"/>
          <w:jc w:val="center"/>
        </w:trPr>
        <w:tc>
          <w:tcPr>
            <w:tcW w:w="1294" w:type="pct"/>
            <w:vAlign w:val="center"/>
            <w:hideMark/>
          </w:tcPr>
          <w:p w14:paraId="20541047" w14:textId="33ED6703" w:rsidR="00CB6F91" w:rsidRPr="00310D0C" w:rsidRDefault="00CB6F91" w:rsidP="00980693">
            <w:pPr>
              <w:spacing w:after="0" w:line="276" w:lineRule="auto"/>
              <w:jc w:val="left"/>
              <w:rPr>
                <w:rFonts w:cs="Arial"/>
                <w:i/>
                <w:color w:val="000000"/>
                <w:sz w:val="16"/>
                <w:szCs w:val="16"/>
              </w:rPr>
            </w:pPr>
            <w:r w:rsidRPr="00310D0C">
              <w:rPr>
                <w:rFonts w:cs="Arial"/>
                <w:i/>
                <w:color w:val="000000"/>
                <w:sz w:val="16"/>
                <w:szCs w:val="16"/>
              </w:rPr>
              <w:t>(α) ποσό που δεν μπορεί να αποπληρωθεί λόγω εξωγενών παραγόντων (μη ανταπόκριση δικαιούχου ή μη προσκόμιση δικαιολογητικών)</w:t>
            </w:r>
          </w:p>
        </w:tc>
        <w:tc>
          <w:tcPr>
            <w:tcW w:w="345" w:type="pct"/>
            <w:vAlign w:val="center"/>
          </w:tcPr>
          <w:p w14:paraId="54014790" w14:textId="17CF546A"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210</w:t>
            </w:r>
          </w:p>
        </w:tc>
        <w:tc>
          <w:tcPr>
            <w:tcW w:w="373" w:type="pct"/>
            <w:vAlign w:val="center"/>
          </w:tcPr>
          <w:p w14:paraId="50233C00" w14:textId="07E637F5" w:rsidR="00CB6F91" w:rsidRPr="00CB6F91" w:rsidRDefault="00CB6F91" w:rsidP="00980693">
            <w:pPr>
              <w:spacing w:line="276" w:lineRule="auto"/>
              <w:jc w:val="right"/>
              <w:rPr>
                <w:rFonts w:cs="Arial"/>
                <w:i/>
                <w:iCs/>
                <w:color w:val="000000"/>
                <w:sz w:val="16"/>
                <w:szCs w:val="16"/>
              </w:rPr>
            </w:pPr>
            <w:r w:rsidRPr="00CB6F91">
              <w:rPr>
                <w:rFonts w:cs="Arial"/>
                <w:color w:val="000000"/>
                <w:sz w:val="16"/>
                <w:szCs w:val="16"/>
              </w:rPr>
              <w:t>218</w:t>
            </w:r>
          </w:p>
        </w:tc>
        <w:tc>
          <w:tcPr>
            <w:tcW w:w="350" w:type="pct"/>
            <w:vAlign w:val="center"/>
          </w:tcPr>
          <w:p w14:paraId="72C199EC" w14:textId="25FD767E"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176</w:t>
            </w:r>
          </w:p>
        </w:tc>
        <w:tc>
          <w:tcPr>
            <w:tcW w:w="326" w:type="pct"/>
            <w:vAlign w:val="center"/>
          </w:tcPr>
          <w:p w14:paraId="083AEF58" w14:textId="07B77401"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192</w:t>
            </w:r>
          </w:p>
        </w:tc>
        <w:tc>
          <w:tcPr>
            <w:tcW w:w="363" w:type="pct"/>
            <w:vAlign w:val="center"/>
          </w:tcPr>
          <w:p w14:paraId="57FCB924" w14:textId="23E9EEA1"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155</w:t>
            </w:r>
          </w:p>
        </w:tc>
        <w:tc>
          <w:tcPr>
            <w:tcW w:w="411" w:type="pct"/>
            <w:vAlign w:val="center"/>
          </w:tcPr>
          <w:p w14:paraId="1557806F" w14:textId="60746D07"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160</w:t>
            </w:r>
          </w:p>
        </w:tc>
        <w:tc>
          <w:tcPr>
            <w:tcW w:w="378" w:type="pct"/>
            <w:vAlign w:val="center"/>
          </w:tcPr>
          <w:p w14:paraId="58E6DA72" w14:textId="6D879DE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191</w:t>
            </w:r>
          </w:p>
        </w:tc>
        <w:tc>
          <w:tcPr>
            <w:tcW w:w="414" w:type="pct"/>
            <w:vAlign w:val="center"/>
          </w:tcPr>
          <w:p w14:paraId="2B572321" w14:textId="06C08FA4"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176</w:t>
            </w:r>
          </w:p>
        </w:tc>
        <w:tc>
          <w:tcPr>
            <w:tcW w:w="373" w:type="pct"/>
            <w:vAlign w:val="center"/>
          </w:tcPr>
          <w:p w14:paraId="48EB690D" w14:textId="24534465"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149</w:t>
            </w:r>
          </w:p>
        </w:tc>
        <w:tc>
          <w:tcPr>
            <w:tcW w:w="373" w:type="pct"/>
            <w:noWrap/>
            <w:vAlign w:val="center"/>
          </w:tcPr>
          <w:p w14:paraId="0A29FD2E" w14:textId="2973AAEA"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161</w:t>
            </w:r>
          </w:p>
        </w:tc>
      </w:tr>
      <w:tr w:rsidR="00CB6F91" w:rsidRPr="007222E8" w14:paraId="7A8F7EDB" w14:textId="77777777" w:rsidTr="00AE39BF">
        <w:trPr>
          <w:cantSplit/>
          <w:trHeight w:val="538"/>
          <w:jc w:val="center"/>
        </w:trPr>
        <w:tc>
          <w:tcPr>
            <w:tcW w:w="1294" w:type="pct"/>
            <w:vAlign w:val="center"/>
            <w:hideMark/>
          </w:tcPr>
          <w:p w14:paraId="172CA3FE" w14:textId="77777777" w:rsidR="00CB6F91" w:rsidRPr="00310D0C" w:rsidRDefault="00CB6F91" w:rsidP="00980693">
            <w:pPr>
              <w:spacing w:after="0" w:line="276" w:lineRule="auto"/>
              <w:jc w:val="left"/>
              <w:rPr>
                <w:rFonts w:cs="Arial"/>
                <w:i/>
                <w:color w:val="000000"/>
                <w:sz w:val="16"/>
                <w:szCs w:val="16"/>
              </w:rPr>
            </w:pPr>
            <w:r w:rsidRPr="00310D0C">
              <w:rPr>
                <w:rFonts w:cs="Arial"/>
                <w:i/>
                <w:color w:val="000000"/>
                <w:sz w:val="16"/>
                <w:szCs w:val="16"/>
              </w:rPr>
              <w:t>(β) λοιπές εκκρεμείς επιστροφές φόρων άνω των 90 ημερών</w:t>
            </w:r>
          </w:p>
        </w:tc>
        <w:tc>
          <w:tcPr>
            <w:tcW w:w="345" w:type="pct"/>
            <w:vAlign w:val="center"/>
          </w:tcPr>
          <w:p w14:paraId="269C02D8" w14:textId="55708CC7"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121</w:t>
            </w:r>
          </w:p>
        </w:tc>
        <w:tc>
          <w:tcPr>
            <w:tcW w:w="373" w:type="pct"/>
            <w:vAlign w:val="center"/>
          </w:tcPr>
          <w:p w14:paraId="4A25DB74" w14:textId="59D589DB" w:rsidR="00CB6F91" w:rsidRPr="00CB6F91" w:rsidRDefault="00CB6F91" w:rsidP="00980693">
            <w:pPr>
              <w:spacing w:line="276" w:lineRule="auto"/>
              <w:jc w:val="right"/>
              <w:rPr>
                <w:rFonts w:cs="Arial"/>
                <w:i/>
                <w:iCs/>
                <w:color w:val="000000"/>
                <w:sz w:val="16"/>
                <w:szCs w:val="16"/>
              </w:rPr>
            </w:pPr>
            <w:r w:rsidRPr="00CB6F91">
              <w:rPr>
                <w:rFonts w:cs="Arial"/>
                <w:color w:val="000000"/>
                <w:sz w:val="16"/>
                <w:szCs w:val="16"/>
              </w:rPr>
              <w:t>111</w:t>
            </w:r>
          </w:p>
        </w:tc>
        <w:tc>
          <w:tcPr>
            <w:tcW w:w="350" w:type="pct"/>
            <w:vAlign w:val="center"/>
          </w:tcPr>
          <w:p w14:paraId="2960D9D1" w14:textId="70166F0C"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160</w:t>
            </w:r>
          </w:p>
        </w:tc>
        <w:tc>
          <w:tcPr>
            <w:tcW w:w="326" w:type="pct"/>
            <w:vAlign w:val="center"/>
          </w:tcPr>
          <w:p w14:paraId="0390F741" w14:textId="27AF0D0E"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146</w:t>
            </w:r>
          </w:p>
        </w:tc>
        <w:tc>
          <w:tcPr>
            <w:tcW w:w="363" w:type="pct"/>
            <w:vAlign w:val="center"/>
          </w:tcPr>
          <w:p w14:paraId="6B6A214C" w14:textId="0194A8EF"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187</w:t>
            </w:r>
          </w:p>
        </w:tc>
        <w:tc>
          <w:tcPr>
            <w:tcW w:w="411" w:type="pct"/>
            <w:vAlign w:val="center"/>
          </w:tcPr>
          <w:p w14:paraId="618C52A6" w14:textId="3F2179F1"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168</w:t>
            </w:r>
          </w:p>
        </w:tc>
        <w:tc>
          <w:tcPr>
            <w:tcW w:w="378" w:type="pct"/>
            <w:vAlign w:val="center"/>
          </w:tcPr>
          <w:p w14:paraId="5F4B95D3" w14:textId="024FF756"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179</w:t>
            </w:r>
          </w:p>
        </w:tc>
        <w:tc>
          <w:tcPr>
            <w:tcW w:w="414" w:type="pct"/>
            <w:vAlign w:val="center"/>
          </w:tcPr>
          <w:p w14:paraId="71BFB297" w14:textId="50D04295"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106</w:t>
            </w:r>
          </w:p>
        </w:tc>
        <w:tc>
          <w:tcPr>
            <w:tcW w:w="373" w:type="pct"/>
            <w:vAlign w:val="center"/>
          </w:tcPr>
          <w:p w14:paraId="62333D1F" w14:textId="60972BA4"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84</w:t>
            </w:r>
          </w:p>
        </w:tc>
        <w:tc>
          <w:tcPr>
            <w:tcW w:w="373" w:type="pct"/>
            <w:noWrap/>
            <w:vAlign w:val="center"/>
          </w:tcPr>
          <w:p w14:paraId="62BCA840" w14:textId="2272176F"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93</w:t>
            </w:r>
          </w:p>
        </w:tc>
      </w:tr>
      <w:tr w:rsidR="00CB6F91" w:rsidRPr="002A6280" w14:paraId="743E3E02" w14:textId="77777777" w:rsidTr="00AE39BF">
        <w:trPr>
          <w:cantSplit/>
          <w:trHeight w:val="1104"/>
          <w:jc w:val="center"/>
        </w:trPr>
        <w:tc>
          <w:tcPr>
            <w:tcW w:w="1294" w:type="pct"/>
            <w:shd w:val="clear" w:color="auto" w:fill="F2F2F2" w:themeFill="background1" w:themeFillShade="F2"/>
            <w:vAlign w:val="center"/>
            <w:hideMark/>
          </w:tcPr>
          <w:p w14:paraId="6E028F11" w14:textId="77777777" w:rsidR="00CB6F91" w:rsidRPr="002A6280" w:rsidRDefault="00CB6F91" w:rsidP="00980693">
            <w:pPr>
              <w:spacing w:after="0" w:line="276" w:lineRule="auto"/>
              <w:jc w:val="left"/>
              <w:rPr>
                <w:rFonts w:cs="Arial"/>
                <w:b/>
                <w:color w:val="000000"/>
                <w:sz w:val="16"/>
                <w:szCs w:val="16"/>
              </w:rPr>
            </w:pPr>
            <w:r w:rsidRPr="002A6280">
              <w:rPr>
                <w:rFonts w:cs="Arial"/>
                <w:b/>
                <w:color w:val="000000"/>
                <w:sz w:val="16"/>
                <w:szCs w:val="16"/>
              </w:rPr>
              <w:t>Εκκρεμείς επιστροφές φόρων κάτω των 90 ημερών (μη ληξιπρόθεσμες επιστροφές) από την ημερομηνία έκδοσης του ΑΦΕΚ</w:t>
            </w:r>
          </w:p>
        </w:tc>
        <w:tc>
          <w:tcPr>
            <w:tcW w:w="345" w:type="pct"/>
            <w:shd w:val="clear" w:color="auto" w:fill="F2F2F2" w:themeFill="background1" w:themeFillShade="F2"/>
            <w:vAlign w:val="center"/>
          </w:tcPr>
          <w:p w14:paraId="73377496" w14:textId="0DF9C389"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400</w:t>
            </w:r>
          </w:p>
        </w:tc>
        <w:tc>
          <w:tcPr>
            <w:tcW w:w="373" w:type="pct"/>
            <w:shd w:val="clear" w:color="auto" w:fill="F2F2F2" w:themeFill="background1" w:themeFillShade="F2"/>
            <w:vAlign w:val="center"/>
          </w:tcPr>
          <w:p w14:paraId="3180909C" w14:textId="41CF19D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403</w:t>
            </w:r>
          </w:p>
        </w:tc>
        <w:tc>
          <w:tcPr>
            <w:tcW w:w="350" w:type="pct"/>
            <w:shd w:val="clear" w:color="auto" w:fill="F2F2F2" w:themeFill="background1" w:themeFillShade="F2"/>
            <w:vAlign w:val="center"/>
          </w:tcPr>
          <w:p w14:paraId="2C387CBA" w14:textId="411E1F7F"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386</w:t>
            </w:r>
          </w:p>
        </w:tc>
        <w:tc>
          <w:tcPr>
            <w:tcW w:w="326" w:type="pct"/>
            <w:shd w:val="clear" w:color="auto" w:fill="F2F2F2" w:themeFill="background1" w:themeFillShade="F2"/>
            <w:vAlign w:val="center"/>
          </w:tcPr>
          <w:p w14:paraId="0E15AD10" w14:textId="3BAB2A4C"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364</w:t>
            </w:r>
          </w:p>
        </w:tc>
        <w:tc>
          <w:tcPr>
            <w:tcW w:w="363" w:type="pct"/>
            <w:shd w:val="clear" w:color="auto" w:fill="F2F2F2" w:themeFill="background1" w:themeFillShade="F2"/>
            <w:vAlign w:val="center"/>
          </w:tcPr>
          <w:p w14:paraId="709CE8D8" w14:textId="3082735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407</w:t>
            </w:r>
          </w:p>
        </w:tc>
        <w:tc>
          <w:tcPr>
            <w:tcW w:w="411" w:type="pct"/>
            <w:shd w:val="clear" w:color="auto" w:fill="F2F2F2" w:themeFill="background1" w:themeFillShade="F2"/>
            <w:vAlign w:val="center"/>
          </w:tcPr>
          <w:p w14:paraId="4E9DA2D9" w14:textId="178E8567"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437</w:t>
            </w:r>
          </w:p>
        </w:tc>
        <w:tc>
          <w:tcPr>
            <w:tcW w:w="378" w:type="pct"/>
            <w:shd w:val="clear" w:color="auto" w:fill="F2F2F2" w:themeFill="background1" w:themeFillShade="F2"/>
            <w:vAlign w:val="center"/>
          </w:tcPr>
          <w:p w14:paraId="107D4CC1" w14:textId="51A082E1"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366</w:t>
            </w:r>
          </w:p>
        </w:tc>
        <w:tc>
          <w:tcPr>
            <w:tcW w:w="414" w:type="pct"/>
            <w:shd w:val="clear" w:color="auto" w:fill="F2F2F2" w:themeFill="background1" w:themeFillShade="F2"/>
            <w:vAlign w:val="center"/>
          </w:tcPr>
          <w:p w14:paraId="31F64D80" w14:textId="15C9D00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437</w:t>
            </w:r>
          </w:p>
        </w:tc>
        <w:tc>
          <w:tcPr>
            <w:tcW w:w="373" w:type="pct"/>
            <w:shd w:val="clear" w:color="auto" w:fill="F2F2F2" w:themeFill="background1" w:themeFillShade="F2"/>
            <w:vAlign w:val="center"/>
          </w:tcPr>
          <w:p w14:paraId="5107E29E" w14:textId="7A3D56CE"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554</w:t>
            </w:r>
          </w:p>
        </w:tc>
        <w:tc>
          <w:tcPr>
            <w:tcW w:w="373" w:type="pct"/>
            <w:shd w:val="clear" w:color="auto" w:fill="F2F2F2" w:themeFill="background1" w:themeFillShade="F2"/>
            <w:noWrap/>
            <w:vAlign w:val="center"/>
          </w:tcPr>
          <w:p w14:paraId="368DAD4D" w14:textId="1E380FA1"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375</w:t>
            </w:r>
          </w:p>
        </w:tc>
      </w:tr>
    </w:tbl>
    <w:p w14:paraId="12DDC72B" w14:textId="026E464A" w:rsidR="00CC5CF7" w:rsidRPr="00544591" w:rsidRDefault="00CC5CF7" w:rsidP="003F544B">
      <w:pPr>
        <w:pStyle w:val="3"/>
      </w:pPr>
      <w:bookmarkStart w:id="141" w:name="_Toc242019546"/>
      <w:bookmarkEnd w:id="136"/>
      <w:r w:rsidRPr="00544591">
        <w:t>Προβλέψεις 202</w:t>
      </w:r>
      <w:r w:rsidR="00597B16">
        <w:rPr>
          <w:lang w:val="en-US"/>
        </w:rPr>
        <w:t>7</w:t>
      </w:r>
      <w:bookmarkEnd w:id="141"/>
    </w:p>
    <w:p w14:paraId="1DF27886" w14:textId="3E6A54D8" w:rsidR="00597B16" w:rsidRPr="00A60234" w:rsidRDefault="00597B16" w:rsidP="00982B15">
      <w:r w:rsidRPr="00D1257B">
        <w:t xml:space="preserve">Ο </w:t>
      </w:r>
      <w:r w:rsidR="009F3A76">
        <w:t xml:space="preserve">οικονομικός </w:t>
      </w:r>
      <w:r w:rsidRPr="00D1257B">
        <w:t>σχεδιασμός για το έτος 202</w:t>
      </w:r>
      <w:r>
        <w:t>7</w:t>
      </w:r>
      <w:r w:rsidRPr="00D1257B">
        <w:t xml:space="preserve"> περιλαμβάνει την εισαγωγή πλήθους παρεμβάσεων, οι οποίες </w:t>
      </w:r>
      <w:r w:rsidR="00EC48CF">
        <w:t>αποσκοπούν</w:t>
      </w:r>
      <w:r w:rsidRPr="00D1257B">
        <w:t xml:space="preserve">, μεταξύ άλλων, </w:t>
      </w:r>
      <w:r>
        <w:t>σ</w:t>
      </w:r>
      <w:r w:rsidRPr="004C1D8B">
        <w:t xml:space="preserve">την ενίσχυση του διαθέσιμου εισοδήματος για το σύνολο των κοινωνικών ομάδων (ελεύθεροι επαγγελματίες, μισθωτοί, συνταξιούχοι, δημόσιοι υπάλληλοι, αγρότες, </w:t>
      </w:r>
      <w:r w:rsidRPr="007D4A0E">
        <w:t>άτομα με αναπηρία</w:t>
      </w:r>
      <w:r w:rsidRPr="004C1D8B">
        <w:t xml:space="preserve">), </w:t>
      </w:r>
      <w:r>
        <w:t>σ</w:t>
      </w:r>
      <w:r w:rsidRPr="004C1D8B">
        <w:t xml:space="preserve">την </w:t>
      </w:r>
      <w:r>
        <w:t xml:space="preserve">ενίσχυση </w:t>
      </w:r>
      <w:r w:rsidRPr="004C1D8B">
        <w:t xml:space="preserve">των ιδιωτικών και </w:t>
      </w:r>
      <w:r w:rsidR="00EC48CF">
        <w:t xml:space="preserve">των </w:t>
      </w:r>
      <w:r w:rsidRPr="004C1D8B">
        <w:t>δημ</w:t>
      </w:r>
      <w:r w:rsidR="00EC48CF">
        <w:t>ο</w:t>
      </w:r>
      <w:r w:rsidRPr="004C1D8B">
        <w:t>σ</w:t>
      </w:r>
      <w:r w:rsidR="00EC48CF">
        <w:t>ί</w:t>
      </w:r>
      <w:r w:rsidRPr="004C1D8B">
        <w:t xml:space="preserve">ων επενδύσεων, </w:t>
      </w:r>
      <w:r>
        <w:t>σ</w:t>
      </w:r>
      <w:r w:rsidRPr="004C1D8B">
        <w:t xml:space="preserve">την άσκηση </w:t>
      </w:r>
      <w:proofErr w:type="spellStart"/>
      <w:r w:rsidRPr="004C1D8B">
        <w:t>στοχευμένης</w:t>
      </w:r>
      <w:proofErr w:type="spellEnd"/>
      <w:r w:rsidRPr="004C1D8B">
        <w:t xml:space="preserve"> κοινωνικής πολιτικής με έμφαση στο στεγαστικό</w:t>
      </w:r>
      <w:r>
        <w:t xml:space="preserve"> και</w:t>
      </w:r>
      <w:r w:rsidRPr="004C1D8B">
        <w:t xml:space="preserve"> </w:t>
      </w:r>
      <w:r>
        <w:t>σ</w:t>
      </w:r>
      <w:r w:rsidRPr="004C1D8B">
        <w:t xml:space="preserve">το δημογραφικό </w:t>
      </w:r>
      <w:r>
        <w:t xml:space="preserve">ζήτημα </w:t>
      </w:r>
      <w:r w:rsidR="00EC48CF">
        <w:t xml:space="preserve">αλλά </w:t>
      </w:r>
      <w:r w:rsidRPr="004C1D8B">
        <w:t xml:space="preserve">και </w:t>
      </w:r>
      <w:r>
        <w:t>σ</w:t>
      </w:r>
      <w:r w:rsidRPr="004C1D8B">
        <w:t xml:space="preserve">την υγεία </w:t>
      </w:r>
      <w:r w:rsidR="00EC48CF">
        <w:t xml:space="preserve">καθώς </w:t>
      </w:r>
      <w:r w:rsidRPr="004C1D8B">
        <w:t xml:space="preserve">και </w:t>
      </w:r>
      <w:r>
        <w:t>σ</w:t>
      </w:r>
      <w:r w:rsidRPr="004C1D8B">
        <w:t xml:space="preserve">την </w:t>
      </w:r>
      <w:r w:rsidR="00EC48CF">
        <w:t xml:space="preserve">προώθηση </w:t>
      </w:r>
      <w:r w:rsidRPr="004C1D8B">
        <w:t>της ενεργειακής αυτονομίας με παράλληλη μείωση του κόστους ηλεκτρικής ενέργειας.</w:t>
      </w:r>
    </w:p>
    <w:p w14:paraId="7A0665C6" w14:textId="77777777" w:rsidR="00597B16" w:rsidRDefault="00597B16" w:rsidP="00982B15">
      <w:r w:rsidRPr="00D1257B">
        <w:t>Οι παρεμβάσεις οι οποίες θα υλοποιηθούν</w:t>
      </w:r>
      <w:r>
        <w:t xml:space="preserve"> και έχουν δημοσιονομική επίπτωση το έτος </w:t>
      </w:r>
      <w:r w:rsidRPr="00D1257B">
        <w:t>202</w:t>
      </w:r>
      <w:r>
        <w:t>7</w:t>
      </w:r>
      <w:r w:rsidRPr="00D1257B">
        <w:t>, περιλαμβάνουν, μεταξύ άλλων:</w:t>
      </w:r>
    </w:p>
    <w:p w14:paraId="49991351" w14:textId="1086D8A7" w:rsidR="00EC113F" w:rsidRDefault="00EC113F" w:rsidP="00982B15">
      <w:pPr>
        <w:numPr>
          <w:ilvl w:val="0"/>
          <w:numId w:val="2"/>
        </w:numPr>
        <w:spacing w:before="120" w:after="60"/>
        <w:ind w:left="568" w:hanging="284"/>
      </w:pPr>
      <w:r>
        <w:t xml:space="preserve">μειώσεις φόρων </w:t>
      </w:r>
      <w:r w:rsidR="00597B16" w:rsidRPr="00982B15">
        <w:t xml:space="preserve">για τους </w:t>
      </w:r>
      <w:r>
        <w:t>ε</w:t>
      </w:r>
      <w:r w:rsidR="00597B16" w:rsidRPr="00982B15">
        <w:t>λεύθερους επαγγελματίες,</w:t>
      </w:r>
    </w:p>
    <w:p w14:paraId="627B4680" w14:textId="2A6E76FB" w:rsidR="00597B16" w:rsidRDefault="00EC113F" w:rsidP="00430E48">
      <w:pPr>
        <w:numPr>
          <w:ilvl w:val="0"/>
          <w:numId w:val="2"/>
        </w:numPr>
        <w:spacing w:before="60" w:after="60"/>
        <w:ind w:left="568" w:hanging="284"/>
      </w:pPr>
      <w:r>
        <w:t xml:space="preserve">μηδενισμό του φορολογικού συντελεστή για </w:t>
      </w:r>
      <w:r w:rsidR="00597B16" w:rsidRPr="00982B15">
        <w:t xml:space="preserve">τους </w:t>
      </w:r>
      <w:proofErr w:type="spellStart"/>
      <w:r w:rsidR="00597B16" w:rsidRPr="00982B15">
        <w:t>τρ</w:t>
      </w:r>
      <w:r w:rsidR="00A561C1">
        <w:t>ι</w:t>
      </w:r>
      <w:r w:rsidR="00597B16" w:rsidRPr="00982B15">
        <w:t>τ</w:t>
      </w:r>
      <w:r w:rsidR="00A561C1">
        <w:t>έ</w:t>
      </w:r>
      <w:r w:rsidR="00597B16" w:rsidRPr="00982B15">
        <w:t>κνους</w:t>
      </w:r>
      <w:proofErr w:type="spellEnd"/>
      <w:r w:rsidR="00597B16" w:rsidRPr="00982B15">
        <w:t xml:space="preserve"> και τους κατά κύριο επάγγελμα αγρότες</w:t>
      </w:r>
      <w:r w:rsidRPr="00EC113F">
        <w:t xml:space="preserve"> </w:t>
      </w:r>
      <w:r>
        <w:t>με φορολογητέο εισόδημα έως 20.000 ευρώ</w:t>
      </w:r>
      <w:r w:rsidR="00597B16" w:rsidRPr="00982B15">
        <w:t>,</w:t>
      </w:r>
    </w:p>
    <w:p w14:paraId="6AD7455C" w14:textId="6AF6D4D6" w:rsidR="00EC113F" w:rsidRDefault="00EC113F" w:rsidP="00430E48">
      <w:pPr>
        <w:numPr>
          <w:ilvl w:val="0"/>
          <w:numId w:val="2"/>
        </w:numPr>
        <w:spacing w:before="60" w:after="60"/>
        <w:ind w:left="568" w:hanging="284"/>
      </w:pPr>
      <w:r w:rsidRPr="001C4508">
        <w:t xml:space="preserve">μόνιμη αύξηση της ενίσχυσης του Νοεμβρίου σε συνταξιούχους, </w:t>
      </w:r>
      <w:r>
        <w:t xml:space="preserve">σε </w:t>
      </w:r>
      <w:r w:rsidRPr="001C4508">
        <w:t xml:space="preserve">άτομα με αναπηρία και </w:t>
      </w:r>
      <w:r>
        <w:t xml:space="preserve">σε </w:t>
      </w:r>
      <w:r w:rsidRPr="001C4508">
        <w:t>ανασφάλιστους υπερήλικες</w:t>
      </w:r>
      <w:r>
        <w:t xml:space="preserve"> από το 2026,</w:t>
      </w:r>
    </w:p>
    <w:p w14:paraId="1A50052A" w14:textId="41A7F982" w:rsidR="00EC113F" w:rsidRPr="00EC113F" w:rsidRDefault="00EC113F" w:rsidP="00430E48">
      <w:pPr>
        <w:numPr>
          <w:ilvl w:val="0"/>
          <w:numId w:val="2"/>
        </w:numPr>
        <w:spacing w:before="60" w:after="60"/>
        <w:ind w:left="568" w:hanging="284"/>
      </w:pPr>
      <w:r w:rsidRPr="006F110C">
        <w:t>θέσπιση ειδικού επενδυτικού λογαριασμού για τη νέα γενιά,</w:t>
      </w:r>
    </w:p>
    <w:p w14:paraId="2E4C9A28" w14:textId="77777777" w:rsidR="00597B16" w:rsidRPr="00982B15" w:rsidRDefault="00597B16" w:rsidP="00982B15">
      <w:pPr>
        <w:numPr>
          <w:ilvl w:val="0"/>
          <w:numId w:val="2"/>
        </w:numPr>
        <w:spacing w:before="60" w:after="60"/>
        <w:ind w:left="568" w:hanging="284"/>
      </w:pPr>
      <w:r w:rsidRPr="00982B15">
        <w:t>μείωση των ασφαλιστικών εισφορών για τον ιδιωτικό τομέα,</w:t>
      </w:r>
    </w:p>
    <w:p w14:paraId="4BC2BB76" w14:textId="4F561CC3" w:rsidR="00597B16" w:rsidRPr="00982B15" w:rsidRDefault="00597B16" w:rsidP="00982B15">
      <w:pPr>
        <w:numPr>
          <w:ilvl w:val="0"/>
          <w:numId w:val="2"/>
        </w:numPr>
        <w:spacing w:before="60" w:after="60"/>
        <w:ind w:left="568" w:hanging="284"/>
      </w:pPr>
      <w:r w:rsidRPr="008C5E6C">
        <w:t>θέσπιση επιδόματος</w:t>
      </w:r>
      <w:r w:rsidRPr="00982B15">
        <w:t xml:space="preserve"> εορτών Χριστουγέννων </w:t>
      </w:r>
      <w:r w:rsidR="00C34B9F">
        <w:t xml:space="preserve">για </w:t>
      </w:r>
      <w:r w:rsidRPr="00982B15">
        <w:t>τους δημοσίους υπαλλήλους</w:t>
      </w:r>
      <w:r w:rsidR="003C16A8">
        <w:t xml:space="preserve"> και λειτουργούς</w:t>
      </w:r>
      <w:r w:rsidR="00A561C1">
        <w:t>,</w:t>
      </w:r>
      <w:r w:rsidRPr="00982B15">
        <w:t xml:space="preserve"> πέραν της οριζόντιας αύξησης </w:t>
      </w:r>
      <w:r w:rsidR="00A561C1">
        <w:t xml:space="preserve">συνεπεία </w:t>
      </w:r>
      <w:r w:rsidRPr="00982B15">
        <w:t>της αύξησης του κατώτατου μισθού,</w:t>
      </w:r>
    </w:p>
    <w:p w14:paraId="089E69EC" w14:textId="06A22C90" w:rsidR="00597B16" w:rsidRPr="00982B15" w:rsidRDefault="00597B16" w:rsidP="00982B15">
      <w:pPr>
        <w:numPr>
          <w:ilvl w:val="0"/>
          <w:numId w:val="2"/>
        </w:numPr>
        <w:spacing w:before="60" w:after="60"/>
        <w:ind w:left="568" w:hanging="284"/>
      </w:pPr>
      <w:r w:rsidRPr="00982B15">
        <w:t xml:space="preserve">κατάργηση του τέλους επιτηδεύματος </w:t>
      </w:r>
      <w:r w:rsidR="00A561C1">
        <w:t xml:space="preserve">με αφετηρία </w:t>
      </w:r>
      <w:r w:rsidRPr="00982B15">
        <w:t xml:space="preserve">την </w:t>
      </w:r>
      <w:r w:rsidR="00F64F10">
        <w:t>ε</w:t>
      </w:r>
      <w:r w:rsidRPr="00982B15">
        <w:t xml:space="preserve">λληνική </w:t>
      </w:r>
      <w:r w:rsidR="00F64F10">
        <w:t>π</w:t>
      </w:r>
      <w:r w:rsidRPr="00982B15">
        <w:t>εριφέρεια και τη Θεσσαλονίκη,</w:t>
      </w:r>
    </w:p>
    <w:p w14:paraId="40524439" w14:textId="517E0AE3" w:rsidR="00597B16" w:rsidRPr="00982B15" w:rsidRDefault="000A7990" w:rsidP="00982B15">
      <w:pPr>
        <w:numPr>
          <w:ilvl w:val="0"/>
          <w:numId w:val="2"/>
        </w:numPr>
        <w:spacing w:before="60" w:after="60"/>
        <w:ind w:left="568" w:hanging="284"/>
      </w:pPr>
      <w:r>
        <w:t xml:space="preserve">αύξηση </w:t>
      </w:r>
      <w:r w:rsidR="00597B16" w:rsidRPr="00982B15">
        <w:t xml:space="preserve">επιστροφής επενδυτικού R&amp;D </w:t>
      </w:r>
      <w:proofErr w:type="spellStart"/>
      <w:r w:rsidR="00597B16" w:rsidRPr="00982B15">
        <w:t>Clawback</w:t>
      </w:r>
      <w:proofErr w:type="spellEnd"/>
      <w:r w:rsidR="00597B16" w:rsidRPr="00982B15">
        <w:t>,</w:t>
      </w:r>
    </w:p>
    <w:p w14:paraId="2F100F1B" w14:textId="3B5F632F" w:rsidR="00597B16" w:rsidRPr="00982B15" w:rsidRDefault="000A7990" w:rsidP="00982B15">
      <w:pPr>
        <w:numPr>
          <w:ilvl w:val="0"/>
          <w:numId w:val="2"/>
        </w:numPr>
        <w:spacing w:before="60" w:after="60"/>
        <w:ind w:left="568" w:hanging="284"/>
      </w:pPr>
      <w:r>
        <w:t xml:space="preserve">κατάργηση </w:t>
      </w:r>
      <w:r w:rsidR="00597B16" w:rsidRPr="00982B15">
        <w:t>του ΕΝΦΙΑ σε οικισμούς έως 2.000 κατοίκων και έως 2.200 κατοίκων στη Δυτική Μακεδονία,</w:t>
      </w:r>
    </w:p>
    <w:p w14:paraId="71631092" w14:textId="701A189C" w:rsidR="00597B16" w:rsidRPr="00982B15" w:rsidRDefault="000A7990" w:rsidP="00982B15">
      <w:pPr>
        <w:numPr>
          <w:ilvl w:val="0"/>
          <w:numId w:val="2"/>
        </w:numPr>
        <w:spacing w:before="60" w:after="60"/>
        <w:ind w:left="568" w:hanging="284"/>
      </w:pPr>
      <w:r>
        <w:t>π</w:t>
      </w:r>
      <w:r w:rsidR="00597B16" w:rsidRPr="00982B15">
        <w:t>αράταση της μείωσης του φόρου εισοδήματος</w:t>
      </w:r>
      <w:r w:rsidR="00430E48">
        <w:t xml:space="preserve"> για</w:t>
      </w:r>
      <w:r w:rsidR="00597B16" w:rsidRPr="00982B15">
        <w:t xml:space="preserve"> </w:t>
      </w:r>
      <w:r w:rsidR="00430E48">
        <w:t xml:space="preserve">κενά κτήρια που ενοικιάζονται καθώς και για </w:t>
      </w:r>
      <w:r w:rsidR="00597B16" w:rsidRPr="00982B15">
        <w:t>δαπάνες αναβάθμισης κτηρίων,</w:t>
      </w:r>
    </w:p>
    <w:p w14:paraId="007F9CCA" w14:textId="22CE12CB" w:rsidR="00597B16" w:rsidRPr="00982B15" w:rsidRDefault="000A7990" w:rsidP="00982B15">
      <w:pPr>
        <w:numPr>
          <w:ilvl w:val="0"/>
          <w:numId w:val="2"/>
        </w:numPr>
        <w:spacing w:before="60" w:after="60"/>
        <w:ind w:left="568" w:hanging="284"/>
      </w:pPr>
      <w:r>
        <w:t>ε</w:t>
      </w:r>
      <w:r w:rsidR="00597B16" w:rsidRPr="00982B15">
        <w:t>πέκταση της απαλλαγής ΦΠΑ στα νέα κτήρια,</w:t>
      </w:r>
    </w:p>
    <w:p w14:paraId="7D0F6CC7" w14:textId="77777777" w:rsidR="00430E48" w:rsidRPr="00982B15" w:rsidRDefault="00430E48" w:rsidP="00430E48">
      <w:pPr>
        <w:numPr>
          <w:ilvl w:val="0"/>
          <w:numId w:val="2"/>
        </w:numPr>
        <w:spacing w:before="60" w:after="60"/>
        <w:ind w:left="568" w:hanging="284"/>
      </w:pPr>
      <w:r>
        <w:t>α</w:t>
      </w:r>
      <w:r w:rsidRPr="00982B15">
        <w:t xml:space="preserve">ύξηση φόρου μεταβίβασης σε 15% </w:t>
      </w:r>
      <w:r>
        <w:t>για αγορά κατοικίας από</w:t>
      </w:r>
      <w:r w:rsidRPr="00410A9D">
        <w:rPr>
          <w:rFonts w:cs="Arial"/>
        </w:rPr>
        <w:t xml:space="preserve"> </w:t>
      </w:r>
      <w:r w:rsidRPr="002B0667">
        <w:rPr>
          <w:rFonts w:cs="Arial"/>
        </w:rPr>
        <w:t>φορολογικούς κατοίκους</w:t>
      </w:r>
      <w:r>
        <w:t xml:space="preserve"> </w:t>
      </w:r>
      <w:r w:rsidRPr="00982B15">
        <w:t>τρίτων χωρών</w:t>
      </w:r>
      <w:r>
        <w:t xml:space="preserve"> (εκτός ΕΕ)</w:t>
      </w:r>
      <w:r w:rsidRPr="00982B15">
        <w:t>,</w:t>
      </w:r>
    </w:p>
    <w:p w14:paraId="5A225025" w14:textId="3E78DC4B" w:rsidR="00597B16" w:rsidRPr="00982B15" w:rsidRDefault="000A7990" w:rsidP="00982B15">
      <w:pPr>
        <w:numPr>
          <w:ilvl w:val="0"/>
          <w:numId w:val="2"/>
        </w:numPr>
        <w:spacing w:before="60" w:after="60"/>
        <w:ind w:left="568" w:hanging="284"/>
      </w:pPr>
      <w:r>
        <w:t>τ</w:t>
      </w:r>
      <w:r w:rsidR="00597B16" w:rsidRPr="00982B15">
        <w:t>ιμαριθμοποίηση αναπηρικών επιδομάτων,</w:t>
      </w:r>
    </w:p>
    <w:p w14:paraId="716979B3" w14:textId="20DAEB52" w:rsidR="00597B16" w:rsidRPr="00982B15" w:rsidRDefault="000A7990" w:rsidP="00982B15">
      <w:pPr>
        <w:numPr>
          <w:ilvl w:val="0"/>
          <w:numId w:val="2"/>
        </w:numPr>
        <w:spacing w:before="60" w:after="60"/>
        <w:ind w:left="568" w:hanging="284"/>
      </w:pPr>
      <w:r>
        <w:t>α</w:t>
      </w:r>
      <w:r w:rsidR="00597B16" w:rsidRPr="00982B15">
        <w:t xml:space="preserve">ύξηση </w:t>
      </w:r>
      <w:r w:rsidR="00C4338F">
        <w:t xml:space="preserve">κατά 10% των </w:t>
      </w:r>
      <w:r w:rsidR="00597B16" w:rsidRPr="00982B15">
        <w:t>voucher βρεφονηπιακών σταθμών</w:t>
      </w:r>
      <w:r w:rsidR="008C5417">
        <w:t xml:space="preserve"> και αλλαγή των εισοδηματικών </w:t>
      </w:r>
      <w:r w:rsidR="004F6532">
        <w:t>ορίων</w:t>
      </w:r>
      <w:r w:rsidR="008C5417">
        <w:t xml:space="preserve"> για τη χορήγησή τους</w:t>
      </w:r>
      <w:r w:rsidR="00597B16" w:rsidRPr="00982B15">
        <w:t>,</w:t>
      </w:r>
    </w:p>
    <w:p w14:paraId="766EB532" w14:textId="77777777" w:rsidR="00597B16" w:rsidRPr="00982B15" w:rsidRDefault="00597B16" w:rsidP="00982B15">
      <w:pPr>
        <w:numPr>
          <w:ilvl w:val="0"/>
          <w:numId w:val="2"/>
        </w:numPr>
        <w:spacing w:before="60" w:after="60"/>
        <w:ind w:left="568" w:hanging="284"/>
      </w:pPr>
      <w:r w:rsidRPr="00982B15">
        <w:t xml:space="preserve">φορολογική προστασία </w:t>
      </w:r>
      <w:proofErr w:type="spellStart"/>
      <w:r w:rsidRPr="00982B15">
        <w:t>μονογονεϊκότητας</w:t>
      </w:r>
      <w:proofErr w:type="spellEnd"/>
      <w:r w:rsidRPr="00982B15">
        <w:t>,</w:t>
      </w:r>
    </w:p>
    <w:p w14:paraId="102A3208" w14:textId="30F4ED32" w:rsidR="00597B16" w:rsidRPr="00982B15" w:rsidRDefault="000A7990" w:rsidP="00982B15">
      <w:pPr>
        <w:numPr>
          <w:ilvl w:val="0"/>
          <w:numId w:val="2"/>
        </w:numPr>
        <w:spacing w:before="60" w:after="60"/>
        <w:ind w:left="568" w:hanging="284"/>
      </w:pPr>
      <w:r w:rsidRPr="004F6532">
        <w:t>α</w:t>
      </w:r>
      <w:r w:rsidR="00597B16" w:rsidRPr="004F6532">
        <w:t xml:space="preserve">ύξηση </w:t>
      </w:r>
      <w:r w:rsidR="00077F10" w:rsidRPr="004F6532">
        <w:t>δαπάνης</w:t>
      </w:r>
      <w:r w:rsidR="00597B16" w:rsidRPr="004F6532">
        <w:t xml:space="preserve"> σί</w:t>
      </w:r>
      <w:r w:rsidR="00597B16" w:rsidRPr="00982B15">
        <w:t>τισης φοιτητών</w:t>
      </w:r>
      <w:r w:rsidR="00430E48">
        <w:t xml:space="preserve"> και</w:t>
      </w:r>
    </w:p>
    <w:p w14:paraId="27F7F303" w14:textId="57161273" w:rsidR="00597B16" w:rsidRPr="00982B15" w:rsidRDefault="000A7990" w:rsidP="00430E48">
      <w:pPr>
        <w:numPr>
          <w:ilvl w:val="0"/>
          <w:numId w:val="2"/>
        </w:numPr>
        <w:spacing w:before="60"/>
        <w:ind w:left="568" w:hanging="284"/>
      </w:pPr>
      <w:r>
        <w:t>α</w:t>
      </w:r>
      <w:r w:rsidR="00597B16" w:rsidRPr="00982B15">
        <w:t xml:space="preserve">ύξηση </w:t>
      </w:r>
      <w:r w:rsidR="00430E48">
        <w:t xml:space="preserve">του εθνικού και του </w:t>
      </w:r>
      <w:r w:rsidR="00597B16" w:rsidRPr="00982B15">
        <w:t>συγχρηματοδοτούμενου σκέλους του προϋπολογισμού δημοσίων επενδύσεων</w:t>
      </w:r>
      <w:r w:rsidR="00430E48">
        <w:t>.</w:t>
      </w:r>
    </w:p>
    <w:p w14:paraId="7A6BF932" w14:textId="4899EFD5" w:rsidR="00597B16" w:rsidRPr="001F6271" w:rsidRDefault="00597B16" w:rsidP="00982B15">
      <w:r w:rsidRPr="00D1257B">
        <w:t xml:space="preserve">Οι συνολικές δημοσιονομικές παρεμβάσεις αποτυπώνονται αναλυτικά </w:t>
      </w:r>
      <w:r w:rsidRPr="007B5805">
        <w:t xml:space="preserve">στην </w:t>
      </w:r>
      <w:r w:rsidR="00BD23BE" w:rsidRPr="007B5805">
        <w:t xml:space="preserve">ενότητα </w:t>
      </w:r>
      <w:r w:rsidR="00BD23BE" w:rsidRPr="007B5805">
        <w:fldChar w:fldCharType="begin"/>
      </w:r>
      <w:r w:rsidR="00BD23BE" w:rsidRPr="007B5805">
        <w:instrText xml:space="preserve"> REF _Ref241747749 \r \h  \* MERGEFORMAT </w:instrText>
      </w:r>
      <w:r w:rsidR="00BD23BE" w:rsidRPr="007B5805">
        <w:fldChar w:fldCharType="separate"/>
      </w:r>
      <w:r w:rsidR="007F6D9C" w:rsidRPr="007B5805">
        <w:t>2.3</w:t>
      </w:r>
      <w:r w:rsidR="00BD23BE" w:rsidRPr="007B5805">
        <w:fldChar w:fldCharType="end"/>
      </w:r>
      <w:r w:rsidR="00BD23BE" w:rsidRPr="007B5805">
        <w:t xml:space="preserve">. </w:t>
      </w:r>
      <w:r w:rsidR="001F6271" w:rsidRPr="007B5805">
        <w:t xml:space="preserve">- </w:t>
      </w:r>
      <w:r w:rsidR="00BD23BE" w:rsidRPr="007B5805">
        <w:fldChar w:fldCharType="begin"/>
      </w:r>
      <w:r w:rsidR="00BD23BE" w:rsidRPr="007B5805">
        <w:instrText xml:space="preserve"> REF _Ref241747758 \h  \* MERGEFORMAT </w:instrText>
      </w:r>
      <w:r w:rsidR="00BD23BE" w:rsidRPr="007B5805">
        <w:fldChar w:fldCharType="separate"/>
      </w:r>
      <w:r w:rsidR="007F6D9C" w:rsidRPr="007B5805">
        <w:t>Δημοσιονομικές παρεμβάσεις</w:t>
      </w:r>
      <w:r w:rsidR="00BD23BE" w:rsidRPr="007B5805">
        <w:fldChar w:fldCharType="end"/>
      </w:r>
      <w:r w:rsidR="00BD23BE" w:rsidRPr="007B5805">
        <w:t>.</w:t>
      </w:r>
    </w:p>
    <w:p w14:paraId="0917D4B2" w14:textId="3BC0EB13" w:rsidR="00901627" w:rsidRDefault="00597B16" w:rsidP="00A96403">
      <w:r w:rsidRPr="00AC3DA7">
        <w:t>Σύμφωνα με τις προβλέψεις για το έτος 202</w:t>
      </w:r>
      <w:r w:rsidR="000A1ACA">
        <w:t>7</w:t>
      </w:r>
      <w:r w:rsidRPr="00AC3DA7">
        <w:t>, το πρωτογενές αποτέλεσμα της Γενικής Κυβέρνησης σε δημοσιονομική βάση προβλέπεται να διαμορφωθεί σε πλεόνασμα ύψους 9.152 εκατ. ευρώ ή 3,3% του ΑΕΠ.</w:t>
      </w:r>
    </w:p>
    <w:p w14:paraId="140C90B1" w14:textId="7998689F" w:rsidR="00BF570E" w:rsidRDefault="00BA563D" w:rsidP="00A20B6E">
      <w:pPr>
        <w:spacing w:after="240"/>
      </w:pPr>
      <w:r>
        <w:t xml:space="preserve">Οι καθαρές εθνικά χρηματοδοτούμενες πρωτογενείς δαπάνες της Γενικής </w:t>
      </w:r>
      <w:r w:rsidRPr="007B5805">
        <w:t>Κυβέρνησης</w:t>
      </w:r>
      <w:r w:rsidR="00CE3D65" w:rsidRPr="007B5805">
        <w:t xml:space="preserve"> </w:t>
      </w:r>
      <w:r w:rsidR="00CE3D65" w:rsidRPr="007B5805">
        <w:rPr>
          <w:szCs w:val="20"/>
        </w:rPr>
        <w:t>(</w:t>
      </w:r>
      <w:r w:rsidR="00CD6824" w:rsidRPr="007B5805">
        <w:rPr>
          <w:szCs w:val="20"/>
        </w:rPr>
        <w:fldChar w:fldCharType="begin"/>
      </w:r>
      <w:r w:rsidR="00CD6824" w:rsidRPr="007B5805">
        <w:rPr>
          <w:szCs w:val="20"/>
        </w:rPr>
        <w:instrText xml:space="preserve"> REF _Ref241948663 \h  \* MERGEFORMAT </w:instrText>
      </w:r>
      <w:r w:rsidR="00CD6824" w:rsidRPr="007B5805">
        <w:rPr>
          <w:szCs w:val="20"/>
        </w:rPr>
      </w:r>
      <w:r w:rsidR="00CD6824" w:rsidRPr="007B5805">
        <w:rPr>
          <w:szCs w:val="20"/>
        </w:rPr>
        <w:fldChar w:fldCharType="separate"/>
      </w:r>
      <w:r w:rsidR="007F6D9C" w:rsidRPr="007B5805">
        <w:rPr>
          <w:rFonts w:cs="Arial"/>
          <w:szCs w:val="20"/>
        </w:rPr>
        <w:t>Πίνακας 2.4</w:t>
      </w:r>
      <w:r w:rsidR="00CD6824" w:rsidRPr="007B5805">
        <w:rPr>
          <w:szCs w:val="20"/>
        </w:rPr>
        <w:fldChar w:fldCharType="end"/>
      </w:r>
      <w:r w:rsidR="00CD6824" w:rsidRPr="007B5805">
        <w:rPr>
          <w:szCs w:val="20"/>
        </w:rPr>
        <w:t>.</w:t>
      </w:r>
      <w:r w:rsidR="00CE3D65" w:rsidRPr="007B5805">
        <w:rPr>
          <w:szCs w:val="20"/>
        </w:rPr>
        <w:t>)</w:t>
      </w:r>
      <w:r w:rsidRPr="007B5805">
        <w:rPr>
          <w:szCs w:val="20"/>
        </w:rPr>
        <w:t>,</w:t>
      </w:r>
      <w:r w:rsidRPr="00CD6824">
        <w:t xml:space="preserve"> </w:t>
      </w:r>
      <w:r>
        <w:t>σύμφωνα με τον ορισμό του νέου ευρωπαϊκού πλαισίου οικονομικής διακυβέρνησης, αναμένεται να αυξηθούν ετησίως με ρυθμό 8% και 3,6% για τα έτη 2026 και 2027 αντίστοιχα έναντι στόχου 3,6% και 3,1% αντίστοιχα</w:t>
      </w:r>
      <w:r w:rsidR="00FD7887">
        <w:t xml:space="preserve">, ο οποίος </w:t>
      </w:r>
      <w:r>
        <w:t>είχε τεθεί στ</w:t>
      </w:r>
      <w:r w:rsidRPr="00FD7887">
        <w:t>ο Μ</w:t>
      </w:r>
      <w:r w:rsidR="00A34C4A" w:rsidRPr="00FD7887">
        <w:t xml:space="preserve">ΔΣ </w:t>
      </w:r>
      <w:r w:rsidRPr="00FD7887">
        <w:t>2025</w:t>
      </w:r>
      <w:r w:rsidR="00A34C4A" w:rsidRPr="00FD7887">
        <w:t xml:space="preserve"> - </w:t>
      </w:r>
      <w:r w:rsidRPr="00FD7887">
        <w:t>2028.</w:t>
      </w:r>
      <w:r>
        <w:t xml:space="preserve"> Ωστόσο, λαμβ</w:t>
      </w:r>
      <w:r w:rsidR="00E678E5">
        <w:t xml:space="preserve">ανομένης </w:t>
      </w:r>
      <w:r>
        <w:t>υπόψη τη</w:t>
      </w:r>
      <w:r w:rsidR="00E678E5">
        <w:t>ς</w:t>
      </w:r>
      <w:r>
        <w:t xml:space="preserve"> ευελιξία</w:t>
      </w:r>
      <w:r w:rsidR="00E678E5">
        <w:t>ς</w:t>
      </w:r>
      <w:r w:rsidR="007F22F0">
        <w:t xml:space="preserve"> που παρέχεται</w:t>
      </w:r>
      <w:r>
        <w:t xml:space="preserve"> μετά την ενεργοποίηση της εθνικής ρήτρας διαφυγής για τις αμυντικές δαπάνες και την επέκταση αυτής, προκειμένου να συμπεριληφθούν μέτρα που ενισχύουν την ενεργειακή ανθεκτικότητα, η σωρευτική αύξηση στα έτη αυτά δεν υπερβαίνει τη δέσμευση του ορίου δαπανών. Επισημαίνεται ότι στη σωρευτική αύξηση συνυπολογίζονται και τα έτη 2024 και 2025, κατά τα οποία ο ρυθμός αύξησης των δαπανών ήταν σημαντικά χαμηλότερος του στόχου λόγω </w:t>
      </w:r>
      <w:r w:rsidR="00E678E5">
        <w:t xml:space="preserve">της </w:t>
      </w:r>
      <w:r>
        <w:t xml:space="preserve">χαμηλότερης από την αναμενόμενη συνολικής δαπάνης της Γενικής Κυβέρνησης, κυρίως </w:t>
      </w:r>
      <w:r w:rsidR="007F22F0">
        <w:t xml:space="preserve">δε </w:t>
      </w:r>
      <w:r>
        <w:t>λόγω της απόδοσης των μέτρων για την αντιμετώπιση της φοροδιαφυγής και της εισφοροδιαφυγής.</w:t>
      </w:r>
    </w:p>
    <w:tbl>
      <w:tblPr>
        <w:tblW w:w="9072" w:type="dxa"/>
        <w:jc w:val="cente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blBorders>
        <w:tblLook w:val="04A0" w:firstRow="1" w:lastRow="0" w:firstColumn="1" w:lastColumn="0" w:noHBand="0" w:noVBand="1"/>
      </w:tblPr>
      <w:tblGrid>
        <w:gridCol w:w="6092"/>
        <w:gridCol w:w="731"/>
        <w:gridCol w:w="801"/>
        <w:gridCol w:w="719"/>
        <w:gridCol w:w="729"/>
      </w:tblGrid>
      <w:tr w:rsidR="005976B6" w:rsidRPr="005A76C1" w14:paraId="0F17A3ED" w14:textId="77777777" w:rsidTr="002163F8">
        <w:trPr>
          <w:cantSplit/>
          <w:trHeight w:val="574"/>
          <w:jc w:val="center"/>
        </w:trPr>
        <w:tc>
          <w:tcPr>
            <w:tcW w:w="8649" w:type="dxa"/>
            <w:gridSpan w:val="5"/>
            <w:shd w:val="clear" w:color="000000" w:fill="D5DCE4"/>
            <w:vAlign w:val="center"/>
            <w:hideMark/>
          </w:tcPr>
          <w:p w14:paraId="56E44AD5" w14:textId="1812144F" w:rsidR="005976B6" w:rsidRPr="00FA79DA" w:rsidRDefault="005976B6" w:rsidP="005976B6">
            <w:pPr>
              <w:spacing w:after="0" w:line="276" w:lineRule="auto"/>
              <w:jc w:val="center"/>
              <w:rPr>
                <w:rFonts w:cs="Arial"/>
                <w:b/>
                <w:bCs/>
                <w:color w:val="000000"/>
                <w:sz w:val="18"/>
                <w:szCs w:val="18"/>
              </w:rPr>
            </w:pPr>
            <w:bookmarkStart w:id="142" w:name="_Ref241948663"/>
            <w:bookmarkStart w:id="143" w:name="_Toc241953651"/>
            <w:r w:rsidRPr="00D85BF8">
              <w:rPr>
                <w:rFonts w:cs="Arial"/>
                <w:b/>
                <w:sz w:val="18"/>
                <w:szCs w:val="18"/>
              </w:rPr>
              <w:t>Πίνακας 2.</w:t>
            </w:r>
            <w:r w:rsidRPr="00D85BF8">
              <w:rPr>
                <w:rFonts w:cs="Arial"/>
                <w:b/>
                <w:sz w:val="18"/>
                <w:szCs w:val="18"/>
              </w:rPr>
              <w:fldChar w:fldCharType="begin"/>
            </w:r>
            <w:r w:rsidRPr="00D85BF8">
              <w:rPr>
                <w:rFonts w:cs="Arial"/>
                <w:b/>
                <w:sz w:val="18"/>
                <w:szCs w:val="18"/>
              </w:rPr>
              <w:instrText xml:space="preserve"> SEQ Πίνακας_2. \* ARABIC </w:instrText>
            </w:r>
            <w:r w:rsidRPr="00D85BF8">
              <w:rPr>
                <w:rFonts w:cs="Arial"/>
                <w:b/>
                <w:sz w:val="18"/>
                <w:szCs w:val="18"/>
              </w:rPr>
              <w:fldChar w:fldCharType="separate"/>
            </w:r>
            <w:r w:rsidR="007F6D9C">
              <w:rPr>
                <w:rFonts w:cs="Arial"/>
                <w:b/>
                <w:noProof/>
                <w:sz w:val="18"/>
                <w:szCs w:val="18"/>
              </w:rPr>
              <w:t>4</w:t>
            </w:r>
            <w:r w:rsidRPr="00D85BF8">
              <w:rPr>
                <w:rFonts w:cs="Arial"/>
                <w:b/>
                <w:sz w:val="18"/>
                <w:szCs w:val="18"/>
              </w:rPr>
              <w:fldChar w:fldCharType="end"/>
            </w:r>
            <w:bookmarkEnd w:id="142"/>
            <w:r w:rsidRPr="00D85BF8">
              <w:rPr>
                <w:rFonts w:cs="Arial"/>
                <w:b/>
                <w:sz w:val="18"/>
                <w:szCs w:val="18"/>
              </w:rPr>
              <w:t>.</w:t>
            </w:r>
            <w:r w:rsidRPr="00D85BF8">
              <w:rPr>
                <w:rFonts w:cs="Arial"/>
                <w:b/>
                <w:bCs/>
                <w:color w:val="000000"/>
                <w:sz w:val="18"/>
                <w:szCs w:val="18"/>
              </w:rPr>
              <w:t>: Πορεία καθαρών δαπανών</w:t>
            </w:r>
            <w:bookmarkEnd w:id="143"/>
          </w:p>
        </w:tc>
      </w:tr>
      <w:tr w:rsidR="000C6040" w:rsidRPr="005A76C1" w14:paraId="2D139A35" w14:textId="77777777" w:rsidTr="002163F8">
        <w:trPr>
          <w:cantSplit/>
          <w:trHeight w:val="344"/>
          <w:jc w:val="center"/>
        </w:trPr>
        <w:tc>
          <w:tcPr>
            <w:tcW w:w="5808" w:type="dxa"/>
            <w:vAlign w:val="center"/>
          </w:tcPr>
          <w:p w14:paraId="7F0FDE45" w14:textId="1260E1A0" w:rsidR="000C6040" w:rsidRPr="00BC56C2" w:rsidRDefault="000C6040" w:rsidP="000C6040">
            <w:pPr>
              <w:spacing w:after="0" w:line="276" w:lineRule="auto"/>
              <w:jc w:val="center"/>
              <w:rPr>
                <w:rFonts w:cs="Arial"/>
                <w:b/>
                <w:bCs/>
                <w:color w:val="000000"/>
                <w:sz w:val="16"/>
                <w:szCs w:val="16"/>
                <w:lang w:val="en-US"/>
              </w:rPr>
            </w:pPr>
          </w:p>
        </w:tc>
        <w:tc>
          <w:tcPr>
            <w:tcW w:w="697" w:type="dxa"/>
            <w:vAlign w:val="center"/>
          </w:tcPr>
          <w:p w14:paraId="1ECEFFBE" w14:textId="199C708B"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rPr>
              <w:t>2024</w:t>
            </w:r>
          </w:p>
        </w:tc>
        <w:tc>
          <w:tcPr>
            <w:tcW w:w="764" w:type="dxa"/>
            <w:vAlign w:val="center"/>
          </w:tcPr>
          <w:p w14:paraId="0635ED79" w14:textId="219636ED"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rPr>
              <w:t>2025</w:t>
            </w:r>
          </w:p>
        </w:tc>
        <w:tc>
          <w:tcPr>
            <w:tcW w:w="685" w:type="dxa"/>
            <w:vAlign w:val="center"/>
          </w:tcPr>
          <w:p w14:paraId="5DE3FF71" w14:textId="1AC5DEF1"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szCs w:val="22"/>
              </w:rPr>
              <w:t>2026</w:t>
            </w:r>
          </w:p>
        </w:tc>
        <w:tc>
          <w:tcPr>
            <w:tcW w:w="692" w:type="dxa"/>
            <w:vAlign w:val="center"/>
          </w:tcPr>
          <w:p w14:paraId="0ECB6CA4" w14:textId="340689E9"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szCs w:val="22"/>
              </w:rPr>
              <w:t>2027</w:t>
            </w:r>
          </w:p>
        </w:tc>
      </w:tr>
      <w:tr w:rsidR="000C6040" w:rsidRPr="005A76C1" w14:paraId="03A71954" w14:textId="77777777" w:rsidTr="002163F8">
        <w:trPr>
          <w:cantSplit/>
          <w:trHeight w:val="298"/>
          <w:jc w:val="center"/>
        </w:trPr>
        <w:tc>
          <w:tcPr>
            <w:tcW w:w="5808" w:type="dxa"/>
            <w:shd w:val="clear" w:color="auto" w:fill="F2F2F2" w:themeFill="background1" w:themeFillShade="F2"/>
            <w:noWrap/>
            <w:vAlign w:val="center"/>
          </w:tcPr>
          <w:p w14:paraId="70E9D8BC" w14:textId="0D8EF842" w:rsidR="000C6040" w:rsidRPr="00A20B6E" w:rsidRDefault="000C6040" w:rsidP="000C6040">
            <w:pPr>
              <w:spacing w:after="0" w:line="276" w:lineRule="auto"/>
              <w:jc w:val="left"/>
              <w:rPr>
                <w:rFonts w:cs="Arial"/>
                <w:color w:val="000000"/>
                <w:sz w:val="16"/>
                <w:szCs w:val="16"/>
              </w:rPr>
            </w:pPr>
            <w:r w:rsidRPr="00A20B6E">
              <w:rPr>
                <w:rFonts w:cs="Arial"/>
                <w:b/>
                <w:sz w:val="16"/>
                <w:szCs w:val="16"/>
              </w:rPr>
              <w:t>Δημοσιονομική δέσμευση (ΜΔΣ)</w:t>
            </w:r>
          </w:p>
        </w:tc>
        <w:tc>
          <w:tcPr>
            <w:tcW w:w="697" w:type="dxa"/>
            <w:shd w:val="clear" w:color="auto" w:fill="F2F2F2" w:themeFill="background1" w:themeFillShade="F2"/>
            <w:noWrap/>
            <w:vAlign w:val="center"/>
          </w:tcPr>
          <w:p w14:paraId="562CA985" w14:textId="1E097405" w:rsidR="000C6040" w:rsidRPr="00A20B6E" w:rsidRDefault="000C6040" w:rsidP="000C6040">
            <w:pPr>
              <w:spacing w:after="0" w:line="276" w:lineRule="auto"/>
              <w:jc w:val="right"/>
              <w:rPr>
                <w:rFonts w:cs="Arial"/>
                <w:color w:val="000000"/>
                <w:sz w:val="16"/>
                <w:szCs w:val="16"/>
              </w:rPr>
            </w:pPr>
          </w:p>
        </w:tc>
        <w:tc>
          <w:tcPr>
            <w:tcW w:w="764" w:type="dxa"/>
            <w:shd w:val="clear" w:color="auto" w:fill="F2F2F2" w:themeFill="background1" w:themeFillShade="F2"/>
            <w:noWrap/>
            <w:vAlign w:val="center"/>
          </w:tcPr>
          <w:p w14:paraId="0A702BA9" w14:textId="03959F35" w:rsidR="000C6040" w:rsidRPr="00A20B6E" w:rsidRDefault="000C6040" w:rsidP="000C6040">
            <w:pPr>
              <w:spacing w:after="0" w:line="276" w:lineRule="auto"/>
              <w:jc w:val="right"/>
              <w:rPr>
                <w:rFonts w:cs="Arial"/>
                <w:color w:val="000000"/>
                <w:sz w:val="16"/>
                <w:szCs w:val="16"/>
              </w:rPr>
            </w:pPr>
          </w:p>
        </w:tc>
        <w:tc>
          <w:tcPr>
            <w:tcW w:w="685" w:type="dxa"/>
            <w:shd w:val="clear" w:color="auto" w:fill="F2F2F2" w:themeFill="background1" w:themeFillShade="F2"/>
            <w:noWrap/>
            <w:vAlign w:val="center"/>
          </w:tcPr>
          <w:p w14:paraId="0C47ABCB" w14:textId="3ABD19DA" w:rsidR="000C6040" w:rsidRPr="00A20B6E" w:rsidRDefault="000C6040" w:rsidP="000C6040">
            <w:pPr>
              <w:spacing w:after="0" w:line="276" w:lineRule="auto"/>
              <w:jc w:val="right"/>
              <w:rPr>
                <w:rFonts w:cs="Arial"/>
                <w:color w:val="000000"/>
                <w:sz w:val="16"/>
                <w:szCs w:val="16"/>
              </w:rPr>
            </w:pPr>
          </w:p>
        </w:tc>
        <w:tc>
          <w:tcPr>
            <w:tcW w:w="692" w:type="dxa"/>
            <w:shd w:val="clear" w:color="auto" w:fill="F2F2F2" w:themeFill="background1" w:themeFillShade="F2"/>
            <w:noWrap/>
            <w:vAlign w:val="center"/>
          </w:tcPr>
          <w:p w14:paraId="34964378" w14:textId="29BC600A" w:rsidR="000C6040" w:rsidRPr="00A20B6E" w:rsidRDefault="000C6040" w:rsidP="000C6040">
            <w:pPr>
              <w:spacing w:after="0" w:line="276" w:lineRule="auto"/>
              <w:jc w:val="right"/>
              <w:rPr>
                <w:rFonts w:cs="Arial"/>
                <w:color w:val="000000"/>
                <w:sz w:val="16"/>
                <w:szCs w:val="16"/>
              </w:rPr>
            </w:pPr>
          </w:p>
        </w:tc>
      </w:tr>
      <w:tr w:rsidR="000C6040" w:rsidRPr="005A76C1" w14:paraId="1749D491" w14:textId="77777777" w:rsidTr="002163F8">
        <w:trPr>
          <w:cantSplit/>
          <w:trHeight w:val="298"/>
          <w:jc w:val="center"/>
        </w:trPr>
        <w:tc>
          <w:tcPr>
            <w:tcW w:w="5808" w:type="dxa"/>
            <w:noWrap/>
            <w:vAlign w:val="center"/>
          </w:tcPr>
          <w:p w14:paraId="7742B3FD" w14:textId="40D6C6FB" w:rsidR="000C6040" w:rsidRPr="00A20B6E" w:rsidRDefault="000C6040" w:rsidP="000C6040">
            <w:pPr>
              <w:spacing w:after="0" w:line="276" w:lineRule="auto"/>
              <w:jc w:val="left"/>
              <w:rPr>
                <w:rFonts w:cs="Arial"/>
                <w:color w:val="000000"/>
                <w:sz w:val="16"/>
                <w:szCs w:val="16"/>
              </w:rPr>
            </w:pPr>
            <w:r w:rsidRPr="00A20B6E">
              <w:rPr>
                <w:rFonts w:cs="Arial"/>
                <w:sz w:val="16"/>
                <w:szCs w:val="16"/>
              </w:rPr>
              <w:t>Καθαρές εθνικά χρηματοδοτούμενες πρωτογενείς δαπάνες</w:t>
            </w:r>
            <w:r w:rsidRPr="00A20B6E">
              <w:rPr>
                <w:rFonts w:cs="Arial"/>
                <w:sz w:val="16"/>
                <w:szCs w:val="16"/>
              </w:rPr>
              <w:br/>
              <w:t>(ετήσιος ρυθμός αύξησης)</w:t>
            </w:r>
          </w:p>
        </w:tc>
        <w:tc>
          <w:tcPr>
            <w:tcW w:w="697" w:type="dxa"/>
            <w:noWrap/>
            <w:vAlign w:val="center"/>
          </w:tcPr>
          <w:p w14:paraId="54FFE1AD" w14:textId="71BB93C7" w:rsidR="000C6040" w:rsidRPr="00A20B6E" w:rsidRDefault="000C6040" w:rsidP="000C6040">
            <w:pPr>
              <w:spacing w:after="0" w:line="276" w:lineRule="auto"/>
              <w:jc w:val="right"/>
              <w:rPr>
                <w:rFonts w:cs="Arial"/>
                <w:color w:val="000000"/>
                <w:sz w:val="16"/>
                <w:szCs w:val="16"/>
              </w:rPr>
            </w:pPr>
            <w:r w:rsidRPr="00A20B6E">
              <w:rPr>
                <w:rFonts w:cs="Arial"/>
                <w:sz w:val="16"/>
                <w:szCs w:val="16"/>
              </w:rPr>
              <w:t>2,6</w:t>
            </w:r>
          </w:p>
        </w:tc>
        <w:tc>
          <w:tcPr>
            <w:tcW w:w="764" w:type="dxa"/>
            <w:noWrap/>
            <w:vAlign w:val="center"/>
          </w:tcPr>
          <w:p w14:paraId="778191EC" w14:textId="44211B13" w:rsidR="000C6040" w:rsidRPr="00A20B6E" w:rsidRDefault="000C6040" w:rsidP="000C6040">
            <w:pPr>
              <w:spacing w:after="0" w:line="276" w:lineRule="auto"/>
              <w:jc w:val="right"/>
              <w:rPr>
                <w:rFonts w:cs="Arial"/>
                <w:color w:val="000000"/>
                <w:sz w:val="16"/>
                <w:szCs w:val="16"/>
              </w:rPr>
            </w:pPr>
            <w:r w:rsidRPr="00A20B6E">
              <w:rPr>
                <w:rFonts w:cs="Arial"/>
                <w:sz w:val="16"/>
                <w:szCs w:val="16"/>
              </w:rPr>
              <w:t>3,7</w:t>
            </w:r>
          </w:p>
        </w:tc>
        <w:tc>
          <w:tcPr>
            <w:tcW w:w="685" w:type="dxa"/>
            <w:noWrap/>
            <w:vAlign w:val="center"/>
          </w:tcPr>
          <w:p w14:paraId="40C7F00A" w14:textId="45188364" w:rsidR="000C6040" w:rsidRPr="00A20B6E" w:rsidRDefault="000C6040" w:rsidP="000C6040">
            <w:pPr>
              <w:spacing w:after="0" w:line="276" w:lineRule="auto"/>
              <w:jc w:val="right"/>
              <w:rPr>
                <w:rFonts w:cs="Arial"/>
                <w:color w:val="000000"/>
                <w:sz w:val="16"/>
                <w:szCs w:val="16"/>
              </w:rPr>
            </w:pPr>
            <w:r w:rsidRPr="00A20B6E">
              <w:rPr>
                <w:rFonts w:cs="Arial"/>
                <w:sz w:val="16"/>
                <w:szCs w:val="16"/>
              </w:rPr>
              <w:t>3,6</w:t>
            </w:r>
          </w:p>
        </w:tc>
        <w:tc>
          <w:tcPr>
            <w:tcW w:w="692" w:type="dxa"/>
            <w:noWrap/>
            <w:vAlign w:val="center"/>
          </w:tcPr>
          <w:p w14:paraId="51507949" w14:textId="587564D9" w:rsidR="000C6040" w:rsidRPr="00A20B6E" w:rsidRDefault="000C6040" w:rsidP="000C6040">
            <w:pPr>
              <w:spacing w:after="0" w:line="276" w:lineRule="auto"/>
              <w:jc w:val="right"/>
              <w:rPr>
                <w:rFonts w:cs="Arial"/>
                <w:color w:val="000000"/>
                <w:sz w:val="16"/>
                <w:szCs w:val="16"/>
              </w:rPr>
            </w:pPr>
            <w:r w:rsidRPr="00A20B6E">
              <w:rPr>
                <w:rFonts w:cs="Arial"/>
                <w:sz w:val="16"/>
                <w:szCs w:val="16"/>
              </w:rPr>
              <w:t>3,1</w:t>
            </w:r>
          </w:p>
        </w:tc>
      </w:tr>
      <w:tr w:rsidR="000C6040" w:rsidRPr="005A76C1" w14:paraId="286D6915" w14:textId="77777777" w:rsidTr="002163F8">
        <w:trPr>
          <w:cantSplit/>
          <w:trHeight w:val="298"/>
          <w:jc w:val="center"/>
        </w:trPr>
        <w:tc>
          <w:tcPr>
            <w:tcW w:w="5808" w:type="dxa"/>
            <w:shd w:val="clear" w:color="auto" w:fill="F2F2F2" w:themeFill="background1" w:themeFillShade="F2"/>
            <w:noWrap/>
            <w:vAlign w:val="center"/>
          </w:tcPr>
          <w:p w14:paraId="695E6D30" w14:textId="0A9C5E35" w:rsidR="000C6040" w:rsidRPr="00A20B6E" w:rsidRDefault="000C6040" w:rsidP="000C6040">
            <w:pPr>
              <w:spacing w:after="0" w:line="276" w:lineRule="auto"/>
              <w:jc w:val="left"/>
              <w:rPr>
                <w:rFonts w:cs="Arial"/>
                <w:color w:val="000000"/>
                <w:sz w:val="16"/>
                <w:szCs w:val="16"/>
              </w:rPr>
            </w:pPr>
            <w:r w:rsidRPr="00A20B6E">
              <w:rPr>
                <w:rFonts w:cs="Arial"/>
                <w:b/>
                <w:sz w:val="16"/>
                <w:szCs w:val="16"/>
              </w:rPr>
              <w:t>Απολογιστικά/πρόβλεψη</w:t>
            </w:r>
          </w:p>
        </w:tc>
        <w:tc>
          <w:tcPr>
            <w:tcW w:w="697" w:type="dxa"/>
            <w:shd w:val="clear" w:color="auto" w:fill="F2F2F2" w:themeFill="background1" w:themeFillShade="F2"/>
            <w:noWrap/>
            <w:vAlign w:val="center"/>
          </w:tcPr>
          <w:p w14:paraId="668FC611" w14:textId="25589F33" w:rsidR="000C6040" w:rsidRPr="00A20B6E" w:rsidRDefault="000C6040" w:rsidP="000C6040">
            <w:pPr>
              <w:spacing w:after="0" w:line="276" w:lineRule="auto"/>
              <w:jc w:val="right"/>
              <w:rPr>
                <w:rFonts w:cs="Arial"/>
                <w:color w:val="000000"/>
                <w:sz w:val="16"/>
                <w:szCs w:val="16"/>
              </w:rPr>
            </w:pPr>
          </w:p>
        </w:tc>
        <w:tc>
          <w:tcPr>
            <w:tcW w:w="764" w:type="dxa"/>
            <w:shd w:val="clear" w:color="auto" w:fill="F2F2F2" w:themeFill="background1" w:themeFillShade="F2"/>
            <w:noWrap/>
            <w:vAlign w:val="center"/>
          </w:tcPr>
          <w:p w14:paraId="34AE6F24" w14:textId="2FD54F86" w:rsidR="000C6040" w:rsidRPr="00A20B6E" w:rsidRDefault="000C6040" w:rsidP="000C6040">
            <w:pPr>
              <w:spacing w:after="0" w:line="276" w:lineRule="auto"/>
              <w:jc w:val="right"/>
              <w:rPr>
                <w:rFonts w:cs="Arial"/>
                <w:color w:val="000000"/>
                <w:sz w:val="16"/>
                <w:szCs w:val="16"/>
              </w:rPr>
            </w:pPr>
          </w:p>
        </w:tc>
        <w:tc>
          <w:tcPr>
            <w:tcW w:w="685" w:type="dxa"/>
            <w:shd w:val="clear" w:color="auto" w:fill="F2F2F2" w:themeFill="background1" w:themeFillShade="F2"/>
            <w:noWrap/>
            <w:vAlign w:val="center"/>
          </w:tcPr>
          <w:p w14:paraId="22EA8050" w14:textId="54071C4B" w:rsidR="000C6040" w:rsidRPr="00A20B6E" w:rsidRDefault="000C6040" w:rsidP="000C6040">
            <w:pPr>
              <w:spacing w:after="0" w:line="276" w:lineRule="auto"/>
              <w:jc w:val="right"/>
              <w:rPr>
                <w:rFonts w:cs="Arial"/>
                <w:color w:val="000000"/>
                <w:sz w:val="16"/>
                <w:szCs w:val="16"/>
              </w:rPr>
            </w:pPr>
          </w:p>
        </w:tc>
        <w:tc>
          <w:tcPr>
            <w:tcW w:w="692" w:type="dxa"/>
            <w:shd w:val="clear" w:color="auto" w:fill="F2F2F2" w:themeFill="background1" w:themeFillShade="F2"/>
            <w:noWrap/>
            <w:vAlign w:val="center"/>
          </w:tcPr>
          <w:p w14:paraId="19493470" w14:textId="5CE18DBB" w:rsidR="000C6040" w:rsidRPr="00A20B6E" w:rsidRDefault="000C6040" w:rsidP="000C6040">
            <w:pPr>
              <w:spacing w:after="0" w:line="276" w:lineRule="auto"/>
              <w:jc w:val="right"/>
              <w:rPr>
                <w:rFonts w:cs="Arial"/>
                <w:color w:val="000000"/>
                <w:sz w:val="16"/>
                <w:szCs w:val="16"/>
              </w:rPr>
            </w:pPr>
          </w:p>
        </w:tc>
      </w:tr>
      <w:tr w:rsidR="000C6040" w:rsidRPr="005A76C1" w14:paraId="7E65377F" w14:textId="77777777" w:rsidTr="002163F8">
        <w:trPr>
          <w:cantSplit/>
          <w:trHeight w:val="298"/>
          <w:jc w:val="center"/>
        </w:trPr>
        <w:tc>
          <w:tcPr>
            <w:tcW w:w="5808" w:type="dxa"/>
            <w:noWrap/>
            <w:vAlign w:val="center"/>
          </w:tcPr>
          <w:p w14:paraId="1EDF68B4" w14:textId="2BD6D49F" w:rsidR="000C6040" w:rsidRPr="00A20B6E" w:rsidRDefault="000C6040" w:rsidP="000C6040">
            <w:pPr>
              <w:spacing w:after="0" w:line="276" w:lineRule="auto"/>
              <w:jc w:val="left"/>
              <w:rPr>
                <w:rFonts w:cs="Arial"/>
                <w:color w:val="000000"/>
                <w:sz w:val="16"/>
                <w:szCs w:val="16"/>
              </w:rPr>
            </w:pPr>
            <w:r w:rsidRPr="00A20B6E">
              <w:rPr>
                <w:rFonts w:cs="Arial"/>
                <w:sz w:val="16"/>
                <w:szCs w:val="16"/>
              </w:rPr>
              <w:t>Καθαρές εθνικά χρηματοδοτούμενες πρωτογενείς δαπάνες</w:t>
            </w:r>
            <w:r w:rsidRPr="00A20B6E">
              <w:rPr>
                <w:rFonts w:cs="Arial"/>
                <w:sz w:val="16"/>
                <w:szCs w:val="16"/>
              </w:rPr>
              <w:br/>
              <w:t>(ετήσιος ρυθμός αύξησης)</w:t>
            </w:r>
          </w:p>
        </w:tc>
        <w:tc>
          <w:tcPr>
            <w:tcW w:w="697" w:type="dxa"/>
            <w:noWrap/>
            <w:vAlign w:val="center"/>
          </w:tcPr>
          <w:p w14:paraId="7BC080C7" w14:textId="2AAACAA6" w:rsidR="000C6040" w:rsidRPr="00A20B6E" w:rsidRDefault="000C6040" w:rsidP="000C6040">
            <w:pPr>
              <w:spacing w:after="0" w:line="276" w:lineRule="auto"/>
              <w:jc w:val="right"/>
              <w:rPr>
                <w:rFonts w:cs="Arial"/>
                <w:color w:val="000000"/>
                <w:sz w:val="16"/>
                <w:szCs w:val="16"/>
              </w:rPr>
            </w:pPr>
            <w:r w:rsidRPr="00A20B6E">
              <w:rPr>
                <w:rFonts w:cs="Arial"/>
                <w:sz w:val="16"/>
                <w:szCs w:val="16"/>
              </w:rPr>
              <w:t>-0,1</w:t>
            </w:r>
          </w:p>
        </w:tc>
        <w:tc>
          <w:tcPr>
            <w:tcW w:w="764" w:type="dxa"/>
            <w:noWrap/>
            <w:vAlign w:val="center"/>
          </w:tcPr>
          <w:p w14:paraId="231945C2" w14:textId="752D18C5" w:rsidR="000C6040" w:rsidRPr="00A20B6E" w:rsidRDefault="000C6040" w:rsidP="000C6040">
            <w:pPr>
              <w:spacing w:after="0" w:line="276" w:lineRule="auto"/>
              <w:jc w:val="right"/>
              <w:rPr>
                <w:rFonts w:cs="Arial"/>
                <w:color w:val="000000"/>
                <w:sz w:val="16"/>
                <w:szCs w:val="16"/>
              </w:rPr>
            </w:pPr>
            <w:r w:rsidRPr="00A20B6E">
              <w:rPr>
                <w:rFonts w:cs="Arial"/>
                <w:sz w:val="16"/>
                <w:szCs w:val="16"/>
              </w:rPr>
              <w:t>2,8</w:t>
            </w:r>
          </w:p>
        </w:tc>
        <w:tc>
          <w:tcPr>
            <w:tcW w:w="685" w:type="dxa"/>
            <w:noWrap/>
            <w:vAlign w:val="center"/>
          </w:tcPr>
          <w:p w14:paraId="1B95F9DF" w14:textId="5E1C2EEE" w:rsidR="000C6040" w:rsidRPr="00A20B6E" w:rsidRDefault="000C6040" w:rsidP="000C6040">
            <w:pPr>
              <w:spacing w:after="0" w:line="276" w:lineRule="auto"/>
              <w:jc w:val="right"/>
              <w:rPr>
                <w:rFonts w:cs="Arial"/>
                <w:color w:val="000000"/>
                <w:sz w:val="16"/>
                <w:szCs w:val="16"/>
              </w:rPr>
            </w:pPr>
            <w:r w:rsidRPr="00A20B6E">
              <w:rPr>
                <w:rFonts w:cs="Arial"/>
                <w:sz w:val="16"/>
                <w:szCs w:val="16"/>
              </w:rPr>
              <w:t>8,0</w:t>
            </w:r>
          </w:p>
        </w:tc>
        <w:tc>
          <w:tcPr>
            <w:tcW w:w="692" w:type="dxa"/>
            <w:noWrap/>
            <w:vAlign w:val="center"/>
          </w:tcPr>
          <w:p w14:paraId="639FA40B" w14:textId="7A4159EB" w:rsidR="000C6040" w:rsidRPr="00A20B6E" w:rsidRDefault="000C6040" w:rsidP="000C6040">
            <w:pPr>
              <w:spacing w:after="0" w:line="276" w:lineRule="auto"/>
              <w:jc w:val="right"/>
              <w:rPr>
                <w:rFonts w:cs="Arial"/>
                <w:color w:val="000000"/>
                <w:sz w:val="16"/>
                <w:szCs w:val="16"/>
              </w:rPr>
            </w:pPr>
            <w:r w:rsidRPr="00A20B6E">
              <w:rPr>
                <w:rFonts w:cs="Arial"/>
                <w:sz w:val="16"/>
                <w:szCs w:val="16"/>
              </w:rPr>
              <w:t>3,6</w:t>
            </w:r>
          </w:p>
        </w:tc>
      </w:tr>
      <w:tr w:rsidR="000C6040" w:rsidRPr="005A76C1" w14:paraId="3424E23A" w14:textId="77777777" w:rsidTr="002163F8">
        <w:trPr>
          <w:cantSplit/>
          <w:trHeight w:val="298"/>
          <w:jc w:val="center"/>
        </w:trPr>
        <w:tc>
          <w:tcPr>
            <w:tcW w:w="5808" w:type="dxa"/>
            <w:shd w:val="clear" w:color="auto" w:fill="F2F2F2" w:themeFill="background1" w:themeFillShade="F2"/>
            <w:noWrap/>
            <w:vAlign w:val="center"/>
          </w:tcPr>
          <w:p w14:paraId="07680C75" w14:textId="6BA7A888" w:rsidR="000C6040" w:rsidRPr="00A20B6E" w:rsidRDefault="000C6040" w:rsidP="000C6040">
            <w:pPr>
              <w:spacing w:after="0" w:line="276" w:lineRule="auto"/>
              <w:jc w:val="left"/>
              <w:rPr>
                <w:rFonts w:cs="Arial"/>
                <w:color w:val="000000"/>
                <w:sz w:val="16"/>
                <w:szCs w:val="16"/>
              </w:rPr>
            </w:pPr>
            <w:r w:rsidRPr="00A20B6E">
              <w:rPr>
                <w:rFonts w:cs="Arial"/>
                <w:b/>
                <w:sz w:val="16"/>
                <w:szCs w:val="16"/>
              </w:rPr>
              <w:t>Λογαριασμός ελέγχου (</w:t>
            </w:r>
            <w:proofErr w:type="spellStart"/>
            <w:r w:rsidRPr="00A20B6E">
              <w:rPr>
                <w:rFonts w:cs="Arial"/>
                <w:b/>
                <w:sz w:val="16"/>
                <w:szCs w:val="16"/>
              </w:rPr>
              <w:t>control</w:t>
            </w:r>
            <w:proofErr w:type="spellEnd"/>
            <w:r w:rsidRPr="00A20B6E">
              <w:rPr>
                <w:rFonts w:cs="Arial"/>
                <w:b/>
                <w:sz w:val="16"/>
                <w:szCs w:val="16"/>
              </w:rPr>
              <w:t xml:space="preserve"> </w:t>
            </w:r>
            <w:proofErr w:type="spellStart"/>
            <w:r w:rsidRPr="00A20B6E">
              <w:rPr>
                <w:rFonts w:cs="Arial"/>
                <w:b/>
                <w:sz w:val="16"/>
                <w:szCs w:val="16"/>
              </w:rPr>
              <w:t>account</w:t>
            </w:r>
            <w:proofErr w:type="spellEnd"/>
            <w:r w:rsidRPr="00A20B6E">
              <w:rPr>
                <w:rFonts w:cs="Arial"/>
                <w:b/>
                <w:sz w:val="16"/>
                <w:szCs w:val="16"/>
              </w:rPr>
              <w:t>)</w:t>
            </w:r>
          </w:p>
        </w:tc>
        <w:tc>
          <w:tcPr>
            <w:tcW w:w="697" w:type="dxa"/>
            <w:shd w:val="clear" w:color="auto" w:fill="F2F2F2" w:themeFill="background1" w:themeFillShade="F2"/>
            <w:noWrap/>
            <w:vAlign w:val="center"/>
          </w:tcPr>
          <w:p w14:paraId="3DB2A312" w14:textId="77777777" w:rsidR="000C6040" w:rsidRPr="00A20B6E" w:rsidRDefault="000C6040" w:rsidP="000C6040">
            <w:pPr>
              <w:spacing w:after="0" w:line="276" w:lineRule="auto"/>
              <w:jc w:val="right"/>
              <w:rPr>
                <w:rFonts w:cs="Arial"/>
                <w:color w:val="000000"/>
                <w:sz w:val="16"/>
                <w:szCs w:val="16"/>
              </w:rPr>
            </w:pPr>
          </w:p>
        </w:tc>
        <w:tc>
          <w:tcPr>
            <w:tcW w:w="764" w:type="dxa"/>
            <w:shd w:val="clear" w:color="auto" w:fill="F2F2F2" w:themeFill="background1" w:themeFillShade="F2"/>
            <w:noWrap/>
            <w:vAlign w:val="center"/>
          </w:tcPr>
          <w:p w14:paraId="0926B6B8" w14:textId="77777777" w:rsidR="000C6040" w:rsidRPr="00A20B6E" w:rsidRDefault="000C6040" w:rsidP="000C6040">
            <w:pPr>
              <w:spacing w:after="0" w:line="276" w:lineRule="auto"/>
              <w:jc w:val="right"/>
              <w:rPr>
                <w:rFonts w:cs="Arial"/>
                <w:color w:val="000000"/>
                <w:sz w:val="16"/>
                <w:szCs w:val="16"/>
              </w:rPr>
            </w:pPr>
          </w:p>
        </w:tc>
        <w:tc>
          <w:tcPr>
            <w:tcW w:w="685" w:type="dxa"/>
            <w:shd w:val="clear" w:color="auto" w:fill="F2F2F2" w:themeFill="background1" w:themeFillShade="F2"/>
            <w:noWrap/>
            <w:vAlign w:val="center"/>
          </w:tcPr>
          <w:p w14:paraId="2D3C67C5" w14:textId="77777777" w:rsidR="000C6040" w:rsidRPr="00A20B6E" w:rsidRDefault="000C6040" w:rsidP="000C6040">
            <w:pPr>
              <w:spacing w:after="0" w:line="276" w:lineRule="auto"/>
              <w:jc w:val="right"/>
              <w:rPr>
                <w:rFonts w:cs="Arial"/>
                <w:color w:val="000000"/>
                <w:sz w:val="16"/>
                <w:szCs w:val="16"/>
              </w:rPr>
            </w:pPr>
          </w:p>
        </w:tc>
        <w:tc>
          <w:tcPr>
            <w:tcW w:w="692" w:type="dxa"/>
            <w:shd w:val="clear" w:color="auto" w:fill="F2F2F2" w:themeFill="background1" w:themeFillShade="F2"/>
            <w:noWrap/>
            <w:vAlign w:val="center"/>
          </w:tcPr>
          <w:p w14:paraId="0165A984" w14:textId="77777777" w:rsidR="000C6040" w:rsidRPr="00A20B6E" w:rsidRDefault="000C6040" w:rsidP="000C6040">
            <w:pPr>
              <w:spacing w:after="0" w:line="276" w:lineRule="auto"/>
              <w:jc w:val="right"/>
              <w:rPr>
                <w:rFonts w:cs="Arial"/>
                <w:color w:val="000000"/>
                <w:sz w:val="16"/>
                <w:szCs w:val="16"/>
              </w:rPr>
            </w:pPr>
          </w:p>
        </w:tc>
      </w:tr>
      <w:tr w:rsidR="000C6040" w:rsidRPr="005A76C1" w14:paraId="7234BB1B" w14:textId="77777777" w:rsidTr="002163F8">
        <w:trPr>
          <w:cantSplit/>
          <w:trHeight w:val="298"/>
          <w:jc w:val="center"/>
        </w:trPr>
        <w:tc>
          <w:tcPr>
            <w:tcW w:w="5808" w:type="dxa"/>
            <w:noWrap/>
            <w:vAlign w:val="center"/>
          </w:tcPr>
          <w:p w14:paraId="05CD38F3" w14:textId="19F96245" w:rsidR="000C6040" w:rsidRPr="00A20B6E" w:rsidRDefault="000C6040" w:rsidP="000C6040">
            <w:pPr>
              <w:spacing w:after="0" w:line="276" w:lineRule="auto"/>
              <w:jc w:val="left"/>
              <w:rPr>
                <w:rFonts w:cs="Arial"/>
                <w:color w:val="000000"/>
                <w:sz w:val="16"/>
                <w:szCs w:val="16"/>
              </w:rPr>
            </w:pPr>
            <w:r w:rsidRPr="00A20B6E">
              <w:rPr>
                <w:rFonts w:cs="Arial"/>
                <w:sz w:val="16"/>
                <w:szCs w:val="16"/>
              </w:rPr>
              <w:t>Σωρευτικό υπόλοιπο λογαριασμού ελέγχου (% ΑΕΠ)</w:t>
            </w:r>
          </w:p>
        </w:tc>
        <w:tc>
          <w:tcPr>
            <w:tcW w:w="697" w:type="dxa"/>
            <w:noWrap/>
            <w:vAlign w:val="center"/>
          </w:tcPr>
          <w:p w14:paraId="2D0E7A2D" w14:textId="38237712" w:rsidR="000C6040" w:rsidRPr="00A20B6E" w:rsidRDefault="000C6040" w:rsidP="000C6040">
            <w:pPr>
              <w:spacing w:after="0" w:line="276" w:lineRule="auto"/>
              <w:jc w:val="right"/>
              <w:rPr>
                <w:rFonts w:cs="Arial"/>
                <w:color w:val="000000"/>
                <w:sz w:val="16"/>
                <w:szCs w:val="16"/>
              </w:rPr>
            </w:pPr>
            <w:r w:rsidRPr="00A20B6E">
              <w:rPr>
                <w:rFonts w:cs="Arial"/>
                <w:sz w:val="16"/>
                <w:szCs w:val="16"/>
              </w:rPr>
              <w:t>-1,1</w:t>
            </w:r>
          </w:p>
        </w:tc>
        <w:tc>
          <w:tcPr>
            <w:tcW w:w="764" w:type="dxa"/>
            <w:noWrap/>
            <w:vAlign w:val="center"/>
          </w:tcPr>
          <w:p w14:paraId="1F71D728" w14:textId="439BBA31" w:rsidR="000C6040" w:rsidRPr="00A20B6E" w:rsidRDefault="000C6040" w:rsidP="000C6040">
            <w:pPr>
              <w:spacing w:after="0" w:line="276" w:lineRule="auto"/>
              <w:jc w:val="right"/>
              <w:rPr>
                <w:rFonts w:cs="Arial"/>
                <w:color w:val="000000"/>
                <w:sz w:val="16"/>
                <w:szCs w:val="16"/>
              </w:rPr>
            </w:pPr>
            <w:r w:rsidRPr="00A20B6E">
              <w:rPr>
                <w:rFonts w:cs="Arial"/>
                <w:sz w:val="16"/>
                <w:szCs w:val="16"/>
              </w:rPr>
              <w:t>-1,4</w:t>
            </w:r>
          </w:p>
        </w:tc>
        <w:tc>
          <w:tcPr>
            <w:tcW w:w="685" w:type="dxa"/>
            <w:noWrap/>
            <w:vAlign w:val="center"/>
          </w:tcPr>
          <w:p w14:paraId="6D57E5F5" w14:textId="4842BCAC" w:rsidR="000C6040" w:rsidRPr="00A20B6E" w:rsidRDefault="000C6040" w:rsidP="000C6040">
            <w:pPr>
              <w:spacing w:after="0" w:line="276" w:lineRule="auto"/>
              <w:jc w:val="right"/>
              <w:rPr>
                <w:rFonts w:cs="Arial"/>
                <w:color w:val="000000"/>
                <w:sz w:val="16"/>
                <w:szCs w:val="16"/>
              </w:rPr>
            </w:pPr>
            <w:r w:rsidRPr="00A20B6E">
              <w:rPr>
                <w:rFonts w:cs="Arial"/>
                <w:sz w:val="16"/>
                <w:szCs w:val="16"/>
              </w:rPr>
              <w:t>0,3</w:t>
            </w:r>
          </w:p>
        </w:tc>
        <w:tc>
          <w:tcPr>
            <w:tcW w:w="692" w:type="dxa"/>
            <w:noWrap/>
            <w:vAlign w:val="center"/>
          </w:tcPr>
          <w:p w14:paraId="601DCC55" w14:textId="434CE847" w:rsidR="000C6040" w:rsidRPr="00A20B6E" w:rsidRDefault="000C6040" w:rsidP="000C6040">
            <w:pPr>
              <w:spacing w:after="0" w:line="276" w:lineRule="auto"/>
              <w:jc w:val="right"/>
              <w:rPr>
                <w:rFonts w:cs="Arial"/>
                <w:color w:val="000000"/>
                <w:sz w:val="16"/>
                <w:szCs w:val="16"/>
              </w:rPr>
            </w:pPr>
            <w:r w:rsidRPr="00A20B6E">
              <w:rPr>
                <w:rFonts w:cs="Arial"/>
                <w:sz w:val="16"/>
                <w:szCs w:val="16"/>
              </w:rPr>
              <w:t>0,5</w:t>
            </w:r>
          </w:p>
        </w:tc>
      </w:tr>
      <w:tr w:rsidR="000C6040" w:rsidRPr="005A76C1" w14:paraId="47801D61" w14:textId="77777777" w:rsidTr="00041D44">
        <w:trPr>
          <w:cantSplit/>
          <w:trHeight w:val="298"/>
          <w:jc w:val="center"/>
        </w:trPr>
        <w:tc>
          <w:tcPr>
            <w:tcW w:w="5808" w:type="dxa"/>
            <w:noWrap/>
            <w:vAlign w:val="center"/>
          </w:tcPr>
          <w:p w14:paraId="3C4BE52C" w14:textId="53C2A1B2" w:rsidR="000C6040" w:rsidRPr="00A20B6E" w:rsidRDefault="000C6040" w:rsidP="000C6040">
            <w:pPr>
              <w:spacing w:after="0" w:line="276" w:lineRule="auto"/>
              <w:jc w:val="left"/>
              <w:rPr>
                <w:rFonts w:cs="Arial"/>
                <w:color w:val="000000"/>
                <w:sz w:val="16"/>
                <w:szCs w:val="16"/>
              </w:rPr>
            </w:pPr>
            <w:r w:rsidRPr="00A20B6E">
              <w:rPr>
                <w:rFonts w:cs="Arial"/>
                <w:sz w:val="16"/>
                <w:szCs w:val="16"/>
              </w:rPr>
              <w:t>Σωρευτικό υπόλοιπο με χρήση ευελιξίας ρήτρας διαφυγής για αμυντικές δαπάνες και δαπάνες ενεργειακής ανθεκτικότητας (% ΑΕΠ)</w:t>
            </w:r>
          </w:p>
        </w:tc>
        <w:tc>
          <w:tcPr>
            <w:tcW w:w="697" w:type="dxa"/>
            <w:shd w:val="clear" w:color="auto" w:fill="F2F2F2" w:themeFill="background1" w:themeFillShade="F2"/>
            <w:noWrap/>
            <w:vAlign w:val="center"/>
          </w:tcPr>
          <w:p w14:paraId="46A39616" w14:textId="61569BEA" w:rsidR="000C6040" w:rsidRPr="00A20B6E" w:rsidRDefault="000C6040" w:rsidP="000C6040">
            <w:pPr>
              <w:spacing w:after="0" w:line="276" w:lineRule="auto"/>
              <w:jc w:val="right"/>
              <w:rPr>
                <w:rFonts w:cs="Arial"/>
                <w:color w:val="000000"/>
                <w:sz w:val="16"/>
                <w:szCs w:val="16"/>
              </w:rPr>
            </w:pPr>
          </w:p>
        </w:tc>
        <w:tc>
          <w:tcPr>
            <w:tcW w:w="764" w:type="dxa"/>
            <w:noWrap/>
            <w:vAlign w:val="center"/>
          </w:tcPr>
          <w:p w14:paraId="0CC1A050" w14:textId="7877C4CE" w:rsidR="000C6040" w:rsidRPr="00A20B6E" w:rsidRDefault="000C6040" w:rsidP="000C6040">
            <w:pPr>
              <w:spacing w:after="0" w:line="276" w:lineRule="auto"/>
              <w:jc w:val="right"/>
              <w:rPr>
                <w:rFonts w:cs="Arial"/>
                <w:color w:val="000000"/>
                <w:sz w:val="16"/>
                <w:szCs w:val="16"/>
              </w:rPr>
            </w:pPr>
            <w:r w:rsidRPr="00A20B6E">
              <w:rPr>
                <w:rFonts w:cs="Arial"/>
                <w:sz w:val="16"/>
                <w:szCs w:val="16"/>
              </w:rPr>
              <w:t>-1,6</w:t>
            </w:r>
          </w:p>
        </w:tc>
        <w:tc>
          <w:tcPr>
            <w:tcW w:w="685" w:type="dxa"/>
            <w:noWrap/>
            <w:vAlign w:val="center"/>
          </w:tcPr>
          <w:p w14:paraId="7B2FDA20" w14:textId="25C60AF3" w:rsidR="000C6040" w:rsidRPr="00A20B6E" w:rsidRDefault="000C6040" w:rsidP="000C6040">
            <w:pPr>
              <w:spacing w:after="0" w:line="276" w:lineRule="auto"/>
              <w:jc w:val="right"/>
              <w:rPr>
                <w:rFonts w:cs="Arial"/>
                <w:color w:val="000000"/>
                <w:sz w:val="16"/>
                <w:szCs w:val="16"/>
              </w:rPr>
            </w:pPr>
            <w:r w:rsidRPr="00A20B6E">
              <w:rPr>
                <w:rFonts w:cs="Arial"/>
                <w:sz w:val="16"/>
                <w:szCs w:val="16"/>
              </w:rPr>
              <w:t>0,0</w:t>
            </w:r>
          </w:p>
        </w:tc>
        <w:tc>
          <w:tcPr>
            <w:tcW w:w="692" w:type="dxa"/>
            <w:noWrap/>
            <w:vAlign w:val="center"/>
          </w:tcPr>
          <w:p w14:paraId="75CFFF3F" w14:textId="399EC659" w:rsidR="000C6040" w:rsidRPr="00A20B6E" w:rsidRDefault="000C6040" w:rsidP="000C6040">
            <w:pPr>
              <w:spacing w:after="0" w:line="276" w:lineRule="auto"/>
              <w:jc w:val="right"/>
              <w:rPr>
                <w:rFonts w:cs="Arial"/>
                <w:color w:val="000000"/>
                <w:sz w:val="16"/>
                <w:szCs w:val="16"/>
              </w:rPr>
            </w:pPr>
            <w:r w:rsidRPr="00A20B6E">
              <w:rPr>
                <w:rFonts w:cs="Arial"/>
                <w:sz w:val="16"/>
                <w:szCs w:val="16"/>
              </w:rPr>
              <w:t>0,0</w:t>
            </w:r>
          </w:p>
        </w:tc>
      </w:tr>
    </w:tbl>
    <w:p w14:paraId="5DDF38C0" w14:textId="715EBD5B" w:rsidR="00443C50" w:rsidRPr="00606843" w:rsidRDefault="00443C50" w:rsidP="00DC6F26">
      <w:pPr>
        <w:pStyle w:val="4"/>
        <w:keepNext w:val="0"/>
      </w:pPr>
      <w:bookmarkStart w:id="144" w:name="_Toc114489597"/>
      <w:bookmarkStart w:id="145" w:name="_Toc114489684"/>
      <w:bookmarkStart w:id="146" w:name="_Toc115338154"/>
      <w:bookmarkStart w:id="147" w:name="_Toc115358131"/>
      <w:bookmarkStart w:id="148" w:name="_Toc115424359"/>
      <w:bookmarkStart w:id="149" w:name="_Toc115435226"/>
      <w:bookmarkStart w:id="150" w:name="_Toc115437960"/>
      <w:bookmarkStart w:id="151" w:name="_Toc115526137"/>
      <w:bookmarkStart w:id="152" w:name="_Toc146645055"/>
      <w:bookmarkStart w:id="153" w:name="_Toc146819083"/>
      <w:bookmarkStart w:id="154" w:name="_Toc147015722"/>
      <w:bookmarkStart w:id="155" w:name="_Toc178751210"/>
      <w:bookmarkStart w:id="156" w:name="_Toc114489598"/>
      <w:bookmarkStart w:id="157" w:name="_Toc114489685"/>
      <w:bookmarkStart w:id="158" w:name="_Toc115338155"/>
      <w:bookmarkStart w:id="159" w:name="_Toc115358132"/>
      <w:bookmarkStart w:id="160" w:name="_Toc115424360"/>
      <w:bookmarkStart w:id="161" w:name="_Toc115435227"/>
      <w:bookmarkStart w:id="162" w:name="_Toc115437961"/>
      <w:bookmarkStart w:id="163" w:name="_Toc115526138"/>
      <w:bookmarkStart w:id="164" w:name="_Toc146645056"/>
      <w:bookmarkStart w:id="165" w:name="_Toc146819084"/>
      <w:bookmarkStart w:id="166" w:name="_Toc147015723"/>
      <w:bookmarkStart w:id="167" w:name="_Toc178751211"/>
      <w:bookmarkStart w:id="168" w:name="_Toc114489599"/>
      <w:bookmarkStart w:id="169" w:name="_Toc114489686"/>
      <w:bookmarkStart w:id="170" w:name="_Toc115338156"/>
      <w:bookmarkStart w:id="171" w:name="_Toc115358133"/>
      <w:bookmarkStart w:id="172" w:name="_Toc115424361"/>
      <w:bookmarkStart w:id="173" w:name="_Toc115435228"/>
      <w:bookmarkStart w:id="174" w:name="_Toc115437962"/>
      <w:bookmarkStart w:id="175" w:name="_Toc115526139"/>
      <w:bookmarkStart w:id="176" w:name="_Toc146645057"/>
      <w:bookmarkStart w:id="177" w:name="_Toc146819085"/>
      <w:bookmarkStart w:id="178" w:name="_Toc147015724"/>
      <w:bookmarkStart w:id="179" w:name="_Toc178751212"/>
      <w:bookmarkStart w:id="180" w:name="_Toc114489600"/>
      <w:bookmarkStart w:id="181" w:name="_Toc114489687"/>
      <w:bookmarkStart w:id="182" w:name="_Toc115338157"/>
      <w:bookmarkStart w:id="183" w:name="_Toc115358134"/>
      <w:bookmarkStart w:id="184" w:name="_Toc115424362"/>
      <w:bookmarkStart w:id="185" w:name="_Toc115435229"/>
      <w:bookmarkStart w:id="186" w:name="_Toc115437963"/>
      <w:bookmarkStart w:id="187" w:name="_Toc115526140"/>
      <w:bookmarkStart w:id="188" w:name="_Toc146645058"/>
      <w:bookmarkStart w:id="189" w:name="_Toc146819086"/>
      <w:bookmarkStart w:id="190" w:name="_Toc147015725"/>
      <w:bookmarkStart w:id="191" w:name="_Toc178751213"/>
      <w:bookmarkStart w:id="192" w:name="_Toc114142284"/>
      <w:bookmarkStart w:id="193" w:name="_Toc114142367"/>
      <w:bookmarkStart w:id="194" w:name="_Toc114142416"/>
      <w:bookmarkStart w:id="195" w:name="_Toc114149873"/>
      <w:bookmarkStart w:id="196" w:name="_Toc114219161"/>
      <w:bookmarkStart w:id="197" w:name="_Toc114219337"/>
      <w:bookmarkStart w:id="198" w:name="_Toc114219386"/>
      <w:bookmarkStart w:id="199" w:name="_Toc114219854"/>
      <w:bookmarkStart w:id="200" w:name="_Toc114234847"/>
      <w:bookmarkStart w:id="201" w:name="_Toc114489517"/>
      <w:bookmarkStart w:id="202" w:name="_Toc114489601"/>
      <w:bookmarkStart w:id="203" w:name="_Toc114489688"/>
      <w:bookmarkStart w:id="204" w:name="_Toc115338158"/>
      <w:bookmarkStart w:id="205" w:name="_Toc115358135"/>
      <w:bookmarkStart w:id="206" w:name="_Toc115424363"/>
      <w:bookmarkStart w:id="207" w:name="_Toc115435230"/>
      <w:bookmarkStart w:id="208" w:name="_Toc115437964"/>
      <w:bookmarkStart w:id="209" w:name="_Toc115526141"/>
      <w:bookmarkStart w:id="210" w:name="_Toc146645059"/>
      <w:bookmarkStart w:id="211" w:name="_Toc146819087"/>
      <w:bookmarkStart w:id="212" w:name="_Toc147015726"/>
      <w:bookmarkStart w:id="213" w:name="_Toc178751214"/>
      <w:bookmarkStart w:id="214" w:name="_Toc146645060"/>
      <w:bookmarkStart w:id="215" w:name="_Toc146819088"/>
      <w:bookmarkStart w:id="216" w:name="_Toc147015727"/>
      <w:bookmarkStart w:id="217" w:name="_Toc178751215"/>
      <w:bookmarkStart w:id="218" w:name="_Toc146645061"/>
      <w:bookmarkStart w:id="219" w:name="_Toc146819089"/>
      <w:bookmarkStart w:id="220" w:name="_Toc147015728"/>
      <w:bookmarkStart w:id="221" w:name="_Toc178751216"/>
      <w:bookmarkStart w:id="222" w:name="_Toc146645062"/>
      <w:bookmarkStart w:id="223" w:name="_Toc146819090"/>
      <w:bookmarkStart w:id="224" w:name="_Toc147015729"/>
      <w:bookmarkStart w:id="225" w:name="_Toc178751217"/>
      <w:bookmarkStart w:id="226" w:name="_Toc146645063"/>
      <w:bookmarkStart w:id="227" w:name="_Toc146819091"/>
      <w:bookmarkStart w:id="228" w:name="_Toc147015730"/>
      <w:bookmarkStart w:id="229" w:name="_Toc178751218"/>
      <w:bookmarkStart w:id="230" w:name="_Toc24201954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Pr="00E627DD">
        <w:t>Κρατικός</w:t>
      </w:r>
      <w:r w:rsidRPr="00606843">
        <w:t xml:space="preserve"> Προϋπολογισμός</w:t>
      </w:r>
      <w:bookmarkEnd w:id="230"/>
    </w:p>
    <w:p w14:paraId="5791121D" w14:textId="77777777" w:rsidR="00443C50" w:rsidRPr="00F911AA" w:rsidRDefault="00443C50" w:rsidP="00DC6F26">
      <w:pPr>
        <w:pStyle w:val="5"/>
        <w:keepNext w:val="0"/>
        <w:numPr>
          <w:ilvl w:val="0"/>
          <w:numId w:val="0"/>
        </w:numPr>
        <w:spacing w:before="360" w:after="240"/>
        <w:rPr>
          <w:bCs/>
          <w:sz w:val="22"/>
        </w:rPr>
      </w:pPr>
      <w:bookmarkStart w:id="231" w:name="_Toc242019548"/>
      <w:r w:rsidRPr="00F911AA">
        <w:rPr>
          <w:bCs/>
          <w:sz w:val="22"/>
        </w:rPr>
        <w:t xml:space="preserve">Έσοδα </w:t>
      </w:r>
      <w:r w:rsidR="00847E05" w:rsidRPr="00F911AA">
        <w:rPr>
          <w:bCs/>
          <w:sz w:val="22"/>
        </w:rPr>
        <w:t>- Ανάλυση σε δημοσιονομική βάση</w:t>
      </w:r>
      <w:bookmarkEnd w:id="231"/>
    </w:p>
    <w:p w14:paraId="7370BFBE" w14:textId="0ECE0BC4" w:rsidR="00AB25CF" w:rsidRPr="002B71EF" w:rsidRDefault="00CD0CA5" w:rsidP="00DE0518">
      <w:r w:rsidRPr="00C30D9D">
        <w:t xml:space="preserve">Τα καθαρά έσοδα του κρατικού προϋπολογισμού σε δημοσιονομική βάση, μετά την αφαίρεση των επιστροφών φόρων, προβλέπεται να διαμορφωθούν στο ποσό των </w:t>
      </w:r>
      <w:r>
        <w:t>78.</w:t>
      </w:r>
      <w:r w:rsidR="00CD72F4">
        <w:t>685</w:t>
      </w:r>
      <w:r w:rsidRPr="00C30D9D">
        <w:t xml:space="preserve"> εκατ. ευρώ, </w:t>
      </w:r>
      <w:r>
        <w:t>μειω</w:t>
      </w:r>
      <w:r w:rsidRPr="00C30D9D">
        <w:t xml:space="preserve">μένα κατά </w:t>
      </w:r>
      <w:r>
        <w:t>4.</w:t>
      </w:r>
      <w:r w:rsidR="00B204CC">
        <w:t>188</w:t>
      </w:r>
      <w:r w:rsidRPr="00C30D9D">
        <w:t xml:space="preserve"> εκατ. ευρώ ή </w:t>
      </w:r>
      <w:r>
        <w:t>5</w:t>
      </w:r>
      <w:r w:rsidRPr="00C30D9D">
        <w:t xml:space="preserve">,1% έναντι της εκτίμησης </w:t>
      </w:r>
      <w:r w:rsidR="007D1B4D">
        <w:t xml:space="preserve">κλεισίματος </w:t>
      </w:r>
      <w:r w:rsidRPr="00C30D9D">
        <w:t>του 202</w:t>
      </w:r>
      <w:r>
        <w:t xml:space="preserve">6 εξαιτίας των μειωμένων εσόδων που προέρχονται από το ΤΑΑ κατά 6.281 εκατ. ευρώ λόγω </w:t>
      </w:r>
      <w:r w:rsidR="009C73D6">
        <w:t xml:space="preserve">της </w:t>
      </w:r>
      <w:r>
        <w:t xml:space="preserve">λήξης του </w:t>
      </w:r>
      <w:r w:rsidR="009C73D6">
        <w:t>π</w:t>
      </w:r>
      <w:r>
        <w:t>ρογράμματος</w:t>
      </w:r>
      <w:r w:rsidRPr="00C30D9D">
        <w:t>. Ειδικότερα:</w:t>
      </w:r>
    </w:p>
    <w:p w14:paraId="4778DABA" w14:textId="77777777" w:rsidR="001B7BDD" w:rsidRPr="002B71EF" w:rsidRDefault="001B7BDD" w:rsidP="00DE73D7">
      <w:pPr>
        <w:spacing w:before="240"/>
        <w:rPr>
          <w:rFonts w:cs="Arial"/>
          <w:b/>
          <w:szCs w:val="22"/>
        </w:rPr>
      </w:pPr>
      <w:r w:rsidRPr="002B71EF">
        <w:rPr>
          <w:rFonts w:cs="Arial"/>
          <w:b/>
          <w:szCs w:val="22"/>
        </w:rPr>
        <w:t>Φόροι</w:t>
      </w:r>
    </w:p>
    <w:p w14:paraId="026BF168" w14:textId="2FEDC5D5" w:rsidR="001B7BDD" w:rsidRPr="002B71EF" w:rsidRDefault="002B71EF" w:rsidP="00DE0518">
      <w:r w:rsidRPr="00C30D9D">
        <w:t>Τα έσοδα από φόρους αναμένεται να ανέλθουν σ</w:t>
      </w:r>
      <w:r w:rsidR="004A5150">
        <w:t xml:space="preserve">ε </w:t>
      </w:r>
      <w:r>
        <w:t>77.878</w:t>
      </w:r>
      <w:r w:rsidRPr="00C30D9D">
        <w:t xml:space="preserve"> εκατ. ευρώ, αυξημένα κατά 2.</w:t>
      </w:r>
      <w:r>
        <w:t>1</w:t>
      </w:r>
      <w:r w:rsidRPr="00C30D9D">
        <w:t xml:space="preserve">49 εκατ. ευρώ ή </w:t>
      </w:r>
      <w:r>
        <w:t>2</w:t>
      </w:r>
      <w:r w:rsidRPr="00C30D9D">
        <w:t>,</w:t>
      </w:r>
      <w:r>
        <w:t>8</w:t>
      </w:r>
      <w:r w:rsidRPr="00C30D9D">
        <w:t>% έναντι του 202</w:t>
      </w:r>
      <w:r>
        <w:t>6</w:t>
      </w:r>
      <w:r w:rsidRPr="00C30D9D">
        <w:t xml:space="preserve"> κυρίως λόγω της προβλεπ</w:t>
      </w:r>
      <w:r w:rsidR="0062093D">
        <w:t>ό</w:t>
      </w:r>
      <w:r w:rsidRPr="00C30D9D">
        <w:t>μ</w:t>
      </w:r>
      <w:r w:rsidR="0062093D">
        <w:t>ε</w:t>
      </w:r>
      <w:r w:rsidRPr="00C30D9D">
        <w:t>νης μεγέθυνσης της οικονομίας, όπως αντικατοπτρίζεται στις μακροοικονομικές προβλέψεις. Πιο συγκεκριμένα:</w:t>
      </w:r>
    </w:p>
    <w:p w14:paraId="0218E279" w14:textId="77777777" w:rsidR="001B7BDD" w:rsidRPr="002B71EF" w:rsidRDefault="001B7BDD" w:rsidP="001F0BEF">
      <w:pPr>
        <w:ind w:left="284"/>
        <w:rPr>
          <w:rFonts w:eastAsia="Calibri" w:cs="Arial"/>
          <w:b/>
          <w:i/>
          <w:szCs w:val="20"/>
          <w:lang w:val="x-none"/>
        </w:rPr>
      </w:pPr>
      <w:r w:rsidRPr="002B71EF">
        <w:rPr>
          <w:rFonts w:eastAsia="Calibri" w:cs="Arial"/>
          <w:b/>
          <w:i/>
          <w:szCs w:val="20"/>
          <w:lang w:val="x-none"/>
        </w:rPr>
        <w:t>Φόροι επί αγαθών και υπηρεσιών</w:t>
      </w:r>
    </w:p>
    <w:p w14:paraId="2D99826B" w14:textId="77777777" w:rsidR="002B71EF" w:rsidRPr="00C30D9D" w:rsidRDefault="002B71EF" w:rsidP="00DE0518">
      <w:pPr>
        <w:ind w:left="284" w:right="-2"/>
        <w:rPr>
          <w:rFonts w:cs="Arial"/>
        </w:rPr>
      </w:pPr>
      <w:r w:rsidRPr="00C30D9D">
        <w:rPr>
          <w:rFonts w:cs="Arial"/>
        </w:rPr>
        <w:t xml:space="preserve">Τα έσοδα από φόρους επί αγαθών και υπηρεσιών προβλέπεται να ανέλθουν στο ποσό των </w:t>
      </w:r>
      <w:r>
        <w:rPr>
          <w:rFonts w:cs="Arial"/>
        </w:rPr>
        <w:t>42.431</w:t>
      </w:r>
      <w:r w:rsidRPr="00C30D9D">
        <w:rPr>
          <w:rFonts w:cs="Arial"/>
        </w:rPr>
        <w:t xml:space="preserve"> εκατ. ευρώ, αυξημένα κατά </w:t>
      </w:r>
      <w:r>
        <w:rPr>
          <w:rFonts w:cs="Arial"/>
        </w:rPr>
        <w:t>179</w:t>
      </w:r>
      <w:r w:rsidRPr="00C30D9D">
        <w:rPr>
          <w:rFonts w:cs="Arial"/>
        </w:rPr>
        <w:t xml:space="preserve"> εκατ. ευρώ ή </w:t>
      </w:r>
      <w:r>
        <w:rPr>
          <w:rFonts w:cs="Arial"/>
        </w:rPr>
        <w:t>0,4</w:t>
      </w:r>
      <w:r w:rsidRPr="00C30D9D">
        <w:rPr>
          <w:rFonts w:cs="Arial"/>
        </w:rPr>
        <w:t>% έναντι του 202</w:t>
      </w:r>
      <w:r>
        <w:rPr>
          <w:rFonts w:cs="Arial"/>
        </w:rPr>
        <w:t>6</w:t>
      </w:r>
      <w:r w:rsidRPr="00C30D9D">
        <w:rPr>
          <w:rFonts w:cs="Arial"/>
        </w:rPr>
        <w:t>. Ειδικότερα:</w:t>
      </w:r>
    </w:p>
    <w:p w14:paraId="752D1A62" w14:textId="3E7E3C9D" w:rsidR="002B71EF" w:rsidRPr="00C30D9D" w:rsidRDefault="002B71EF" w:rsidP="002B71EF">
      <w:pPr>
        <w:numPr>
          <w:ilvl w:val="0"/>
          <w:numId w:val="1"/>
        </w:numPr>
        <w:spacing w:before="120" w:after="60"/>
        <w:ind w:left="568" w:hanging="284"/>
        <w:rPr>
          <w:rFonts w:cs="Arial"/>
        </w:rPr>
      </w:pPr>
      <w:r w:rsidRPr="00C30D9D">
        <w:rPr>
          <w:rFonts w:cs="Arial"/>
        </w:rPr>
        <w:t xml:space="preserve">τα έσοδα από τον ΦΠΑ αναμένεται να ανέλθουν στο ποσό των </w:t>
      </w:r>
      <w:r>
        <w:rPr>
          <w:rFonts w:cs="Arial"/>
        </w:rPr>
        <w:t>30.581</w:t>
      </w:r>
      <w:r w:rsidRPr="00C30D9D">
        <w:rPr>
          <w:rFonts w:cs="Arial"/>
        </w:rPr>
        <w:t xml:space="preserve"> εκατ. ευρώ, </w:t>
      </w:r>
      <w:r>
        <w:rPr>
          <w:rFonts w:cs="Arial"/>
        </w:rPr>
        <w:t>μειω</w:t>
      </w:r>
      <w:r w:rsidRPr="00C30D9D">
        <w:rPr>
          <w:rFonts w:cs="Arial"/>
        </w:rPr>
        <w:t xml:space="preserve">μένα κατά </w:t>
      </w:r>
      <w:r>
        <w:rPr>
          <w:rFonts w:cs="Arial"/>
        </w:rPr>
        <w:t>196</w:t>
      </w:r>
      <w:r w:rsidRPr="00C30D9D">
        <w:rPr>
          <w:rFonts w:cs="Arial"/>
        </w:rPr>
        <w:t xml:space="preserve"> εκατ. ευρώ έναντι του 202</w:t>
      </w:r>
      <w:r>
        <w:rPr>
          <w:rFonts w:cs="Arial"/>
        </w:rPr>
        <w:t xml:space="preserve">6 λόγω των μειωμένων εσόδων κατά 911 εκατ. ευρώ από την εκτέλεση έργων </w:t>
      </w:r>
      <w:r w:rsidR="004A5150">
        <w:rPr>
          <w:rFonts w:cs="Arial"/>
        </w:rPr>
        <w:t xml:space="preserve">του </w:t>
      </w:r>
      <w:r>
        <w:rPr>
          <w:rFonts w:cs="Arial"/>
        </w:rPr>
        <w:t xml:space="preserve">ΤΑΑ </w:t>
      </w:r>
      <w:r w:rsidR="00725461">
        <w:rPr>
          <w:rFonts w:cs="Arial"/>
        </w:rPr>
        <w:t>συνεπεία</w:t>
      </w:r>
      <w:r>
        <w:rPr>
          <w:rFonts w:cs="Arial"/>
        </w:rPr>
        <w:t xml:space="preserve"> της λήξης του </w:t>
      </w:r>
      <w:r w:rsidR="004A5150">
        <w:rPr>
          <w:rFonts w:cs="Arial"/>
        </w:rPr>
        <w:t>π</w:t>
      </w:r>
      <w:r>
        <w:rPr>
          <w:rFonts w:cs="Arial"/>
        </w:rPr>
        <w:t>ρογράμματος. Επιπρόσθετα</w:t>
      </w:r>
      <w:r w:rsidR="00725461">
        <w:rPr>
          <w:rFonts w:cs="Arial"/>
        </w:rPr>
        <w:t>,</w:t>
      </w:r>
      <w:r>
        <w:rPr>
          <w:rFonts w:cs="Arial"/>
        </w:rPr>
        <w:t xml:space="preserve"> θα πρέπει να σημειωθεί ότι στο έτος 2026 περιλαμβάνονται μη επαναλαμβανόμενα </w:t>
      </w:r>
      <w:r w:rsidR="00725461">
        <w:rPr>
          <w:rFonts w:cs="Arial"/>
        </w:rPr>
        <w:t>(</w:t>
      </w:r>
      <w:r w:rsidR="00725461">
        <w:rPr>
          <w:rFonts w:cs="Arial"/>
          <w:lang w:val="en-US"/>
        </w:rPr>
        <w:t>one</w:t>
      </w:r>
      <w:r w:rsidR="00725461" w:rsidRPr="006C488F">
        <w:rPr>
          <w:rFonts w:cs="Arial"/>
        </w:rPr>
        <w:t xml:space="preserve"> -</w:t>
      </w:r>
      <w:r w:rsidR="00725461">
        <w:rPr>
          <w:rFonts w:cs="Arial"/>
        </w:rPr>
        <w:t xml:space="preserve"> </w:t>
      </w:r>
      <w:r w:rsidR="00725461">
        <w:rPr>
          <w:rFonts w:cs="Arial"/>
          <w:lang w:val="en-US"/>
        </w:rPr>
        <w:t>off</w:t>
      </w:r>
      <w:r w:rsidR="00725461" w:rsidRPr="006C488F">
        <w:rPr>
          <w:rFonts w:cs="Arial"/>
        </w:rPr>
        <w:t>)</w:t>
      </w:r>
      <w:r w:rsidR="00725461">
        <w:rPr>
          <w:rFonts w:cs="Arial"/>
        </w:rPr>
        <w:t xml:space="preserve"> </w:t>
      </w:r>
      <w:r>
        <w:rPr>
          <w:rFonts w:cs="Arial"/>
        </w:rPr>
        <w:t>έσοδα ΦΠΑ ύψους 306 εκατ. ευρώ από τη σύμβαση παραχώρησης της Εγνατίας Οδού</w:t>
      </w:r>
      <w:r w:rsidRPr="00C30D9D">
        <w:rPr>
          <w:rFonts w:cs="Arial"/>
        </w:rPr>
        <w:t xml:space="preserve"> και</w:t>
      </w:r>
    </w:p>
    <w:p w14:paraId="157C5641" w14:textId="5A3BBD9E" w:rsidR="001B7BDD" w:rsidRPr="002B71EF" w:rsidRDefault="002B71EF" w:rsidP="002B71EF">
      <w:pPr>
        <w:numPr>
          <w:ilvl w:val="0"/>
          <w:numId w:val="1"/>
        </w:numPr>
        <w:spacing w:before="60"/>
        <w:ind w:left="568" w:hanging="284"/>
        <w:rPr>
          <w:rFonts w:cs="Arial"/>
        </w:rPr>
      </w:pPr>
      <w:r w:rsidRPr="00C30D9D">
        <w:rPr>
          <w:rFonts w:cs="Arial"/>
        </w:rPr>
        <w:t>τα έσοδα από τους ΕΦΚ προβλέπονται στο ποσό των 7.</w:t>
      </w:r>
      <w:r>
        <w:rPr>
          <w:rFonts w:cs="Arial"/>
        </w:rPr>
        <w:t>312</w:t>
      </w:r>
      <w:r w:rsidRPr="00C30D9D">
        <w:rPr>
          <w:rFonts w:cs="Arial"/>
        </w:rPr>
        <w:t xml:space="preserve"> εκατ. ευρώ, αυξημένα κατά </w:t>
      </w:r>
      <w:r>
        <w:rPr>
          <w:rFonts w:cs="Arial"/>
        </w:rPr>
        <w:t>136</w:t>
      </w:r>
      <w:r w:rsidRPr="00C30D9D">
        <w:rPr>
          <w:rFonts w:cs="Arial"/>
        </w:rPr>
        <w:t xml:space="preserve"> εκατ. ευρώ έναντι του 202</w:t>
      </w:r>
      <w:r>
        <w:rPr>
          <w:rFonts w:cs="Arial"/>
        </w:rPr>
        <w:t>6</w:t>
      </w:r>
      <w:r w:rsidRPr="00C30D9D">
        <w:rPr>
          <w:rFonts w:cs="Arial"/>
        </w:rPr>
        <w:t>.</w:t>
      </w:r>
    </w:p>
    <w:p w14:paraId="5E05AD84" w14:textId="77777777" w:rsidR="001B7BDD" w:rsidRPr="002B71EF" w:rsidRDefault="001B7BDD" w:rsidP="00032948">
      <w:pPr>
        <w:keepNext/>
        <w:ind w:left="284"/>
        <w:rPr>
          <w:rFonts w:eastAsia="Calibri" w:cs="Arial"/>
          <w:b/>
          <w:i/>
          <w:szCs w:val="20"/>
          <w:lang w:val="x-none"/>
        </w:rPr>
      </w:pPr>
      <w:r w:rsidRPr="002B71EF">
        <w:rPr>
          <w:rFonts w:eastAsia="Calibri" w:cs="Arial"/>
          <w:b/>
          <w:i/>
          <w:szCs w:val="20"/>
          <w:lang w:val="x-none"/>
        </w:rPr>
        <w:t>Φόροι και δασμοί επί εισαγωγών</w:t>
      </w:r>
    </w:p>
    <w:p w14:paraId="1ADE79BF" w14:textId="2C1DD6CB" w:rsidR="001B7BDD" w:rsidRPr="002B71EF" w:rsidRDefault="002B71EF" w:rsidP="00DE0518">
      <w:pPr>
        <w:ind w:left="284" w:right="-2"/>
        <w:rPr>
          <w:rFonts w:cs="Arial"/>
        </w:rPr>
      </w:pPr>
      <w:r w:rsidRPr="00C30D9D">
        <w:rPr>
          <w:rFonts w:cs="Arial"/>
        </w:rPr>
        <w:t xml:space="preserve">Από τους φόρους και τους δασμούς επί εισαγωγών προβλέπονται έσοδα ύψους </w:t>
      </w:r>
      <w:r>
        <w:rPr>
          <w:rFonts w:cs="Arial"/>
        </w:rPr>
        <w:t>533</w:t>
      </w:r>
      <w:r w:rsidRPr="00C30D9D">
        <w:rPr>
          <w:rFonts w:cs="Arial"/>
        </w:rPr>
        <w:t xml:space="preserve"> εκατ. ευρώ, αυξημένα κατά </w:t>
      </w:r>
      <w:r>
        <w:rPr>
          <w:rFonts w:cs="Arial"/>
        </w:rPr>
        <w:t>72</w:t>
      </w:r>
      <w:r w:rsidRPr="00C30D9D">
        <w:rPr>
          <w:rFonts w:cs="Arial"/>
        </w:rPr>
        <w:t xml:space="preserve"> εκατ. ευρώ έναντι του 202</w:t>
      </w:r>
      <w:r>
        <w:rPr>
          <w:rFonts w:cs="Arial"/>
        </w:rPr>
        <w:t>6</w:t>
      </w:r>
      <w:r w:rsidR="00725461">
        <w:rPr>
          <w:rFonts w:cs="Arial"/>
        </w:rPr>
        <w:t>. Η εν λόγω αύξηση οφείλεται κυρίως στην</w:t>
      </w:r>
      <w:r>
        <w:rPr>
          <w:rFonts w:cs="Arial"/>
        </w:rPr>
        <w:t xml:space="preserve"> εφαρμογή σε πλήρες έτος του ενωσιακού τελωνειακού μέτρου</w:t>
      </w:r>
      <w:r w:rsidR="0050700A">
        <w:rPr>
          <w:rFonts w:cs="Arial"/>
        </w:rPr>
        <w:t>, μ</w:t>
      </w:r>
      <w:r>
        <w:rPr>
          <w:rFonts w:cs="Arial"/>
        </w:rPr>
        <w:t xml:space="preserve">ε ισχύ από την </w:t>
      </w:r>
      <w:r w:rsidR="00725461">
        <w:rPr>
          <w:rFonts w:cs="Arial"/>
        </w:rPr>
        <w:t>0</w:t>
      </w:r>
      <w:r>
        <w:rPr>
          <w:rFonts w:cs="Arial"/>
        </w:rPr>
        <w:t>1</w:t>
      </w:r>
      <w:r w:rsidR="00725461">
        <w:rPr>
          <w:rFonts w:cs="Arial"/>
        </w:rPr>
        <w:t>η.7.</w:t>
      </w:r>
      <w:r>
        <w:rPr>
          <w:rFonts w:cs="Arial"/>
        </w:rPr>
        <w:t>2026</w:t>
      </w:r>
      <w:r w:rsidR="0050700A">
        <w:rPr>
          <w:rFonts w:cs="Arial"/>
        </w:rPr>
        <w:t>, το οποίο</w:t>
      </w:r>
      <w:r w:rsidR="00725461">
        <w:rPr>
          <w:rFonts w:cs="Arial"/>
        </w:rPr>
        <w:t xml:space="preserve"> αφορά στην </w:t>
      </w:r>
      <w:r>
        <w:rPr>
          <w:rFonts w:cs="Arial"/>
        </w:rPr>
        <w:t xml:space="preserve">κατάργηση της απαλλαγής από δασμούς για δέματα χαμηλής αξίας </w:t>
      </w:r>
      <w:r w:rsidR="00725461">
        <w:rPr>
          <w:rFonts w:cs="Arial"/>
        </w:rPr>
        <w:t>εισαγόμενα</w:t>
      </w:r>
      <w:r>
        <w:rPr>
          <w:rFonts w:cs="Arial"/>
        </w:rPr>
        <w:t xml:space="preserve"> από τρίτες χώρες και </w:t>
      </w:r>
      <w:r w:rsidR="00725461">
        <w:rPr>
          <w:rFonts w:cs="Arial"/>
        </w:rPr>
        <w:t>σ</w:t>
      </w:r>
      <w:r>
        <w:rPr>
          <w:rFonts w:cs="Arial"/>
        </w:rPr>
        <w:t>την επιβολή κατ’ αποκοπή τέλους τριών (3) ευρώ ανά είδος για τις εν λόγω αποστολές.</w:t>
      </w:r>
    </w:p>
    <w:p w14:paraId="63F1513A" w14:textId="77777777" w:rsidR="001B7BDD" w:rsidRPr="002B71EF" w:rsidRDefault="001B7BDD" w:rsidP="0069649E">
      <w:pPr>
        <w:ind w:left="284"/>
        <w:rPr>
          <w:rFonts w:eastAsia="Calibri" w:cs="Arial"/>
          <w:b/>
          <w:i/>
          <w:szCs w:val="20"/>
          <w:lang w:val="x-none"/>
        </w:rPr>
      </w:pPr>
      <w:r w:rsidRPr="002B71EF">
        <w:rPr>
          <w:rFonts w:eastAsia="Calibri" w:cs="Arial"/>
          <w:b/>
          <w:i/>
          <w:szCs w:val="20"/>
          <w:lang w:val="x-none"/>
        </w:rPr>
        <w:t>Τακτικοί φόροι ακίνητης περιουσίας</w:t>
      </w:r>
    </w:p>
    <w:p w14:paraId="3BC60ACB" w14:textId="570EBC94" w:rsidR="001B7BDD" w:rsidRPr="002B71EF" w:rsidRDefault="002B71EF" w:rsidP="00DE0518">
      <w:pPr>
        <w:ind w:left="284" w:right="-2"/>
      </w:pPr>
      <w:r w:rsidRPr="00C30D9D">
        <w:rPr>
          <w:rFonts w:cs="Arial"/>
        </w:rPr>
        <w:t>Τα έσοδα από τους τακτικούς φόρους ακίνητης περιουσίας αναμένεται να ανέλθουν στο ποσό των 2.3</w:t>
      </w:r>
      <w:r>
        <w:rPr>
          <w:rFonts w:cs="Arial"/>
        </w:rPr>
        <w:t>65</w:t>
      </w:r>
      <w:r w:rsidRPr="00C30D9D">
        <w:rPr>
          <w:rFonts w:cs="Arial"/>
        </w:rPr>
        <w:t xml:space="preserve"> εκατ. ευρώ, μειωμένα κατά </w:t>
      </w:r>
      <w:r>
        <w:rPr>
          <w:rFonts w:cs="Arial"/>
        </w:rPr>
        <w:t>48</w:t>
      </w:r>
      <w:r w:rsidRPr="00C30D9D">
        <w:rPr>
          <w:rFonts w:cs="Arial"/>
        </w:rPr>
        <w:t xml:space="preserve"> εκατ. ευρώ έναντι του 202</w:t>
      </w:r>
      <w:r>
        <w:rPr>
          <w:rFonts w:cs="Arial"/>
        </w:rPr>
        <w:t xml:space="preserve">6 λόγω της κατάργησης </w:t>
      </w:r>
      <w:r w:rsidRPr="00C30D9D">
        <w:rPr>
          <w:rFonts w:cs="Arial"/>
        </w:rPr>
        <w:t>του ΕΝΦΙΑ για κύριες κατοικίες σε οικισμούς με πληθυσμό έως 1.500 κατοίκους</w:t>
      </w:r>
      <w:r>
        <w:rPr>
          <w:rFonts w:cs="Arial"/>
        </w:rPr>
        <w:t xml:space="preserve"> καθώς και τη</w:t>
      </w:r>
      <w:r w:rsidR="00CA3058">
        <w:rPr>
          <w:rFonts w:cs="Arial"/>
        </w:rPr>
        <w:t>ς</w:t>
      </w:r>
      <w:r>
        <w:rPr>
          <w:rFonts w:cs="Arial"/>
        </w:rPr>
        <w:t xml:space="preserve"> πρόσφατη</w:t>
      </w:r>
      <w:r w:rsidR="00CA3058">
        <w:rPr>
          <w:rFonts w:cs="Arial"/>
        </w:rPr>
        <w:t>ς</w:t>
      </w:r>
      <w:r>
        <w:rPr>
          <w:rFonts w:cs="Arial"/>
        </w:rPr>
        <w:t xml:space="preserve"> επέκταση</w:t>
      </w:r>
      <w:r w:rsidR="00CA3058">
        <w:rPr>
          <w:rFonts w:cs="Arial"/>
        </w:rPr>
        <w:t>ς</w:t>
      </w:r>
      <w:r>
        <w:rPr>
          <w:rFonts w:cs="Arial"/>
        </w:rPr>
        <w:t xml:space="preserve"> της ανωτέρω παρέμβασης </w:t>
      </w:r>
      <w:r w:rsidR="00CA3058">
        <w:rPr>
          <w:rFonts w:cs="Arial"/>
        </w:rPr>
        <w:t>σχετικά μ</w:t>
      </w:r>
      <w:r>
        <w:rPr>
          <w:rFonts w:cs="Arial"/>
        </w:rPr>
        <w:t xml:space="preserve">ε </w:t>
      </w:r>
      <w:r w:rsidR="00CA3058">
        <w:rPr>
          <w:rFonts w:cs="Arial"/>
        </w:rPr>
        <w:t xml:space="preserve">την </w:t>
      </w:r>
      <w:r>
        <w:rPr>
          <w:rFonts w:cs="Arial"/>
        </w:rPr>
        <w:t xml:space="preserve">κατάργηση του ΕΝΦΙΑ </w:t>
      </w:r>
      <w:r w:rsidRPr="00BB381D">
        <w:rPr>
          <w:rFonts w:cs="Arial"/>
        </w:rPr>
        <w:t>σε οικισμούς έως 2.000 κατοίκ</w:t>
      </w:r>
      <w:r w:rsidR="002D1218">
        <w:rPr>
          <w:rFonts w:cs="Arial"/>
        </w:rPr>
        <w:t>ων</w:t>
      </w:r>
      <w:r w:rsidRPr="00BB381D">
        <w:rPr>
          <w:rFonts w:cs="Arial"/>
        </w:rPr>
        <w:t xml:space="preserve"> και </w:t>
      </w:r>
      <w:r>
        <w:rPr>
          <w:rFonts w:cs="Arial"/>
        </w:rPr>
        <w:t xml:space="preserve">σε οικισμούς </w:t>
      </w:r>
      <w:r w:rsidRPr="00BB381D">
        <w:rPr>
          <w:rFonts w:cs="Arial"/>
        </w:rPr>
        <w:t>έως 2.200 κατοίκ</w:t>
      </w:r>
      <w:r w:rsidR="002D1218">
        <w:rPr>
          <w:rFonts w:cs="Arial"/>
        </w:rPr>
        <w:t>ων</w:t>
      </w:r>
      <w:r w:rsidRPr="00BB381D">
        <w:rPr>
          <w:rFonts w:cs="Arial"/>
        </w:rPr>
        <w:t xml:space="preserve"> στη Δυτική Μακεδονία.</w:t>
      </w:r>
    </w:p>
    <w:p w14:paraId="3798D6BA" w14:textId="77777777" w:rsidR="001B7BDD" w:rsidRPr="002B71EF" w:rsidRDefault="001B7BDD" w:rsidP="001F0BEF">
      <w:pPr>
        <w:ind w:left="284"/>
        <w:rPr>
          <w:rFonts w:eastAsia="Calibri" w:cs="Arial"/>
          <w:b/>
          <w:i/>
          <w:szCs w:val="20"/>
          <w:lang w:val="x-none"/>
        </w:rPr>
      </w:pPr>
      <w:r w:rsidRPr="002B71EF">
        <w:rPr>
          <w:rFonts w:eastAsia="Calibri" w:cs="Arial"/>
          <w:b/>
          <w:i/>
          <w:szCs w:val="20"/>
          <w:lang w:val="x-none"/>
        </w:rPr>
        <w:t>Λοιποί φόροι επί παραγωγής</w:t>
      </w:r>
    </w:p>
    <w:p w14:paraId="7D727442" w14:textId="0C05C8AB" w:rsidR="001B7BDD" w:rsidRPr="002B71EF" w:rsidRDefault="002B71EF" w:rsidP="00DE0518">
      <w:pPr>
        <w:ind w:left="284" w:right="-2"/>
      </w:pPr>
      <w:r w:rsidRPr="00C30D9D">
        <w:rPr>
          <w:rFonts w:cs="Arial"/>
        </w:rPr>
        <w:t xml:space="preserve">Από τους λοιπούς φόρους επί παραγωγής προβλέπονται έσοδα ύψους </w:t>
      </w:r>
      <w:r>
        <w:rPr>
          <w:rFonts w:cs="Arial"/>
        </w:rPr>
        <w:t>614</w:t>
      </w:r>
      <w:r w:rsidRPr="00C30D9D">
        <w:rPr>
          <w:rFonts w:cs="Arial"/>
        </w:rPr>
        <w:t xml:space="preserve"> εκατ. ευρώ, </w:t>
      </w:r>
      <w:r>
        <w:rPr>
          <w:rFonts w:cs="Arial"/>
        </w:rPr>
        <w:t>μειω</w:t>
      </w:r>
      <w:r w:rsidRPr="00C30D9D">
        <w:rPr>
          <w:rFonts w:cs="Arial"/>
        </w:rPr>
        <w:t xml:space="preserve">μένα κατά </w:t>
      </w:r>
      <w:r>
        <w:rPr>
          <w:rFonts w:cs="Arial"/>
        </w:rPr>
        <w:t>147</w:t>
      </w:r>
      <w:r w:rsidRPr="00C30D9D">
        <w:rPr>
          <w:rFonts w:cs="Arial"/>
        </w:rPr>
        <w:t xml:space="preserve"> εκατ. ευρώ έναντι της εκτίμησης του 202</w:t>
      </w:r>
      <w:r>
        <w:rPr>
          <w:rFonts w:cs="Arial"/>
        </w:rPr>
        <w:t>6</w:t>
      </w:r>
      <w:r w:rsidRPr="00C30D9D">
        <w:rPr>
          <w:rFonts w:cs="Arial"/>
        </w:rPr>
        <w:t xml:space="preserve"> κυρίως λόγω της </w:t>
      </w:r>
      <w:r>
        <w:rPr>
          <w:rFonts w:cs="Arial"/>
        </w:rPr>
        <w:t>παρέμβασης για σταδιακή κατάργηση του τέλους επιτηδεύματος και στα νομικά πρόσωπα</w:t>
      </w:r>
      <w:r w:rsidRPr="00C30D9D">
        <w:rPr>
          <w:rFonts w:cs="Arial"/>
        </w:rPr>
        <w:t>.</w:t>
      </w:r>
    </w:p>
    <w:p w14:paraId="2AE30E40" w14:textId="77777777" w:rsidR="001B7BDD" w:rsidRPr="002B71EF" w:rsidRDefault="001B7BDD" w:rsidP="002B71EF">
      <w:pPr>
        <w:ind w:left="284"/>
        <w:rPr>
          <w:rFonts w:eastAsia="Calibri" w:cs="Arial"/>
          <w:b/>
          <w:i/>
          <w:szCs w:val="20"/>
          <w:lang w:val="x-none"/>
        </w:rPr>
      </w:pPr>
      <w:r w:rsidRPr="002B71EF">
        <w:rPr>
          <w:rFonts w:eastAsia="Calibri" w:cs="Arial"/>
          <w:b/>
          <w:i/>
          <w:szCs w:val="20"/>
          <w:lang w:val="x-none"/>
        </w:rPr>
        <w:t>Φόρος εισοδήματος</w:t>
      </w:r>
    </w:p>
    <w:p w14:paraId="66C21FA7" w14:textId="77777777" w:rsidR="002B71EF" w:rsidRPr="00C30D9D" w:rsidRDefault="002B71EF" w:rsidP="00DE0518">
      <w:pPr>
        <w:ind w:left="284" w:right="-2"/>
        <w:rPr>
          <w:rFonts w:cs="Arial"/>
        </w:rPr>
      </w:pPr>
      <w:r w:rsidRPr="00C30D9D">
        <w:rPr>
          <w:rFonts w:cs="Arial"/>
        </w:rPr>
        <w:t xml:space="preserve">Τα έσοδα από τον φόρο εισοδήματος αναμένεται να ανέλθουν στο ποσό των </w:t>
      </w:r>
      <w:r>
        <w:rPr>
          <w:rFonts w:cs="Arial"/>
        </w:rPr>
        <w:t>29.376</w:t>
      </w:r>
      <w:r w:rsidRPr="00C30D9D">
        <w:rPr>
          <w:rFonts w:cs="Arial"/>
        </w:rPr>
        <w:t xml:space="preserve"> εκατ. ευρώ, αυξημένα κατά </w:t>
      </w:r>
      <w:r>
        <w:rPr>
          <w:rFonts w:cs="Arial"/>
        </w:rPr>
        <w:t>2.038</w:t>
      </w:r>
      <w:r w:rsidRPr="00C30D9D">
        <w:rPr>
          <w:rFonts w:cs="Arial"/>
        </w:rPr>
        <w:t xml:space="preserve"> εκατ. ευρώ ή </w:t>
      </w:r>
      <w:r>
        <w:rPr>
          <w:rFonts w:cs="Arial"/>
        </w:rPr>
        <w:t>7</w:t>
      </w:r>
      <w:r w:rsidRPr="00C30D9D">
        <w:rPr>
          <w:rFonts w:cs="Arial"/>
        </w:rPr>
        <w:t>,</w:t>
      </w:r>
      <w:r>
        <w:rPr>
          <w:rFonts w:cs="Arial"/>
        </w:rPr>
        <w:t>5</w:t>
      </w:r>
      <w:r w:rsidRPr="00C30D9D">
        <w:rPr>
          <w:rFonts w:cs="Arial"/>
        </w:rPr>
        <w:t>% έναντι του 202</w:t>
      </w:r>
      <w:r>
        <w:rPr>
          <w:rFonts w:cs="Arial"/>
        </w:rPr>
        <w:t>6</w:t>
      </w:r>
      <w:r w:rsidRPr="00C30D9D">
        <w:rPr>
          <w:rFonts w:cs="Arial"/>
        </w:rPr>
        <w:t>. Ειδικότερα:</w:t>
      </w:r>
    </w:p>
    <w:p w14:paraId="4045338B" w14:textId="3D788389" w:rsidR="002B71EF" w:rsidRPr="00C30D9D" w:rsidRDefault="002B71EF" w:rsidP="002B71EF">
      <w:pPr>
        <w:numPr>
          <w:ilvl w:val="0"/>
          <w:numId w:val="1"/>
        </w:numPr>
        <w:spacing w:before="120" w:after="60"/>
        <w:ind w:left="568" w:hanging="284"/>
        <w:rPr>
          <w:rFonts w:cs="Arial"/>
        </w:rPr>
      </w:pPr>
      <w:r w:rsidRPr="00C30D9D">
        <w:rPr>
          <w:rFonts w:cs="Arial"/>
        </w:rPr>
        <w:t>ο φόρος εισοδήματος φυσικών προσώπων προβλέπεται να διαμορφωθεί στο ποσό των 1</w:t>
      </w:r>
      <w:r>
        <w:rPr>
          <w:rFonts w:cs="Arial"/>
        </w:rPr>
        <w:t>6</w:t>
      </w:r>
      <w:r w:rsidRPr="00C30D9D">
        <w:rPr>
          <w:rFonts w:cs="Arial"/>
        </w:rPr>
        <w:t>.</w:t>
      </w:r>
      <w:r>
        <w:rPr>
          <w:rFonts w:cs="Arial"/>
        </w:rPr>
        <w:t>995</w:t>
      </w:r>
      <w:r w:rsidRPr="00C30D9D">
        <w:rPr>
          <w:rFonts w:cs="Arial"/>
        </w:rPr>
        <w:t xml:space="preserve"> εκατ. ευρώ, </w:t>
      </w:r>
      <w:r>
        <w:rPr>
          <w:rFonts w:cs="Arial"/>
        </w:rPr>
        <w:t>αυξη</w:t>
      </w:r>
      <w:r w:rsidRPr="00C30D9D">
        <w:rPr>
          <w:rFonts w:cs="Arial"/>
        </w:rPr>
        <w:t xml:space="preserve">μένος κατά </w:t>
      </w:r>
      <w:r>
        <w:rPr>
          <w:rFonts w:cs="Arial"/>
        </w:rPr>
        <w:t>620</w:t>
      </w:r>
      <w:r w:rsidRPr="00C30D9D">
        <w:rPr>
          <w:rFonts w:cs="Arial"/>
        </w:rPr>
        <w:t xml:space="preserve"> εκατ. ευρώ έναντι του 202</w:t>
      </w:r>
      <w:r>
        <w:rPr>
          <w:rFonts w:cs="Arial"/>
        </w:rPr>
        <w:t>6</w:t>
      </w:r>
      <w:r w:rsidRPr="00C30D9D">
        <w:rPr>
          <w:rFonts w:cs="Arial"/>
        </w:rPr>
        <w:t xml:space="preserve"> </w:t>
      </w:r>
      <w:r>
        <w:rPr>
          <w:rFonts w:cs="Arial"/>
        </w:rPr>
        <w:t>κυρίως λόγω της</w:t>
      </w:r>
      <w:r w:rsidRPr="00C30D9D">
        <w:rPr>
          <w:rFonts w:cs="Arial"/>
        </w:rPr>
        <w:t xml:space="preserve"> αύξηση</w:t>
      </w:r>
      <w:r>
        <w:rPr>
          <w:rFonts w:cs="Arial"/>
        </w:rPr>
        <w:t>ς</w:t>
      </w:r>
      <w:r w:rsidRPr="00C30D9D">
        <w:rPr>
          <w:rFonts w:cs="Arial"/>
        </w:rPr>
        <w:t xml:space="preserve"> των αμοιβών εξαρτημένης εργασίας, των συντάξεων</w:t>
      </w:r>
      <w:r>
        <w:rPr>
          <w:rFonts w:cs="Arial"/>
        </w:rPr>
        <w:t xml:space="preserve">, </w:t>
      </w:r>
      <w:r w:rsidRPr="00C30D9D">
        <w:rPr>
          <w:rFonts w:cs="Arial"/>
        </w:rPr>
        <w:t>της αναμεν</w:t>
      </w:r>
      <w:r w:rsidR="0085258D">
        <w:rPr>
          <w:rFonts w:cs="Arial"/>
        </w:rPr>
        <w:t>ό</w:t>
      </w:r>
      <w:r w:rsidRPr="00C30D9D">
        <w:rPr>
          <w:rFonts w:cs="Arial"/>
        </w:rPr>
        <w:t>μ</w:t>
      </w:r>
      <w:r w:rsidR="0085258D">
        <w:rPr>
          <w:rFonts w:cs="Arial"/>
        </w:rPr>
        <w:t>ε</w:t>
      </w:r>
      <w:r w:rsidRPr="00C30D9D">
        <w:rPr>
          <w:rFonts w:cs="Arial"/>
        </w:rPr>
        <w:t>νης νέας αύξησης του κατώτατου μισθού</w:t>
      </w:r>
      <w:r>
        <w:rPr>
          <w:rFonts w:cs="Arial"/>
        </w:rPr>
        <w:t xml:space="preserve"> καθώς</w:t>
      </w:r>
      <w:r w:rsidRPr="00C30D9D">
        <w:rPr>
          <w:rFonts w:cs="Arial"/>
        </w:rPr>
        <w:t xml:space="preserve"> και</w:t>
      </w:r>
      <w:r>
        <w:rPr>
          <w:rFonts w:cs="Arial"/>
        </w:rPr>
        <w:t xml:space="preserve"> λόγω της </w:t>
      </w:r>
      <w:r w:rsidR="00AB66D1">
        <w:rPr>
          <w:rFonts w:cs="Arial"/>
        </w:rPr>
        <w:t xml:space="preserve">περαιτέρω </w:t>
      </w:r>
      <w:r>
        <w:rPr>
          <w:rFonts w:cs="Arial"/>
        </w:rPr>
        <w:t>μείωσης της ανεργίας</w:t>
      </w:r>
      <w:r w:rsidR="00CA3058">
        <w:rPr>
          <w:rFonts w:cs="Arial"/>
        </w:rPr>
        <w:t xml:space="preserve"> και</w:t>
      </w:r>
    </w:p>
    <w:p w14:paraId="7C0FB4EB" w14:textId="12483110" w:rsidR="001B7BDD" w:rsidRPr="002B71EF" w:rsidRDefault="002B71EF" w:rsidP="002B71EF">
      <w:pPr>
        <w:numPr>
          <w:ilvl w:val="0"/>
          <w:numId w:val="1"/>
        </w:numPr>
        <w:spacing w:before="60"/>
        <w:ind w:left="568" w:hanging="284"/>
      </w:pPr>
      <w:r w:rsidRPr="00C30D9D">
        <w:rPr>
          <w:rFonts w:cs="Arial"/>
        </w:rPr>
        <w:t xml:space="preserve">ο φόρος εισοδήματος νομικών προσώπων προβλέπεται να ανέλθει στο ποσό των </w:t>
      </w:r>
      <w:r>
        <w:rPr>
          <w:rFonts w:cs="Arial"/>
        </w:rPr>
        <w:t>9.844</w:t>
      </w:r>
      <w:r w:rsidRPr="00C30D9D">
        <w:rPr>
          <w:rFonts w:cs="Arial"/>
        </w:rPr>
        <w:t xml:space="preserve"> εκατ. ευρώ, αυξημένος κατά </w:t>
      </w:r>
      <w:r>
        <w:rPr>
          <w:rFonts w:cs="Arial"/>
        </w:rPr>
        <w:t>1.302</w:t>
      </w:r>
      <w:r w:rsidRPr="00C30D9D">
        <w:rPr>
          <w:rFonts w:cs="Arial"/>
        </w:rPr>
        <w:t xml:space="preserve"> εκατ. ευρώ έναντι του 202</w:t>
      </w:r>
      <w:r>
        <w:rPr>
          <w:rFonts w:cs="Arial"/>
        </w:rPr>
        <w:t>6</w:t>
      </w:r>
      <w:r w:rsidRPr="00C30D9D">
        <w:rPr>
          <w:rFonts w:cs="Arial"/>
        </w:rPr>
        <w:t xml:space="preserve"> λόγω των εκτιμ</w:t>
      </w:r>
      <w:r w:rsidR="000E2282">
        <w:rPr>
          <w:rFonts w:cs="Arial"/>
        </w:rPr>
        <w:t>ώ</w:t>
      </w:r>
      <w:r w:rsidRPr="00C30D9D">
        <w:rPr>
          <w:rFonts w:cs="Arial"/>
        </w:rPr>
        <w:t>μ</w:t>
      </w:r>
      <w:r w:rsidR="000E2282">
        <w:rPr>
          <w:rFonts w:cs="Arial"/>
        </w:rPr>
        <w:t>ε</w:t>
      </w:r>
      <w:r w:rsidRPr="00C30D9D">
        <w:rPr>
          <w:rFonts w:cs="Arial"/>
        </w:rPr>
        <w:t xml:space="preserve">νων αυξημένων </w:t>
      </w:r>
      <w:r>
        <w:rPr>
          <w:rFonts w:cs="Arial"/>
        </w:rPr>
        <w:t>κερδών</w:t>
      </w:r>
      <w:r w:rsidRPr="00C30D9D">
        <w:rPr>
          <w:rFonts w:cs="Arial"/>
        </w:rPr>
        <w:t xml:space="preserve"> των επιχειρήσεων κατά το τρέχον φορολογικό έτος, τα οποία θα δηλωθούν το έτος 202</w:t>
      </w:r>
      <w:r>
        <w:rPr>
          <w:rFonts w:cs="Arial"/>
        </w:rPr>
        <w:t>7</w:t>
      </w:r>
      <w:r w:rsidRPr="00C30D9D">
        <w:rPr>
          <w:rFonts w:cs="Arial"/>
        </w:rPr>
        <w:t>.</w:t>
      </w:r>
    </w:p>
    <w:p w14:paraId="019CA325" w14:textId="77777777" w:rsidR="001B7BDD" w:rsidRPr="002B71EF" w:rsidRDefault="001B7BDD" w:rsidP="00DC6F26">
      <w:pPr>
        <w:ind w:left="284"/>
        <w:rPr>
          <w:rFonts w:eastAsia="Calibri" w:cs="Arial"/>
          <w:b/>
          <w:i/>
          <w:szCs w:val="20"/>
          <w:lang w:val="x-none"/>
        </w:rPr>
      </w:pPr>
      <w:r w:rsidRPr="002B71EF">
        <w:rPr>
          <w:rFonts w:eastAsia="Calibri" w:cs="Arial"/>
          <w:b/>
          <w:i/>
          <w:szCs w:val="20"/>
          <w:lang w:val="x-none"/>
        </w:rPr>
        <w:t>Φόροι κεφαλαίου</w:t>
      </w:r>
    </w:p>
    <w:p w14:paraId="712B7B02" w14:textId="61ED0048" w:rsidR="001B7BDD" w:rsidRPr="00657BE1" w:rsidRDefault="002B71EF" w:rsidP="00DE0518">
      <w:pPr>
        <w:ind w:left="284" w:right="-2"/>
        <w:rPr>
          <w:rFonts w:cs="Arial"/>
          <w:highlight w:val="yellow"/>
        </w:rPr>
      </w:pPr>
      <w:r w:rsidRPr="00C30D9D">
        <w:rPr>
          <w:rFonts w:cs="Arial"/>
        </w:rPr>
        <w:t>Οι φόροι κεφαλαίου προβλέπεται να ανέλθουν σε 2</w:t>
      </w:r>
      <w:r>
        <w:rPr>
          <w:rFonts w:cs="Arial"/>
        </w:rPr>
        <w:t>62</w:t>
      </w:r>
      <w:r w:rsidRPr="00C30D9D">
        <w:rPr>
          <w:rFonts w:cs="Arial"/>
        </w:rPr>
        <w:t xml:space="preserve"> εκατ. ευρώ, χωρίς να παρουσιάζουν μεταβολή έναντι του 202</w:t>
      </w:r>
      <w:r>
        <w:rPr>
          <w:rFonts w:cs="Arial"/>
        </w:rPr>
        <w:t>6</w:t>
      </w:r>
      <w:r w:rsidRPr="00C30D9D">
        <w:rPr>
          <w:rFonts w:cs="Arial"/>
        </w:rPr>
        <w:t>.</w:t>
      </w:r>
    </w:p>
    <w:p w14:paraId="2C1B0140" w14:textId="77777777" w:rsidR="001B7BDD" w:rsidRPr="003F401F" w:rsidRDefault="001B7BDD" w:rsidP="001F0BEF">
      <w:pPr>
        <w:ind w:left="284"/>
        <w:rPr>
          <w:rFonts w:eastAsia="Calibri" w:cs="Arial"/>
          <w:b/>
          <w:i/>
          <w:szCs w:val="20"/>
          <w:lang w:val="x-none"/>
        </w:rPr>
      </w:pPr>
      <w:r w:rsidRPr="003F401F">
        <w:rPr>
          <w:rFonts w:eastAsia="Calibri" w:cs="Arial"/>
          <w:b/>
          <w:i/>
          <w:szCs w:val="20"/>
          <w:lang w:val="x-none"/>
        </w:rPr>
        <w:t>Λοιποί τρέχοντες φόροι</w:t>
      </w:r>
    </w:p>
    <w:p w14:paraId="230BCD7E" w14:textId="4C490D48" w:rsidR="001B7BDD" w:rsidRPr="002B71EF" w:rsidRDefault="002B71EF" w:rsidP="00DE0518">
      <w:pPr>
        <w:ind w:left="284"/>
        <w:rPr>
          <w:highlight w:val="yellow"/>
        </w:rPr>
      </w:pPr>
      <w:r w:rsidRPr="00C30D9D">
        <w:t>Τα έσοδα από τους λοιπούς τρέχοντες φόρους αναμένεται να ανέλθουν στο ποσό των 2.</w:t>
      </w:r>
      <w:r>
        <w:t>298</w:t>
      </w:r>
      <w:r w:rsidRPr="00C30D9D">
        <w:t xml:space="preserve"> εκατ. ευρώ, αυξημένα κατά 5</w:t>
      </w:r>
      <w:r>
        <w:t>4</w:t>
      </w:r>
      <w:r w:rsidRPr="00C30D9D">
        <w:t xml:space="preserve"> εκατ. ευρώ έναντι του 202</w:t>
      </w:r>
      <w:r>
        <w:t>6</w:t>
      </w:r>
      <w:r w:rsidRPr="00C30D9D">
        <w:t>.</w:t>
      </w:r>
    </w:p>
    <w:p w14:paraId="16D71B11" w14:textId="77777777" w:rsidR="001B7BDD" w:rsidRPr="003F401F" w:rsidRDefault="001B7BDD" w:rsidP="00DE73D7">
      <w:pPr>
        <w:spacing w:before="240"/>
        <w:rPr>
          <w:rFonts w:cs="Arial"/>
          <w:b/>
          <w:szCs w:val="22"/>
        </w:rPr>
      </w:pPr>
      <w:r w:rsidRPr="003F401F">
        <w:rPr>
          <w:rFonts w:cs="Arial"/>
          <w:b/>
          <w:szCs w:val="22"/>
        </w:rPr>
        <w:t>Κοινωνικές εισφορές</w:t>
      </w:r>
    </w:p>
    <w:p w14:paraId="553608CE" w14:textId="2BAAE8D0" w:rsidR="001B7BDD" w:rsidRPr="003F401F" w:rsidRDefault="003F401F" w:rsidP="00EB38BF">
      <w:r w:rsidRPr="00C30D9D">
        <w:t xml:space="preserve">Τα έσοδα από κοινωνικές εισφορές προβλέπεται να διαμορφωθούν στο ποσό των </w:t>
      </w:r>
      <w:r>
        <w:t>58</w:t>
      </w:r>
      <w:r w:rsidRPr="00C30D9D">
        <w:t xml:space="preserve"> εκατ. ευρώ, χωρίς να παρουσιάζουν μεταβολή έναντι του 202</w:t>
      </w:r>
      <w:r>
        <w:t>6</w:t>
      </w:r>
      <w:r w:rsidRPr="00C30D9D">
        <w:t>.</w:t>
      </w:r>
    </w:p>
    <w:p w14:paraId="14FCB86E" w14:textId="77777777" w:rsidR="001B7BDD" w:rsidRPr="00EA26CE" w:rsidRDefault="001B7BDD" w:rsidP="004E7D05">
      <w:pPr>
        <w:spacing w:before="240"/>
        <w:rPr>
          <w:rFonts w:cs="Arial"/>
          <w:b/>
          <w:szCs w:val="22"/>
        </w:rPr>
      </w:pPr>
      <w:r w:rsidRPr="00EA26CE">
        <w:rPr>
          <w:rFonts w:cs="Arial"/>
          <w:b/>
          <w:szCs w:val="22"/>
        </w:rPr>
        <w:t>Μεταβιβάσεις</w:t>
      </w:r>
    </w:p>
    <w:p w14:paraId="3E3C1586" w14:textId="4DF9AE27" w:rsidR="001B7BDD" w:rsidRPr="00EA26CE" w:rsidRDefault="00EA26CE" w:rsidP="00EB38BF">
      <w:r w:rsidRPr="00C30D9D">
        <w:t xml:space="preserve">Τα έσοδα από μεταβιβάσεις αναμένεται να ανέλθουν στο ποσό των </w:t>
      </w:r>
      <w:r>
        <w:t>4.939</w:t>
      </w:r>
      <w:r w:rsidRPr="00C30D9D">
        <w:t xml:space="preserve"> εκατ. ευρώ, </w:t>
      </w:r>
      <w:r>
        <w:t>μειω</w:t>
      </w:r>
      <w:r w:rsidRPr="00C30D9D">
        <w:t xml:space="preserve">μένα κατά </w:t>
      </w:r>
      <w:r>
        <w:t>6.088</w:t>
      </w:r>
      <w:r w:rsidRPr="00C30D9D">
        <w:t xml:space="preserve"> εκατ. ευρώ έναντι του 202</w:t>
      </w:r>
      <w:r>
        <w:t>6</w:t>
      </w:r>
      <w:r w:rsidRPr="00C30D9D">
        <w:t xml:space="preserve"> κυρίως λόγω της </w:t>
      </w:r>
      <w:r>
        <w:t>μείωσης</w:t>
      </w:r>
      <w:r w:rsidRPr="00C30D9D">
        <w:t xml:space="preserve"> των εσόδων από το ΤΑΑ κατά </w:t>
      </w:r>
      <w:r>
        <w:t>6.281</w:t>
      </w:r>
      <w:r w:rsidRPr="00C30D9D">
        <w:t xml:space="preserve"> εκατ. ευρώ, μετά την προσαρμογή κατά ESA</w:t>
      </w:r>
      <w:r>
        <w:t xml:space="preserve">, </w:t>
      </w:r>
      <w:r w:rsidR="00412952">
        <w:t xml:space="preserve">συνεπεία της </w:t>
      </w:r>
      <w:r>
        <w:t xml:space="preserve">λήξης του </w:t>
      </w:r>
      <w:r w:rsidR="00412952">
        <w:t>π</w:t>
      </w:r>
      <w:r>
        <w:t>ρογράμματος.</w:t>
      </w:r>
    </w:p>
    <w:p w14:paraId="22128D0C" w14:textId="77777777" w:rsidR="001B7BDD" w:rsidRPr="00EA26CE" w:rsidRDefault="001B7BDD" w:rsidP="00032948">
      <w:pPr>
        <w:keepNext/>
        <w:spacing w:before="240"/>
        <w:rPr>
          <w:rFonts w:cs="Arial"/>
          <w:b/>
          <w:szCs w:val="22"/>
        </w:rPr>
      </w:pPr>
      <w:r w:rsidRPr="00EA26CE">
        <w:rPr>
          <w:rFonts w:cs="Arial"/>
          <w:b/>
          <w:szCs w:val="22"/>
        </w:rPr>
        <w:t>Πωλήσεις αγαθών και υπηρεσιών</w:t>
      </w:r>
    </w:p>
    <w:p w14:paraId="77DBB276" w14:textId="17D8E99D" w:rsidR="00EA26CE" w:rsidRPr="00C30D9D" w:rsidRDefault="00EA26CE" w:rsidP="00EB38BF">
      <w:pPr>
        <w:rPr>
          <w:rFonts w:cs="Arial"/>
        </w:rPr>
      </w:pPr>
      <w:r w:rsidRPr="00C30D9D">
        <w:rPr>
          <w:rFonts w:cs="Arial"/>
        </w:rPr>
        <w:t>Από τις πωλήσεις αγαθών και υπηρεσιών προβλέπονται έσοδα ύψους 1.</w:t>
      </w:r>
      <w:r w:rsidR="000A403F">
        <w:rPr>
          <w:rFonts w:cs="Arial"/>
        </w:rPr>
        <w:t>217</w:t>
      </w:r>
      <w:r w:rsidRPr="00C30D9D">
        <w:rPr>
          <w:rFonts w:cs="Arial"/>
        </w:rPr>
        <w:t xml:space="preserve"> εκατ. ευρώ, μειωμένα κατά 1</w:t>
      </w:r>
      <w:r w:rsidR="0039436B">
        <w:rPr>
          <w:rFonts w:cs="Arial"/>
        </w:rPr>
        <w:t>2</w:t>
      </w:r>
      <w:r>
        <w:rPr>
          <w:rFonts w:cs="Arial"/>
        </w:rPr>
        <w:t>3</w:t>
      </w:r>
      <w:r w:rsidRPr="00C30D9D">
        <w:rPr>
          <w:rFonts w:cs="Arial"/>
        </w:rPr>
        <w:t xml:space="preserve"> εκατ. ευρώ έναντι του 202</w:t>
      </w:r>
      <w:r>
        <w:rPr>
          <w:rFonts w:cs="Arial"/>
        </w:rPr>
        <w:t>6</w:t>
      </w:r>
      <w:r w:rsidRPr="00C30D9D">
        <w:rPr>
          <w:rFonts w:cs="Arial"/>
        </w:rPr>
        <w:t>.</w:t>
      </w:r>
    </w:p>
    <w:p w14:paraId="4083C6E8" w14:textId="77777777" w:rsidR="001B7BDD" w:rsidRPr="00EA26CE" w:rsidRDefault="001B7BDD" w:rsidP="00DC6F26">
      <w:pPr>
        <w:spacing w:before="240"/>
        <w:rPr>
          <w:rFonts w:cs="Arial"/>
          <w:b/>
          <w:szCs w:val="22"/>
        </w:rPr>
      </w:pPr>
      <w:r w:rsidRPr="00EA26CE">
        <w:rPr>
          <w:rFonts w:cs="Arial"/>
          <w:b/>
          <w:szCs w:val="22"/>
        </w:rPr>
        <w:t>Λοιπά τρέχοντα έσοδα</w:t>
      </w:r>
    </w:p>
    <w:p w14:paraId="1A729A82" w14:textId="6913202C" w:rsidR="001B7BDD" w:rsidRPr="00EA26CE" w:rsidRDefault="00EA26CE" w:rsidP="00EB38BF">
      <w:pPr>
        <w:rPr>
          <w:rFonts w:cs="Arial"/>
        </w:rPr>
      </w:pPr>
      <w:r w:rsidRPr="00C30D9D">
        <w:t xml:space="preserve">Τα λοιπά τρέχοντα έσοδα προβλέπεται να διαμορφωθούν στο ποσό των </w:t>
      </w:r>
      <w:r>
        <w:t>3.039</w:t>
      </w:r>
      <w:r w:rsidRPr="00C30D9D">
        <w:t xml:space="preserve"> εκατ. ευρώ, μειωμένα κατά </w:t>
      </w:r>
      <w:r>
        <w:t>111</w:t>
      </w:r>
      <w:r w:rsidRPr="00C30D9D">
        <w:t xml:space="preserve"> εκατ. ευρώ έναντι του 202</w:t>
      </w:r>
      <w:r>
        <w:t>6</w:t>
      </w:r>
      <w:r w:rsidRPr="00C30D9D">
        <w:t xml:space="preserve"> κυρίως </w:t>
      </w:r>
      <w:r>
        <w:t>λόγω</w:t>
      </w:r>
      <w:r w:rsidRPr="00C30D9D">
        <w:t xml:space="preserve"> της μείωσης των εσόδων από τα μερίσματα των </w:t>
      </w:r>
      <w:r w:rsidRPr="00E57156">
        <w:t xml:space="preserve">φορέων του Δημοσίου κατά </w:t>
      </w:r>
      <w:r>
        <w:t>90</w:t>
      </w:r>
      <w:r w:rsidRPr="00E57156">
        <w:t xml:space="preserve"> εκατ. ευρώ</w:t>
      </w:r>
      <w:r>
        <w:t xml:space="preserve"> περίπου.</w:t>
      </w:r>
    </w:p>
    <w:p w14:paraId="399E3A1B" w14:textId="77777777" w:rsidR="001B7BDD" w:rsidRPr="00EA26CE" w:rsidRDefault="001B7BDD" w:rsidP="001B7BDD">
      <w:pPr>
        <w:spacing w:before="240"/>
        <w:rPr>
          <w:rFonts w:cs="Arial"/>
          <w:b/>
          <w:szCs w:val="22"/>
        </w:rPr>
      </w:pPr>
      <w:r w:rsidRPr="00EA26CE">
        <w:rPr>
          <w:rFonts w:cs="Arial"/>
          <w:b/>
          <w:szCs w:val="22"/>
        </w:rPr>
        <w:t>Πωλήσεις παγίων περιουσιακών στοιχείων</w:t>
      </w:r>
    </w:p>
    <w:p w14:paraId="0627DF3A" w14:textId="2A044A3E" w:rsidR="001B7BDD" w:rsidRPr="00657BE1" w:rsidRDefault="00EA26CE" w:rsidP="00EB38BF">
      <w:pPr>
        <w:rPr>
          <w:highlight w:val="yellow"/>
        </w:rPr>
      </w:pPr>
      <w:r w:rsidRPr="00E57156">
        <w:t xml:space="preserve">Τα έσοδα από τις πωλήσεις παγίων περιουσιακών στοιχείων προβλέπεται να διαμορφωθούν σε </w:t>
      </w:r>
      <w:r>
        <w:t>1</w:t>
      </w:r>
      <w:r w:rsidRPr="00E57156">
        <w:t xml:space="preserve"> εκατ. ευρώ, </w:t>
      </w:r>
      <w:r>
        <w:t>χωρίς απόκλιση</w:t>
      </w:r>
      <w:r w:rsidRPr="00E57156">
        <w:t xml:space="preserve"> έναντι του 202</w:t>
      </w:r>
      <w:r>
        <w:t>6.</w:t>
      </w:r>
    </w:p>
    <w:p w14:paraId="42AB5723" w14:textId="77777777" w:rsidR="001B7BDD" w:rsidRPr="00EA26CE" w:rsidRDefault="001B7BDD" w:rsidP="00EA26CE">
      <w:pPr>
        <w:spacing w:before="240"/>
        <w:rPr>
          <w:rFonts w:cs="Arial"/>
          <w:b/>
          <w:szCs w:val="22"/>
        </w:rPr>
      </w:pPr>
      <w:r w:rsidRPr="00EA26CE">
        <w:rPr>
          <w:rFonts w:cs="Arial"/>
          <w:b/>
          <w:szCs w:val="22"/>
        </w:rPr>
        <w:t xml:space="preserve">Επιστροφές </w:t>
      </w:r>
      <w:r w:rsidR="00063047" w:rsidRPr="00EA26CE">
        <w:rPr>
          <w:rFonts w:cs="Arial"/>
          <w:b/>
          <w:szCs w:val="22"/>
        </w:rPr>
        <w:t>εσόδων</w:t>
      </w:r>
    </w:p>
    <w:p w14:paraId="423AB3DB" w14:textId="77A72F9E" w:rsidR="001B7BDD" w:rsidRPr="00EA26CE" w:rsidRDefault="00EA26CE" w:rsidP="006F42BE">
      <w:r w:rsidRPr="00E57156">
        <w:t xml:space="preserve">Οι επιστροφές αχρεωστήτως εισπραχθέντων εσόδων προβλέπεται να διαμορφωθούν στο ποσό των </w:t>
      </w:r>
      <w:r>
        <w:t>8.448</w:t>
      </w:r>
      <w:r w:rsidRPr="00E57156">
        <w:t xml:space="preserve"> εκατ. ευρώ, αυξημένες κατά </w:t>
      </w:r>
      <w:r>
        <w:t>14</w:t>
      </w:r>
      <w:r w:rsidRPr="00E57156">
        <w:t xml:space="preserve"> εκατ. ευρώ έναντι του 202</w:t>
      </w:r>
      <w:r>
        <w:t>6</w:t>
      </w:r>
      <w:r w:rsidRPr="00E57156">
        <w:t>.</w:t>
      </w:r>
      <w:r>
        <w:t xml:space="preserve"> </w:t>
      </w:r>
      <w:r>
        <w:rPr>
          <w:rFonts w:cs="Arial"/>
        </w:rPr>
        <w:t xml:space="preserve">Επισημαίνεται ότι στο έτος 2026 περιλαμβάνονται μη επαναλαμβανόμενες </w:t>
      </w:r>
      <w:r w:rsidR="006F5893">
        <w:rPr>
          <w:rFonts w:cs="Arial"/>
        </w:rPr>
        <w:t>(</w:t>
      </w:r>
      <w:r w:rsidR="006F5893">
        <w:rPr>
          <w:rFonts w:cs="Arial"/>
          <w:lang w:val="en-US"/>
        </w:rPr>
        <w:t>one</w:t>
      </w:r>
      <w:r w:rsidR="006F5893" w:rsidRPr="006C488F">
        <w:rPr>
          <w:rFonts w:cs="Arial"/>
        </w:rPr>
        <w:t xml:space="preserve"> -</w:t>
      </w:r>
      <w:r w:rsidR="006F5893">
        <w:rPr>
          <w:rFonts w:cs="Arial"/>
        </w:rPr>
        <w:t xml:space="preserve"> </w:t>
      </w:r>
      <w:r w:rsidR="006F5893">
        <w:rPr>
          <w:rFonts w:cs="Arial"/>
          <w:lang w:val="en-US"/>
        </w:rPr>
        <w:t>off</w:t>
      </w:r>
      <w:r w:rsidR="006F5893" w:rsidRPr="006C488F">
        <w:rPr>
          <w:rFonts w:cs="Arial"/>
        </w:rPr>
        <w:t>)</w:t>
      </w:r>
      <w:r w:rsidR="006F5893">
        <w:rPr>
          <w:rFonts w:cs="Arial"/>
        </w:rPr>
        <w:t xml:space="preserve"> </w:t>
      </w:r>
      <w:r>
        <w:rPr>
          <w:rFonts w:cs="Arial"/>
        </w:rPr>
        <w:t>επιστροφές εσόδων ΦΠΑ ύψους 306 εκατ. ευρώ από τη σύμβαση παραχώρησης της Εγνατίας Οδού.</w:t>
      </w:r>
    </w:p>
    <w:p w14:paraId="61129FBD" w14:textId="77777777" w:rsidR="001B7BDD" w:rsidRPr="00A44B0A" w:rsidRDefault="001B7BDD" w:rsidP="001B7BDD">
      <w:pPr>
        <w:spacing w:before="240"/>
        <w:rPr>
          <w:rFonts w:cs="Arial"/>
          <w:b/>
          <w:szCs w:val="22"/>
        </w:rPr>
      </w:pPr>
      <w:r w:rsidRPr="00A44B0A">
        <w:rPr>
          <w:rFonts w:cs="Arial"/>
          <w:b/>
          <w:szCs w:val="22"/>
        </w:rPr>
        <w:t>Πληροφοριακά στοιχεία</w:t>
      </w:r>
    </w:p>
    <w:p w14:paraId="228704EE" w14:textId="693AE449" w:rsidR="001B7BDD" w:rsidRPr="00A44B0A" w:rsidRDefault="001B7BDD" w:rsidP="001B7BDD">
      <w:pPr>
        <w:rPr>
          <w:rFonts w:cs="Arial"/>
          <w:b/>
          <w:i/>
          <w:szCs w:val="20"/>
        </w:rPr>
      </w:pPr>
      <w:r w:rsidRPr="00A44B0A">
        <w:rPr>
          <w:rFonts w:cs="Arial"/>
          <w:b/>
          <w:i/>
          <w:szCs w:val="20"/>
        </w:rPr>
        <w:t xml:space="preserve">Έσοδα </w:t>
      </w:r>
      <w:r w:rsidR="0093105C" w:rsidRPr="00A44B0A">
        <w:rPr>
          <w:rFonts w:cs="Arial"/>
          <w:b/>
          <w:i/>
          <w:szCs w:val="20"/>
        </w:rPr>
        <w:t>Π</w:t>
      </w:r>
      <w:r w:rsidR="00F20763" w:rsidRPr="00A44B0A">
        <w:rPr>
          <w:rFonts w:cs="Arial"/>
          <w:b/>
          <w:i/>
          <w:szCs w:val="20"/>
        </w:rPr>
        <w:t xml:space="preserve">ροϋπολογισμού </w:t>
      </w:r>
      <w:r w:rsidR="0093105C" w:rsidRPr="00A44B0A">
        <w:rPr>
          <w:rFonts w:cs="Arial"/>
          <w:b/>
          <w:i/>
          <w:szCs w:val="20"/>
        </w:rPr>
        <w:t>Δ</w:t>
      </w:r>
      <w:r w:rsidR="00F20763" w:rsidRPr="00A44B0A">
        <w:rPr>
          <w:rFonts w:cs="Arial"/>
          <w:b/>
          <w:i/>
          <w:szCs w:val="20"/>
        </w:rPr>
        <w:t xml:space="preserve">ημοσίων </w:t>
      </w:r>
      <w:r w:rsidR="0093105C" w:rsidRPr="00A44B0A">
        <w:rPr>
          <w:rFonts w:cs="Arial"/>
          <w:b/>
          <w:i/>
          <w:szCs w:val="20"/>
        </w:rPr>
        <w:t>Ε</w:t>
      </w:r>
      <w:r w:rsidR="00F20763" w:rsidRPr="00A44B0A">
        <w:rPr>
          <w:rFonts w:cs="Arial"/>
          <w:b/>
          <w:i/>
          <w:szCs w:val="20"/>
        </w:rPr>
        <w:t>πενδύσεων</w:t>
      </w:r>
    </w:p>
    <w:p w14:paraId="30D4EE30" w14:textId="338D29A2" w:rsidR="001B7BDD" w:rsidRPr="00657BE1" w:rsidRDefault="00EA26CE" w:rsidP="00EB38BF">
      <w:pPr>
        <w:rPr>
          <w:szCs w:val="20"/>
          <w:highlight w:val="yellow"/>
        </w:rPr>
      </w:pPr>
      <w:r w:rsidRPr="00E57156">
        <w:rPr>
          <w:szCs w:val="20"/>
        </w:rPr>
        <w:t xml:space="preserve">Τα έσοδα από τον </w:t>
      </w:r>
      <w:r w:rsidRPr="00E57156">
        <w:t xml:space="preserve">προϋπολογισμό δημοσίων επενδύσεων </w:t>
      </w:r>
      <w:r w:rsidRPr="00E57156">
        <w:rPr>
          <w:szCs w:val="20"/>
        </w:rPr>
        <w:t>περιλαμβάνονται στις κατηγορίες «Μεταβιβάσεις» και «Λοιπά τρέχοντα έσοδα» και αναμένεται να ανέλθουν, προσαρμοσμένα κατά ESA, στο ύψος των 4.</w:t>
      </w:r>
      <w:r>
        <w:rPr>
          <w:szCs w:val="20"/>
        </w:rPr>
        <w:t>904</w:t>
      </w:r>
      <w:r w:rsidRPr="00E57156">
        <w:rPr>
          <w:szCs w:val="20"/>
        </w:rPr>
        <w:t xml:space="preserve"> εκατ. ευρώ, παρουσιάζοντας αύξηση κατά </w:t>
      </w:r>
      <w:r>
        <w:rPr>
          <w:szCs w:val="20"/>
        </w:rPr>
        <w:t>554</w:t>
      </w:r>
      <w:r w:rsidRPr="00E57156">
        <w:rPr>
          <w:szCs w:val="20"/>
        </w:rPr>
        <w:t xml:space="preserve"> εκατ. ευρώ έναντι του 202</w:t>
      </w:r>
      <w:r>
        <w:rPr>
          <w:szCs w:val="20"/>
        </w:rPr>
        <w:t>6</w:t>
      </w:r>
      <w:r w:rsidRPr="00E57156">
        <w:rPr>
          <w:szCs w:val="20"/>
        </w:rPr>
        <w:t>.</w:t>
      </w:r>
    </w:p>
    <w:p w14:paraId="73C2651A" w14:textId="77777777" w:rsidR="001B7BDD" w:rsidRPr="00A44B0A" w:rsidRDefault="001B7BDD" w:rsidP="001B7BDD">
      <w:pPr>
        <w:rPr>
          <w:rFonts w:cs="Arial"/>
          <w:b/>
          <w:i/>
          <w:szCs w:val="20"/>
        </w:rPr>
      </w:pPr>
      <w:r w:rsidRPr="00A44B0A">
        <w:rPr>
          <w:rFonts w:cs="Arial"/>
          <w:b/>
          <w:i/>
          <w:szCs w:val="20"/>
        </w:rPr>
        <w:t>Έσοδα Τ</w:t>
      </w:r>
      <w:r w:rsidR="00D26BFE" w:rsidRPr="00A44B0A">
        <w:rPr>
          <w:rFonts w:cs="Arial"/>
          <w:b/>
          <w:i/>
          <w:szCs w:val="20"/>
        </w:rPr>
        <w:t>ΑΑ</w:t>
      </w:r>
    </w:p>
    <w:p w14:paraId="03AD8318" w14:textId="5AE8F8DE" w:rsidR="001B7BDD" w:rsidRPr="00EC38CA" w:rsidRDefault="00A44B0A" w:rsidP="00EB38BF">
      <w:r w:rsidRPr="00E57156">
        <w:t>Στην κατηγορία «Μεταβιβάσεις» περιλαμβάνονται έσοδα από το ΤΑΑ, προσαρμοσμένα κατά ESA</w:t>
      </w:r>
      <w:r>
        <w:t xml:space="preserve"> (δαπάνες μείον έσοδα ΦΠΑ)</w:t>
      </w:r>
      <w:r w:rsidRPr="00E57156">
        <w:t xml:space="preserve">, </w:t>
      </w:r>
      <w:r>
        <w:t>ποσού</w:t>
      </w:r>
      <w:r w:rsidRPr="00E57156">
        <w:t xml:space="preserve"> </w:t>
      </w:r>
      <w:r>
        <w:t>-168</w:t>
      </w:r>
      <w:r w:rsidRPr="00E57156">
        <w:t xml:space="preserve"> εκατ. ευρώ, </w:t>
      </w:r>
      <w:r>
        <w:t>μειω</w:t>
      </w:r>
      <w:r w:rsidRPr="00E57156">
        <w:t xml:space="preserve">μένα κατά </w:t>
      </w:r>
      <w:r>
        <w:t>6.281</w:t>
      </w:r>
      <w:r w:rsidRPr="00E57156">
        <w:t xml:space="preserve"> εκατ. ευρώ έναντι του 202</w:t>
      </w:r>
      <w:r>
        <w:t xml:space="preserve">6 λόγω της λήξης του </w:t>
      </w:r>
      <w:r w:rsidR="00D614DA">
        <w:t>π</w:t>
      </w:r>
      <w:r>
        <w:t>ρογράμματος.</w:t>
      </w:r>
    </w:p>
    <w:p w14:paraId="328AF1E2" w14:textId="77777777" w:rsidR="00847E05" w:rsidRPr="00657BE1" w:rsidRDefault="00847E05" w:rsidP="00DC6F26">
      <w:pPr>
        <w:pStyle w:val="5"/>
        <w:keepNext w:val="0"/>
        <w:numPr>
          <w:ilvl w:val="0"/>
          <w:numId w:val="0"/>
        </w:numPr>
        <w:spacing w:before="360" w:after="240"/>
        <w:rPr>
          <w:bCs/>
          <w:sz w:val="22"/>
        </w:rPr>
      </w:pPr>
      <w:bookmarkStart w:id="232" w:name="_Toc242019549"/>
      <w:r w:rsidRPr="00657BE1">
        <w:rPr>
          <w:bCs/>
          <w:sz w:val="22"/>
        </w:rPr>
        <w:t>Δαπάνες</w:t>
      </w:r>
      <w:r w:rsidR="00F06718" w:rsidRPr="00657BE1">
        <w:rPr>
          <w:bCs/>
          <w:sz w:val="22"/>
          <w:lang w:val="el-GR"/>
        </w:rPr>
        <w:t xml:space="preserve"> </w:t>
      </w:r>
      <w:r w:rsidRPr="00657BE1">
        <w:rPr>
          <w:bCs/>
          <w:sz w:val="22"/>
        </w:rPr>
        <w:t>- Ανάλυση σε δημοσιονομική βάση</w:t>
      </w:r>
      <w:bookmarkEnd w:id="232"/>
    </w:p>
    <w:p w14:paraId="176E2D7E" w14:textId="768D9FF1" w:rsidR="002674A3" w:rsidRPr="009C5B42" w:rsidRDefault="009C5B42" w:rsidP="00A408DA">
      <w:bookmarkStart w:id="233" w:name="_Toc114142030"/>
      <w:r w:rsidRPr="006F4EA0">
        <w:t>Οι συνολικές δαπάνες του κρατικού προϋπολογισμού για το έτος 202</w:t>
      </w:r>
      <w:r>
        <w:t>7</w:t>
      </w:r>
      <w:r w:rsidRPr="006F4EA0">
        <w:t xml:space="preserve"> προβλέπεται ότι θα διαμορφωθούν σε </w:t>
      </w:r>
      <w:r>
        <w:t>85</w:t>
      </w:r>
      <w:r w:rsidRPr="00BA5EB0">
        <w:t>.</w:t>
      </w:r>
      <w:r>
        <w:t>046</w:t>
      </w:r>
      <w:r w:rsidRPr="00BA5EB0">
        <w:t xml:space="preserve"> εκατ</w:t>
      </w:r>
      <w:r w:rsidRPr="009D075D">
        <w:t xml:space="preserve">. ευρώ, </w:t>
      </w:r>
      <w:r>
        <w:t xml:space="preserve">μειωμένες </w:t>
      </w:r>
      <w:r w:rsidRPr="009D075D">
        <w:t xml:space="preserve">κατά </w:t>
      </w:r>
      <w:r>
        <w:t>2</w:t>
      </w:r>
      <w:r w:rsidRPr="009D075D">
        <w:t>.</w:t>
      </w:r>
      <w:r>
        <w:t>925</w:t>
      </w:r>
      <w:r w:rsidRPr="009D075D">
        <w:t xml:space="preserve"> εκατ. ευρώ </w:t>
      </w:r>
      <w:r w:rsidR="00975A3D">
        <w:t>έναντι</w:t>
      </w:r>
      <w:r w:rsidRPr="009D075D">
        <w:t xml:space="preserve"> τη</w:t>
      </w:r>
      <w:r w:rsidR="00CF4E57">
        <w:t>ς</w:t>
      </w:r>
      <w:r w:rsidRPr="009D075D">
        <w:t xml:space="preserve"> αντίστοιχη</w:t>
      </w:r>
      <w:r w:rsidR="00CF4E57">
        <w:t>ς</w:t>
      </w:r>
      <w:r w:rsidRPr="009D075D">
        <w:t xml:space="preserve"> εκτίμηση</w:t>
      </w:r>
      <w:r w:rsidR="00CF4E57">
        <w:t>ς</w:t>
      </w:r>
      <w:r w:rsidRPr="009D075D">
        <w:t xml:space="preserve"> </w:t>
      </w:r>
      <w:r w:rsidR="00CF4E57">
        <w:t xml:space="preserve">του </w:t>
      </w:r>
      <w:r w:rsidRPr="009D075D">
        <w:t xml:space="preserve">έτους 2026. Η εν λόγω </w:t>
      </w:r>
      <w:r>
        <w:t>μείωση</w:t>
      </w:r>
      <w:r w:rsidRPr="009D075D">
        <w:t xml:space="preserve"> οφείλεται κυρίως στην </w:t>
      </w:r>
      <w:r w:rsidR="00AB66D1">
        <w:t>ολοκλήρωση</w:t>
      </w:r>
      <w:r w:rsidRPr="009D075D">
        <w:t xml:space="preserve"> των έργων που χρηματοδοτούνται από το ΤΑΑ</w:t>
      </w:r>
      <w:r>
        <w:t xml:space="preserve"> εντός του 2026</w:t>
      </w:r>
      <w:r w:rsidRPr="009D075D">
        <w:t xml:space="preserve"> λόγω </w:t>
      </w:r>
      <w:r w:rsidR="00CF4E57">
        <w:t xml:space="preserve">της </w:t>
      </w:r>
      <w:r w:rsidRPr="009D075D">
        <w:t>λήξης του προγράμματος</w:t>
      </w:r>
      <w:r>
        <w:t xml:space="preserve">. </w:t>
      </w:r>
      <w:r w:rsidR="008E0FAF">
        <w:t>Στον προϋπολογισμό έχει ενσωματωθεί</w:t>
      </w:r>
      <w:r>
        <w:t xml:space="preserve"> αυξημένη πρόβλεψη </w:t>
      </w:r>
      <w:r w:rsidR="008E0FAF">
        <w:t xml:space="preserve">για δαπάνες </w:t>
      </w:r>
      <w:r>
        <w:t>ύψους 200 εκατ. ευρώ</w:t>
      </w:r>
      <w:r w:rsidR="00FE0676">
        <w:t xml:space="preserve"> προς κάλυψη αναγκών που ενδέχεται να ανακύψουν συνεπεία των επιπτώσεων</w:t>
      </w:r>
      <w:r>
        <w:t xml:space="preserve"> της ενεργειακής κρίσης.</w:t>
      </w:r>
    </w:p>
    <w:p w14:paraId="78D3EBB3" w14:textId="77777777" w:rsidR="008E19DF" w:rsidRPr="009C5B42" w:rsidRDefault="008E19DF" w:rsidP="00614C06">
      <w:pPr>
        <w:spacing w:before="240"/>
        <w:rPr>
          <w:rFonts w:cs="Arial"/>
          <w:b/>
          <w:szCs w:val="22"/>
        </w:rPr>
      </w:pPr>
      <w:r w:rsidRPr="009C5B42">
        <w:rPr>
          <w:rFonts w:cs="Arial"/>
          <w:b/>
          <w:szCs w:val="22"/>
        </w:rPr>
        <w:t>Παροχές σε εργαζόμενους</w:t>
      </w:r>
    </w:p>
    <w:p w14:paraId="7D57FF43" w14:textId="5BC7C20C" w:rsidR="00E613A7" w:rsidRDefault="009C5B42" w:rsidP="009C5B42">
      <w:r w:rsidRPr="0072407F">
        <w:t>Οι δαπάνες της κατηγορίας αυτής προβλέπεται να ανέλθουν στο ποσό των</w:t>
      </w:r>
      <w:r>
        <w:t xml:space="preserve"> 16.061 </w:t>
      </w:r>
      <w:r w:rsidRPr="00E62B10">
        <w:t xml:space="preserve">εκατ. </w:t>
      </w:r>
      <w:r w:rsidRPr="004848C5">
        <w:t xml:space="preserve">ευρώ, μειωμένες κατά </w:t>
      </w:r>
      <w:r w:rsidRPr="00E62B10">
        <w:t>1</w:t>
      </w:r>
      <w:r>
        <w:t>33</w:t>
      </w:r>
      <w:r w:rsidRPr="004848C5">
        <w:t xml:space="preserve"> εκατ. ευρώ σ</w:t>
      </w:r>
      <w:r w:rsidRPr="0072407F">
        <w:t xml:space="preserve">ε </w:t>
      </w:r>
      <w:r w:rsidR="00991759">
        <w:t>σύγκριση</w:t>
      </w:r>
      <w:r w:rsidRPr="0072407F">
        <w:t xml:space="preserve"> με την εκτίμησ</w:t>
      </w:r>
      <w:r w:rsidRPr="004848C5">
        <w:t>η έτους 2026, χωρίς να συνυπολογίζονται οι δαπάνες των νέων προσλήψεων, των προβλεπόμενων αυξήσεων των μισθών από τον Απρίλιο 2027</w:t>
      </w:r>
      <w:r w:rsidR="002D0C5D">
        <w:t xml:space="preserve"> και της </w:t>
      </w:r>
      <w:r w:rsidR="002D0C5D" w:rsidRPr="008C477E">
        <w:t xml:space="preserve">θέσπισης </w:t>
      </w:r>
      <w:r w:rsidRPr="008C477E">
        <w:t>του</w:t>
      </w:r>
      <w:r w:rsidRPr="004848C5">
        <w:t xml:space="preserve"> επιδόματος εορτών Χριστουγέννων ύψους 500</w:t>
      </w:r>
      <w:r>
        <w:t xml:space="preserve"> ευρώ</w:t>
      </w:r>
      <w:r w:rsidRPr="004848C5">
        <w:t xml:space="preserve"> </w:t>
      </w:r>
      <w:r w:rsidR="00C34B9F">
        <w:t xml:space="preserve">για </w:t>
      </w:r>
      <w:r w:rsidRPr="004848C5">
        <w:t xml:space="preserve">τους </w:t>
      </w:r>
      <w:r w:rsidR="007D1B4D">
        <w:t xml:space="preserve">δημοσίους </w:t>
      </w:r>
      <w:r w:rsidRPr="008C477E">
        <w:t xml:space="preserve">υπαλλήλους </w:t>
      </w:r>
      <w:r w:rsidR="0080220E" w:rsidRPr="008C477E">
        <w:t xml:space="preserve">και λειτουργούς </w:t>
      </w:r>
      <w:r w:rsidRPr="008C477E">
        <w:t>καθώς</w:t>
      </w:r>
      <w:r w:rsidRPr="004848C5">
        <w:t xml:space="preserve"> και</w:t>
      </w:r>
      <w:r>
        <w:t xml:space="preserve"> λοιπ</w:t>
      </w:r>
      <w:r w:rsidR="002D0C5D">
        <w:t>ές</w:t>
      </w:r>
      <w:r>
        <w:t xml:space="preserve"> μισθολογικ</w:t>
      </w:r>
      <w:r w:rsidR="002D0C5D">
        <w:t>ές</w:t>
      </w:r>
      <w:r>
        <w:t xml:space="preserve"> δαπ</w:t>
      </w:r>
      <w:r w:rsidR="002D0C5D">
        <w:t>άνες</w:t>
      </w:r>
      <w:r w:rsidRPr="0072407F">
        <w:t xml:space="preserve">, οι οποίες περιλαμβάνονται σε υπό κατανομή πιστώσεις, με συνολικό προβλεπόμενο ύψος </w:t>
      </w:r>
      <w:r w:rsidRPr="00E62B10">
        <w:t>1.094</w:t>
      </w:r>
      <w:r w:rsidRPr="0072407F">
        <w:t xml:space="preserve"> εκατ. ευρώ. </w:t>
      </w:r>
      <w:r>
        <w:t>Ως εκ τούτου</w:t>
      </w:r>
      <w:r w:rsidR="00991759">
        <w:t>,</w:t>
      </w:r>
      <w:r>
        <w:t xml:space="preserve"> η μισθολογική δαπάνη </w:t>
      </w:r>
      <w:r w:rsidR="00E613A7">
        <w:t xml:space="preserve">για </w:t>
      </w:r>
      <w:r>
        <w:t xml:space="preserve">το έτος 2027 </w:t>
      </w:r>
      <w:r w:rsidR="00E613A7">
        <w:t xml:space="preserve">προβλέπεται να </w:t>
      </w:r>
      <w:r>
        <w:t>είναι αυξημένη κατά 961 εκατ. ευρώ.</w:t>
      </w:r>
    </w:p>
    <w:p w14:paraId="75062351" w14:textId="5A39FAD1" w:rsidR="00AB6CC8" w:rsidRPr="009C5B42" w:rsidRDefault="009C5B42" w:rsidP="009C5B42">
      <w:r w:rsidRPr="0072407F">
        <w:t>Επισημαίνεται ότι κατά την κατάρτιση του προϋπολογισμού οι δαπάνες για νέες προσλήψεις προβλέπονται αρχικά στην κατηγορία «Πιστώσεις υπό κατανομή» και διατίθενται σταδιακά για τις δαπάνες των παροχών σε εργαζόμενους των φορέων της Κεντρικής Διοίκησης κατά την εκτέλεση του προϋπολογισμού, με βάση την υλοποίηση των προσλήψεων σε αυτούς.</w:t>
      </w:r>
    </w:p>
    <w:p w14:paraId="0785CCD8" w14:textId="5A4CAE67" w:rsidR="008E19DF" w:rsidRPr="00E01421" w:rsidRDefault="008E19DF" w:rsidP="00A408DA">
      <w:pPr>
        <w:spacing w:before="240"/>
        <w:rPr>
          <w:rFonts w:cs="Arial"/>
          <w:b/>
          <w:szCs w:val="22"/>
        </w:rPr>
      </w:pPr>
      <w:r w:rsidRPr="00E01421">
        <w:rPr>
          <w:rFonts w:cs="Arial"/>
          <w:b/>
          <w:szCs w:val="22"/>
        </w:rPr>
        <w:t xml:space="preserve">Κοινωνικές </w:t>
      </w:r>
      <w:r w:rsidR="00882A48" w:rsidRPr="00E01421">
        <w:rPr>
          <w:rFonts w:cs="Arial"/>
          <w:b/>
          <w:szCs w:val="22"/>
        </w:rPr>
        <w:t>π</w:t>
      </w:r>
      <w:r w:rsidRPr="00E01421">
        <w:rPr>
          <w:rFonts w:cs="Arial"/>
          <w:b/>
          <w:szCs w:val="22"/>
        </w:rPr>
        <w:t>αροχές</w:t>
      </w:r>
    </w:p>
    <w:p w14:paraId="33103C08" w14:textId="36A3843B" w:rsidR="002674A3" w:rsidRPr="00E01421" w:rsidRDefault="009C5B42" w:rsidP="006F21B6">
      <w:r w:rsidRPr="006F4EA0">
        <w:t xml:space="preserve">Οι δαπάνες της κατηγορίας αυτής προβλέπεται ότι θα ανέλθουν σε </w:t>
      </w:r>
      <w:r>
        <w:t>756</w:t>
      </w:r>
      <w:r w:rsidRPr="006F4EA0">
        <w:t xml:space="preserve"> εκατ. ευρώ, αυξημένες κατά </w:t>
      </w:r>
      <w:r>
        <w:t>148</w:t>
      </w:r>
      <w:r w:rsidRPr="006F4EA0">
        <w:t xml:space="preserve"> εκατ. ευρώ </w:t>
      </w:r>
      <w:r w:rsidR="00223722">
        <w:t>έναντι του</w:t>
      </w:r>
      <w:r w:rsidRPr="006F4EA0">
        <w:t xml:space="preserve"> 202</w:t>
      </w:r>
      <w:r>
        <w:t>6</w:t>
      </w:r>
      <w:r w:rsidRPr="006F4EA0">
        <w:t>.</w:t>
      </w:r>
      <w:r w:rsidRPr="00E857EE">
        <w:t xml:space="preserve"> Η μεταβολή </w:t>
      </w:r>
      <w:r>
        <w:t xml:space="preserve">οφείλεται κυρίως στην </w:t>
      </w:r>
      <w:r w:rsidR="00223722">
        <w:t>ενσωμάτωση</w:t>
      </w:r>
      <w:r>
        <w:t xml:space="preserve"> εντός της μείζονος κατηγορίας των </w:t>
      </w:r>
      <w:r>
        <w:rPr>
          <w:lang w:val="en-US"/>
        </w:rPr>
        <w:t>vouchers</w:t>
      </w:r>
      <w:r w:rsidRPr="00E44045">
        <w:t xml:space="preserve"> </w:t>
      </w:r>
      <w:r>
        <w:t>για βρεφονηπιακούς σταθμούς</w:t>
      </w:r>
      <w:r w:rsidRPr="00E44045">
        <w:t xml:space="preserve"> </w:t>
      </w:r>
      <w:r>
        <w:t>και για κ</w:t>
      </w:r>
      <w:r w:rsidRPr="00E44045">
        <w:t xml:space="preserve">έντρα </w:t>
      </w:r>
      <w:r>
        <w:t>δ</w:t>
      </w:r>
      <w:r w:rsidRPr="00E44045">
        <w:t xml:space="preserve">ημιουργικής </w:t>
      </w:r>
      <w:r>
        <w:t>α</w:t>
      </w:r>
      <w:r w:rsidRPr="00E44045">
        <w:t>πασχόλησης</w:t>
      </w:r>
      <w:r>
        <w:t>.</w:t>
      </w:r>
    </w:p>
    <w:p w14:paraId="10DBD647" w14:textId="77777777" w:rsidR="008E19DF" w:rsidRPr="00DE3803" w:rsidRDefault="008E19DF" w:rsidP="004E7D05">
      <w:pPr>
        <w:spacing w:before="240"/>
        <w:rPr>
          <w:rFonts w:cs="Arial"/>
          <w:b/>
          <w:szCs w:val="22"/>
        </w:rPr>
      </w:pPr>
      <w:r w:rsidRPr="00DE3803">
        <w:rPr>
          <w:rFonts w:cs="Arial"/>
          <w:b/>
          <w:szCs w:val="22"/>
        </w:rPr>
        <w:t>Μεταβιβάσεις</w:t>
      </w:r>
    </w:p>
    <w:p w14:paraId="5CB80D53" w14:textId="1DC61C9E" w:rsidR="008E19DF" w:rsidRPr="00DE3803" w:rsidRDefault="00E01421" w:rsidP="002674A3">
      <w:r w:rsidRPr="006F4EA0">
        <w:t xml:space="preserve">Οι δαπάνες για τις μεταβιβάσεις σε φορείς εντός και εκτός </w:t>
      </w:r>
      <w:r w:rsidR="00223722">
        <w:t xml:space="preserve">της </w:t>
      </w:r>
      <w:r w:rsidRPr="006F4EA0">
        <w:t xml:space="preserve">Γενικής Κυβέρνησης προβλέπεται ότι θα διαμορφωθούν στο ποσό των </w:t>
      </w:r>
      <w:r>
        <w:t>37.088</w:t>
      </w:r>
      <w:r w:rsidRPr="006F4EA0">
        <w:t xml:space="preserve"> εκατ. ευρώ, αυξημένες </w:t>
      </w:r>
      <w:r w:rsidRPr="00AD605A">
        <w:t xml:space="preserve">κατά </w:t>
      </w:r>
      <w:r>
        <w:t>715</w:t>
      </w:r>
      <w:r w:rsidRPr="00AD605A">
        <w:t xml:space="preserve"> εκατ. ευρώ</w:t>
      </w:r>
      <w:r w:rsidRPr="006F4EA0">
        <w:t xml:space="preserve"> έναντι της εκτίμησης του 202</w:t>
      </w:r>
      <w:r>
        <w:t>6</w:t>
      </w:r>
      <w:r w:rsidRPr="006F4EA0">
        <w:t xml:space="preserve"> εξαιτίας κυρίως </w:t>
      </w:r>
      <w:r w:rsidRPr="00AD605A">
        <w:t>των αυξημένων προβλέψεων αποδόσεων προς την ΕΕ κατά 574 εκατ</w:t>
      </w:r>
      <w:r w:rsidRPr="006F4EA0">
        <w:t>. ευρώ. Αναλυτικότερα, στην εν λόγω μείζονα κατηγορία οι συνολικές προβλέψεις μεταβιβάσεων προς τα νοσοκομεία</w:t>
      </w:r>
      <w:r w:rsidR="00223722">
        <w:t xml:space="preserve"> και</w:t>
      </w:r>
      <w:r w:rsidRPr="006F4EA0">
        <w:t xml:space="preserve"> τις Υγειονομικές Περιφέρειες - Πρωτοβάθμιο Εθνικό Δίκτυο Υγείας (</w:t>
      </w:r>
      <w:r w:rsidRPr="00A34784">
        <w:t>ΥΠΕ - ΠΕΔΥ) ανέρχονται σε 1.623 εκατ. ευρώ</w:t>
      </w:r>
      <w:r w:rsidR="004A3133">
        <w:t>, προς την ΕΚΑΠΥ σε 981 εκατ. ευρώ</w:t>
      </w:r>
      <w:r w:rsidRPr="00A34784">
        <w:t>, προς τους ΟΤΑ σε 3.</w:t>
      </w:r>
      <w:r>
        <w:t>582</w:t>
      </w:r>
      <w:r w:rsidRPr="00A34784">
        <w:t xml:space="preserve"> εκατ. ευρώ</w:t>
      </w:r>
      <w:r w:rsidR="00223722">
        <w:t xml:space="preserve"> και</w:t>
      </w:r>
      <w:r w:rsidRPr="00A34784">
        <w:t xml:space="preserve"> προς τους ΟΚΑ σε 23.429 εκατ.</w:t>
      </w:r>
      <w:r w:rsidRPr="006F4EA0">
        <w:t xml:space="preserve"> ευρώ</w:t>
      </w:r>
      <w:r w:rsidR="00223722">
        <w:t>,</w:t>
      </w:r>
      <w:r w:rsidRPr="006F4EA0">
        <w:t xml:space="preserve"> </w:t>
      </w:r>
      <w:r w:rsidR="00223722">
        <w:t xml:space="preserve">ενώ </w:t>
      </w:r>
      <w:r w:rsidRPr="006F4EA0">
        <w:t xml:space="preserve">οι αποδόσεις προς την ΕΕ ανέρχονται σε </w:t>
      </w:r>
      <w:r>
        <w:t>3.609</w:t>
      </w:r>
      <w:r w:rsidRPr="006F4EA0">
        <w:t xml:space="preserve"> εκατ. ευρώ.</w:t>
      </w:r>
    </w:p>
    <w:p w14:paraId="1BE41773" w14:textId="792E7C6D" w:rsidR="008E19DF" w:rsidRPr="00DE3803" w:rsidRDefault="008E19DF" w:rsidP="00A408DA">
      <w:pPr>
        <w:spacing w:before="240"/>
        <w:rPr>
          <w:rFonts w:cs="Arial"/>
          <w:b/>
          <w:szCs w:val="22"/>
        </w:rPr>
      </w:pPr>
      <w:r w:rsidRPr="00DE3803">
        <w:rPr>
          <w:rFonts w:cs="Arial"/>
          <w:b/>
          <w:szCs w:val="22"/>
        </w:rPr>
        <w:t>Αγορές αγαθών</w:t>
      </w:r>
      <w:r w:rsidR="00DE3803" w:rsidRPr="00DE3803">
        <w:rPr>
          <w:rFonts w:cs="Arial"/>
          <w:b/>
          <w:szCs w:val="22"/>
        </w:rPr>
        <w:t>,</w:t>
      </w:r>
      <w:r w:rsidRPr="00DE3803">
        <w:rPr>
          <w:rFonts w:cs="Arial"/>
          <w:b/>
          <w:szCs w:val="22"/>
        </w:rPr>
        <w:t xml:space="preserve"> υπηρεσιών</w:t>
      </w:r>
      <w:r w:rsidR="00DE3803" w:rsidRPr="00DE3803">
        <w:rPr>
          <w:rFonts w:cs="Arial"/>
          <w:b/>
          <w:szCs w:val="22"/>
        </w:rPr>
        <w:t xml:space="preserve"> και αποθεμάτων</w:t>
      </w:r>
    </w:p>
    <w:p w14:paraId="186458A4" w14:textId="5F75E9F8" w:rsidR="002674A3" w:rsidRPr="00DE3803" w:rsidRDefault="00DE3803" w:rsidP="00DE3803">
      <w:r w:rsidRPr="006F4EA0">
        <w:t xml:space="preserve">Η προβλεπόμενη δαπάνη ανέρχεται σε </w:t>
      </w:r>
      <w:r>
        <w:t>2.194</w:t>
      </w:r>
      <w:r w:rsidRPr="006F4EA0">
        <w:t xml:space="preserve"> εκατ. ευρώ, </w:t>
      </w:r>
      <w:r>
        <w:t>μειωμένη</w:t>
      </w:r>
      <w:r w:rsidRPr="00DB5ED5">
        <w:t xml:space="preserve"> κατά </w:t>
      </w:r>
      <w:r>
        <w:t>190</w:t>
      </w:r>
      <w:r w:rsidRPr="00DB5ED5">
        <w:t xml:space="preserve"> εκατ. ευρώ</w:t>
      </w:r>
      <w:r w:rsidRPr="006F4EA0">
        <w:t xml:space="preserve"> σε </w:t>
      </w:r>
      <w:r w:rsidR="00FA6FD2">
        <w:t>σύγκριση</w:t>
      </w:r>
      <w:r w:rsidRPr="006F4EA0">
        <w:t xml:space="preserve"> με την αντίστοιχη</w:t>
      </w:r>
      <w:r>
        <w:t xml:space="preserve"> περ</w:t>
      </w:r>
      <w:r w:rsidR="00A25454">
        <w:t>υ</w:t>
      </w:r>
      <w:r>
        <w:t>σινή</w:t>
      </w:r>
      <w:r w:rsidRPr="006F4EA0">
        <w:t xml:space="preserve"> εκτίμηση </w:t>
      </w:r>
      <w:r>
        <w:t>κυρίως λόγω των αυξημένων δαπανών ενέργειας του</w:t>
      </w:r>
      <w:r w:rsidRPr="00E10029">
        <w:t xml:space="preserve"> </w:t>
      </w:r>
      <w:r w:rsidRPr="006F4EA0">
        <w:t>έτους 202</w:t>
      </w:r>
      <w:r>
        <w:t>6</w:t>
      </w:r>
      <w:r w:rsidRPr="006F4EA0">
        <w:t>.</w:t>
      </w:r>
    </w:p>
    <w:p w14:paraId="5CA95874" w14:textId="77777777" w:rsidR="008E19DF" w:rsidRPr="00DE3803" w:rsidRDefault="008E19DF" w:rsidP="00A408DA">
      <w:pPr>
        <w:spacing w:before="240"/>
        <w:rPr>
          <w:rFonts w:cs="Arial"/>
          <w:b/>
          <w:szCs w:val="22"/>
        </w:rPr>
      </w:pPr>
      <w:r w:rsidRPr="00DE3803">
        <w:rPr>
          <w:rFonts w:cs="Arial"/>
          <w:b/>
          <w:szCs w:val="22"/>
        </w:rPr>
        <w:t>Επιδοτήσεις</w:t>
      </w:r>
    </w:p>
    <w:p w14:paraId="1D3A2D7A" w14:textId="081C7899" w:rsidR="005B27B3" w:rsidRPr="00DE3803" w:rsidRDefault="00DE3803" w:rsidP="001C7D73">
      <w:pPr>
        <w:rPr>
          <w:rFonts w:cs="Arial"/>
          <w:szCs w:val="22"/>
        </w:rPr>
      </w:pPr>
      <w:r w:rsidRPr="005D3343">
        <w:t xml:space="preserve">Η δαπάνη προβλέπεται </w:t>
      </w:r>
      <w:r w:rsidRPr="001C7D73">
        <w:t>να ανέλθει σε 81 εκατ. ευρώ, μειωμένη</w:t>
      </w:r>
      <w:r w:rsidRPr="005D3343">
        <w:t xml:space="preserve"> κατά </w:t>
      </w:r>
      <w:r w:rsidRPr="001C7D73">
        <w:rPr>
          <w:bCs/>
        </w:rPr>
        <w:t>216 εκατ</w:t>
      </w:r>
      <w:r w:rsidRPr="005D3343">
        <w:rPr>
          <w:rStyle w:val="af8"/>
          <w:b w:val="0"/>
        </w:rPr>
        <w:t xml:space="preserve">. ευρώ </w:t>
      </w:r>
      <w:r w:rsidR="00A25454">
        <w:rPr>
          <w:rStyle w:val="af8"/>
          <w:b w:val="0"/>
        </w:rPr>
        <w:t xml:space="preserve">έναντι του </w:t>
      </w:r>
      <w:r w:rsidRPr="005D3343">
        <w:rPr>
          <w:rStyle w:val="af8"/>
          <w:b w:val="0"/>
        </w:rPr>
        <w:t>2026</w:t>
      </w:r>
      <w:r w:rsidRPr="005D3343">
        <w:t>. Η σημαντική</w:t>
      </w:r>
      <w:r>
        <w:t xml:space="preserve"> αυτή</w:t>
      </w:r>
      <w:r w:rsidRPr="005D3343">
        <w:t xml:space="preserve"> μείωση της δαπάνης οφείλεται κυρίως στις </w:t>
      </w:r>
      <w:r w:rsidRPr="005D3343">
        <w:rPr>
          <w:rStyle w:val="af8"/>
          <w:b w:val="0"/>
        </w:rPr>
        <w:t xml:space="preserve">έκτακτες ανάγκες που </w:t>
      </w:r>
      <w:r w:rsidR="00A25454">
        <w:rPr>
          <w:rStyle w:val="af8"/>
          <w:b w:val="0"/>
        </w:rPr>
        <w:t>ανέκ</w:t>
      </w:r>
      <w:r w:rsidRPr="005D3343">
        <w:rPr>
          <w:rStyle w:val="af8"/>
          <w:b w:val="0"/>
        </w:rPr>
        <w:t>υψαν λόγω της αύξησης του ενεργειακού κόστους και οδήγησαν στη χορήγηση επιδότησης</w:t>
      </w:r>
      <w:r>
        <w:rPr>
          <w:rStyle w:val="af8"/>
          <w:b w:val="0"/>
        </w:rPr>
        <w:t xml:space="preserve"> </w:t>
      </w:r>
      <w:r w:rsidR="00BC4D3E">
        <w:rPr>
          <w:rStyle w:val="af8"/>
          <w:b w:val="0"/>
        </w:rPr>
        <w:t xml:space="preserve">της </w:t>
      </w:r>
      <w:r>
        <w:rPr>
          <w:rStyle w:val="af8"/>
          <w:b w:val="0"/>
        </w:rPr>
        <w:t>τιμής</w:t>
      </w:r>
      <w:r w:rsidRPr="005D3343">
        <w:rPr>
          <w:rStyle w:val="af8"/>
          <w:b w:val="0"/>
        </w:rPr>
        <w:t xml:space="preserve"> για το πετρέλαιο κίνησης (diesel)</w:t>
      </w:r>
      <w:r>
        <w:rPr>
          <w:rStyle w:val="af8"/>
          <w:b w:val="0"/>
        </w:rPr>
        <w:t xml:space="preserve"> εντός του 2026</w:t>
      </w:r>
      <w:r w:rsidRPr="002079B1">
        <w:t>.</w:t>
      </w:r>
    </w:p>
    <w:p w14:paraId="62F49DCD" w14:textId="77777777" w:rsidR="008E19DF" w:rsidRPr="00816F36" w:rsidRDefault="008E19DF" w:rsidP="00DC6F26">
      <w:pPr>
        <w:spacing w:before="240"/>
        <w:rPr>
          <w:rFonts w:cs="Arial"/>
          <w:b/>
          <w:szCs w:val="22"/>
        </w:rPr>
      </w:pPr>
      <w:r w:rsidRPr="00816F36">
        <w:rPr>
          <w:rFonts w:cs="Arial"/>
          <w:b/>
          <w:szCs w:val="22"/>
        </w:rPr>
        <w:t>Τόκοι (σε ακαθάριστη βάση)</w:t>
      </w:r>
    </w:p>
    <w:p w14:paraId="5D569B9C" w14:textId="18D7A9DD" w:rsidR="004D3E80" w:rsidRPr="00816F36" w:rsidRDefault="00816F36" w:rsidP="004D3E80">
      <w:r w:rsidRPr="006F4EA0">
        <w:t xml:space="preserve">Η πρόβλεψη για τις δαπάνες τόκων σε ακαθάριστη δημοσιονομική βάση ανέρχεται σε </w:t>
      </w:r>
      <w:r>
        <w:t>10</w:t>
      </w:r>
      <w:r w:rsidRPr="006F4EA0">
        <w:t>.</w:t>
      </w:r>
      <w:r>
        <w:t>783</w:t>
      </w:r>
      <w:r w:rsidRPr="006F4EA0">
        <w:t xml:space="preserve"> εκατ. ευρώ, </w:t>
      </w:r>
      <w:r w:rsidRPr="005A700B">
        <w:t xml:space="preserve">αυξημένη κατά 503 εκατ. ευρώ σε </w:t>
      </w:r>
      <w:r w:rsidR="004C213B">
        <w:t>σύγκριση</w:t>
      </w:r>
      <w:r w:rsidRPr="005A700B">
        <w:t xml:space="preserve"> με την εκτίμηση έτους 2026.</w:t>
      </w:r>
    </w:p>
    <w:p w14:paraId="5E9C9D37" w14:textId="77777777" w:rsidR="008E19DF" w:rsidRPr="00816F36" w:rsidRDefault="008E19DF" w:rsidP="00A408DA">
      <w:pPr>
        <w:spacing w:before="240"/>
        <w:rPr>
          <w:rFonts w:cs="Arial"/>
          <w:b/>
          <w:szCs w:val="22"/>
        </w:rPr>
      </w:pPr>
      <w:r w:rsidRPr="00816F36">
        <w:rPr>
          <w:rFonts w:cs="Arial"/>
          <w:b/>
          <w:szCs w:val="22"/>
        </w:rPr>
        <w:t>Λοιπές δαπάνες</w:t>
      </w:r>
    </w:p>
    <w:p w14:paraId="39483640" w14:textId="618EC04E" w:rsidR="004D3E80" w:rsidRPr="00816F36" w:rsidRDefault="00816F36" w:rsidP="004D3E80">
      <w:r w:rsidRPr="006F4EA0">
        <w:t xml:space="preserve">Στην κατηγορία αυτή η προβλεπόμενη δαπάνη ανέρχεται σε </w:t>
      </w:r>
      <w:r>
        <w:t xml:space="preserve">121 </w:t>
      </w:r>
      <w:r w:rsidRPr="006F4EA0">
        <w:t>εκατ. ευρώ,</w:t>
      </w:r>
      <w:r>
        <w:t xml:space="preserve"> </w:t>
      </w:r>
      <w:r w:rsidRPr="00426D45">
        <w:t xml:space="preserve">αυξημένη κατά 55 εκατ. ευρώ </w:t>
      </w:r>
      <w:r w:rsidR="004C213B">
        <w:t>έναντι της</w:t>
      </w:r>
      <w:r w:rsidRPr="00426D45">
        <w:t xml:space="preserve"> αντίστοιχη</w:t>
      </w:r>
      <w:r w:rsidR="004C213B">
        <w:t>ς</w:t>
      </w:r>
      <w:r w:rsidRPr="00426D45">
        <w:t xml:space="preserve"> εκτίμηση</w:t>
      </w:r>
      <w:r w:rsidR="004C213B">
        <w:t>ς</w:t>
      </w:r>
      <w:r w:rsidRPr="00426D45">
        <w:t xml:space="preserve"> του 2026</w:t>
      </w:r>
      <w:r>
        <w:t>.</w:t>
      </w:r>
      <w:r w:rsidRPr="00426D45">
        <w:t xml:space="preserve"> Η </w:t>
      </w:r>
      <w:r w:rsidR="00E613A7">
        <w:t xml:space="preserve">σχετική </w:t>
      </w:r>
      <w:r w:rsidRPr="00426D45">
        <w:t xml:space="preserve">αύξηση αντανακλά την </w:t>
      </w:r>
      <w:r>
        <w:t>προβλεπόμενη</w:t>
      </w:r>
      <w:r w:rsidRPr="00426D45">
        <w:t xml:space="preserve"> αύξηση </w:t>
      </w:r>
      <w:r>
        <w:t xml:space="preserve">των </w:t>
      </w:r>
      <w:r w:rsidRPr="004B551C">
        <w:t>επιστροφ</w:t>
      </w:r>
      <w:r>
        <w:t>ών</w:t>
      </w:r>
      <w:r w:rsidRPr="004B551C">
        <w:t xml:space="preserve"> προς την Ε</w:t>
      </w:r>
      <w:r>
        <w:t>Ε</w:t>
      </w:r>
      <w:r w:rsidRPr="004B551C">
        <w:t xml:space="preserve"> ποσών που προκύπτουν από ανεκτέλεστα προγράμματα</w:t>
      </w:r>
      <w:r w:rsidRPr="00426D45">
        <w:t>.</w:t>
      </w:r>
    </w:p>
    <w:p w14:paraId="225604FA" w14:textId="77777777" w:rsidR="008E19DF" w:rsidRPr="001C57A8" w:rsidRDefault="008E19DF" w:rsidP="00A408DA">
      <w:pPr>
        <w:spacing w:before="240"/>
        <w:rPr>
          <w:rFonts w:cs="Arial"/>
          <w:b/>
          <w:szCs w:val="22"/>
        </w:rPr>
      </w:pPr>
      <w:r w:rsidRPr="001C57A8">
        <w:rPr>
          <w:rFonts w:cs="Arial"/>
          <w:b/>
          <w:szCs w:val="22"/>
        </w:rPr>
        <w:t>Πιστώσεις υπό κατανομή</w:t>
      </w:r>
    </w:p>
    <w:p w14:paraId="333B5E5E" w14:textId="77777777" w:rsidR="00816F36" w:rsidRPr="006F4EA0" w:rsidRDefault="00816F36" w:rsidP="00816F36">
      <w:r w:rsidRPr="006F4EA0">
        <w:t xml:space="preserve">Η πρόβλεψη για το σύνολο της κατηγορίας αυτής ανέρχεται στο ποσό των </w:t>
      </w:r>
      <w:r>
        <w:t>15.416</w:t>
      </w:r>
      <w:r w:rsidRPr="006F4EA0">
        <w:t xml:space="preserve"> εκατ. ευρώ. Στην κατηγορία αυτή περιλαμβάνονται κυρίως προβλέψεις πιστώσεων ύψους:</w:t>
      </w:r>
    </w:p>
    <w:p w14:paraId="07A00C1A" w14:textId="77777777" w:rsidR="00816F36" w:rsidRPr="000D4D2C" w:rsidRDefault="00816F36" w:rsidP="005A622E">
      <w:pPr>
        <w:numPr>
          <w:ilvl w:val="0"/>
          <w:numId w:val="2"/>
        </w:numPr>
        <w:spacing w:before="120" w:after="60"/>
        <w:ind w:left="568" w:hanging="284"/>
      </w:pPr>
      <w:r w:rsidRPr="000D4D2C">
        <w:t>11.000 εκατ. ευρώ του προϋπολογισμού δημοσίων επενδύσεων,</w:t>
      </w:r>
    </w:p>
    <w:p w14:paraId="21FCEDA8" w14:textId="76D1B74C" w:rsidR="00816F36" w:rsidRPr="002B7E9D" w:rsidRDefault="00816F36" w:rsidP="005A622E">
      <w:pPr>
        <w:numPr>
          <w:ilvl w:val="0"/>
          <w:numId w:val="2"/>
        </w:numPr>
        <w:spacing w:before="60" w:after="60"/>
        <w:ind w:left="568" w:hanging="284"/>
      </w:pPr>
      <w:r w:rsidRPr="006F4EA0">
        <w:t>1.</w:t>
      </w:r>
      <w:r>
        <w:t>094</w:t>
      </w:r>
      <w:r w:rsidRPr="006F4EA0">
        <w:t xml:space="preserve"> εκατ. ευρώ για δαπάνες πλήρωσης θέσεων προσωπικού</w:t>
      </w:r>
      <w:r w:rsidR="0035432B">
        <w:t>, αυξήσεων των μισθών από τον Απρίλιο 2027 και</w:t>
      </w:r>
      <w:r w:rsidR="0080220E">
        <w:t xml:space="preserve"> </w:t>
      </w:r>
      <w:r w:rsidR="00C92221" w:rsidRPr="002B7E9D">
        <w:t xml:space="preserve">θέσπισης </w:t>
      </w:r>
      <w:r w:rsidR="0035432B" w:rsidRPr="002B7E9D">
        <w:t>τ</w:t>
      </w:r>
      <w:r w:rsidR="0035432B">
        <w:t>ου επιδόματος εορτών Χριστουγέννων</w:t>
      </w:r>
      <w:r w:rsidR="0080220E">
        <w:t xml:space="preserve"> </w:t>
      </w:r>
      <w:r w:rsidR="00D76D32">
        <w:t xml:space="preserve">για </w:t>
      </w:r>
      <w:r w:rsidR="0080220E" w:rsidRPr="002B7E9D">
        <w:t>τους δημοσίους υπαλλήλους και λειτουργούς</w:t>
      </w:r>
      <w:r w:rsidRPr="002B7E9D">
        <w:t>,</w:t>
      </w:r>
    </w:p>
    <w:p w14:paraId="7F35FFF3" w14:textId="57000160" w:rsidR="00816F36" w:rsidRPr="006F4EA0" w:rsidRDefault="00816F36" w:rsidP="005A622E">
      <w:pPr>
        <w:numPr>
          <w:ilvl w:val="0"/>
          <w:numId w:val="2"/>
        </w:numPr>
        <w:spacing w:before="60" w:after="60"/>
        <w:ind w:left="568" w:hanging="284"/>
      </w:pPr>
      <w:r w:rsidRPr="001E6B90">
        <w:t xml:space="preserve">850 </w:t>
      </w:r>
      <w:r w:rsidR="004C213B" w:rsidRPr="006F4EA0">
        <w:t xml:space="preserve">εκατ. ευρώ </w:t>
      </w:r>
      <w:r w:rsidRPr="001E6B90">
        <w:t>και 400</w:t>
      </w:r>
      <w:r w:rsidRPr="006F4EA0">
        <w:t xml:space="preserve"> εκατ. ευρώ για το αποθεματικό (παρ.</w:t>
      </w:r>
      <w:r w:rsidR="00290644">
        <w:t xml:space="preserve"> </w:t>
      </w:r>
      <w:r w:rsidRPr="006F4EA0">
        <w:t>1 και 8 του άρθρου 59 του ν.4270/2014 αντίστοιχα) με σκοπό την αντιμετώπιση απρόβλεπτων και επειγουσών δαπανών,</w:t>
      </w:r>
    </w:p>
    <w:p w14:paraId="55A8F6C6" w14:textId="64414332" w:rsidR="00816F36" w:rsidRPr="00D956DC" w:rsidRDefault="00816F36" w:rsidP="005A622E">
      <w:pPr>
        <w:numPr>
          <w:ilvl w:val="0"/>
          <w:numId w:val="2"/>
        </w:numPr>
        <w:spacing w:before="60" w:after="60"/>
        <w:ind w:left="568" w:hanging="284"/>
      </w:pPr>
      <w:r>
        <w:t>450</w:t>
      </w:r>
      <w:r w:rsidRPr="00D956DC">
        <w:t xml:space="preserve"> εκατ. ευρώ για δαπάνες κοινωνικής ασφάλισης και κοινωνικής προστασίας</w:t>
      </w:r>
      <w:r w:rsidR="003E3BB1">
        <w:t xml:space="preserve"> καθώς και </w:t>
      </w:r>
      <w:r w:rsidR="00DD3C82">
        <w:t>για</w:t>
      </w:r>
      <w:r w:rsidR="003E3BB1">
        <w:t xml:space="preserve"> </w:t>
      </w:r>
      <w:r w:rsidR="00DD3C82">
        <w:t>π</w:t>
      </w:r>
      <w:r w:rsidR="003E3BB1">
        <w:t>αροχ</w:t>
      </w:r>
      <w:r w:rsidR="00357C02">
        <w:t>έ</w:t>
      </w:r>
      <w:r w:rsidR="00DD3C82">
        <w:t>ς</w:t>
      </w:r>
      <w:r w:rsidR="003E3BB1">
        <w:t xml:space="preserve"> υγείας</w:t>
      </w:r>
      <w:r>
        <w:t>,</w:t>
      </w:r>
    </w:p>
    <w:p w14:paraId="4E10008A" w14:textId="0059E43D" w:rsidR="00816F36" w:rsidRDefault="00816F36" w:rsidP="005A622E">
      <w:pPr>
        <w:numPr>
          <w:ilvl w:val="0"/>
          <w:numId w:val="2"/>
        </w:numPr>
        <w:spacing w:before="60" w:after="60"/>
        <w:ind w:left="568" w:hanging="284"/>
      </w:pPr>
      <w:r w:rsidRPr="008F0CDD">
        <w:t>213 εκατ. ευρώ για την αντιμετώπιση των μεταναστευτικών ροών</w:t>
      </w:r>
      <w:r>
        <w:t>,</w:t>
      </w:r>
    </w:p>
    <w:p w14:paraId="1395BB13" w14:textId="3055EAB3" w:rsidR="00302742" w:rsidRDefault="00302742" w:rsidP="00302742">
      <w:pPr>
        <w:numPr>
          <w:ilvl w:val="0"/>
          <w:numId w:val="2"/>
        </w:numPr>
        <w:spacing w:before="60" w:after="60"/>
        <w:ind w:left="568" w:hanging="284"/>
      </w:pPr>
      <w:r w:rsidRPr="00B47B76">
        <w:t>200 εκατ. ευρώ προς κάλυψη αναγκών που ενδέχεται να ανακύψουν συνεπεία των επιπτώσεων της ενεργειακής κρίσης</w:t>
      </w:r>
      <w:r>
        <w:t>,</w:t>
      </w:r>
    </w:p>
    <w:p w14:paraId="56F19C93" w14:textId="6F028EA4" w:rsidR="00816F36" w:rsidRDefault="00816F36" w:rsidP="005A622E">
      <w:pPr>
        <w:numPr>
          <w:ilvl w:val="0"/>
          <w:numId w:val="2"/>
        </w:numPr>
        <w:spacing w:before="60" w:after="60"/>
        <w:ind w:left="568" w:hanging="284"/>
      </w:pPr>
      <w:r w:rsidRPr="006A1335">
        <w:t>5</w:t>
      </w:r>
      <w:r>
        <w:t>5</w:t>
      </w:r>
      <w:r w:rsidRPr="006A1335">
        <w:t xml:space="preserve"> εκατ. ευρώ για την κάλυψη οργανωτικών και λειτουργικών δαπανών που συνδέονται με την </w:t>
      </w:r>
      <w:r w:rsidR="00625363">
        <w:t>ανάληψη</w:t>
      </w:r>
      <w:r w:rsidRPr="006A1335">
        <w:t xml:space="preserve"> της Ελληνικής Προεδρίας της Ε</w:t>
      </w:r>
      <w:r w:rsidR="00290644">
        <w:t>Ε και</w:t>
      </w:r>
    </w:p>
    <w:p w14:paraId="528CB897" w14:textId="3B32F94D" w:rsidR="005B27B3" w:rsidRPr="00816F36" w:rsidRDefault="00816F36" w:rsidP="00A967E5">
      <w:pPr>
        <w:numPr>
          <w:ilvl w:val="0"/>
          <w:numId w:val="2"/>
        </w:numPr>
        <w:spacing w:before="60"/>
        <w:ind w:left="568" w:hanging="284"/>
      </w:pPr>
      <w:r>
        <w:t>97 εκατ. ευρώ για δ</w:t>
      </w:r>
      <w:r w:rsidRPr="006A1335">
        <w:t xml:space="preserve">απάνες </w:t>
      </w:r>
      <w:r>
        <w:t xml:space="preserve">που </w:t>
      </w:r>
      <w:r w:rsidR="00290644">
        <w:t xml:space="preserve">άπτονται </w:t>
      </w:r>
      <w:r w:rsidRPr="006A1335">
        <w:t>τη</w:t>
      </w:r>
      <w:r w:rsidR="00290644">
        <w:t>ς</w:t>
      </w:r>
      <w:r w:rsidRPr="006A1335">
        <w:t xml:space="preserve"> οργάνωση</w:t>
      </w:r>
      <w:r w:rsidR="00290644">
        <w:t>ς</w:t>
      </w:r>
      <w:r w:rsidRPr="006A1335">
        <w:t xml:space="preserve"> και διεξαγωγή</w:t>
      </w:r>
      <w:r w:rsidR="00290644">
        <w:t>ς</w:t>
      </w:r>
      <w:r w:rsidRPr="006A1335">
        <w:t xml:space="preserve"> της εκλογικής διαδικασίας, οι οποίες αφορούν, μεταξύ άλλων, </w:t>
      </w:r>
      <w:r w:rsidR="00290644">
        <w:t>σ</w:t>
      </w:r>
      <w:r w:rsidRPr="006A1335">
        <w:t xml:space="preserve">την προμήθεια και διακίνηση του εκλογικού υλικού, </w:t>
      </w:r>
      <w:r w:rsidR="00290644">
        <w:t>σ</w:t>
      </w:r>
      <w:r w:rsidRPr="006A1335">
        <w:t>τις ειδικές αποζημιώσεις των δικαστικών αντιπροσώπων και λοιπών εμπλεκ</w:t>
      </w:r>
      <w:r w:rsidR="00290644">
        <w:t>ο</w:t>
      </w:r>
      <w:r w:rsidRPr="006A1335">
        <w:t>μ</w:t>
      </w:r>
      <w:r w:rsidR="00290644">
        <w:t>έ</w:t>
      </w:r>
      <w:r w:rsidRPr="006A1335">
        <w:t xml:space="preserve">νων στη διαδικασία καθώς και </w:t>
      </w:r>
      <w:r w:rsidR="00290644">
        <w:t>σ</w:t>
      </w:r>
      <w:r w:rsidRPr="006A1335">
        <w:t>τις αναγκαίες οργανωτικές, λειτουργικές και λοιπές συναφείς δαπάνες.</w:t>
      </w:r>
      <w:bookmarkStart w:id="234" w:name="_Toc114142037"/>
    </w:p>
    <w:bookmarkEnd w:id="234"/>
    <w:p w14:paraId="60374EA9" w14:textId="77777777" w:rsidR="008E19DF" w:rsidRPr="000B5AB4" w:rsidRDefault="008E19DF" w:rsidP="00614C06">
      <w:pPr>
        <w:spacing w:before="240"/>
        <w:rPr>
          <w:rFonts w:cs="Arial"/>
          <w:b/>
          <w:szCs w:val="22"/>
        </w:rPr>
      </w:pPr>
      <w:r w:rsidRPr="000B5AB4">
        <w:rPr>
          <w:rFonts w:cs="Arial"/>
          <w:b/>
          <w:szCs w:val="22"/>
        </w:rPr>
        <w:t>Αγορές παγίων περιουσιακών στοιχείων</w:t>
      </w:r>
    </w:p>
    <w:p w14:paraId="1ED26C4D" w14:textId="7F9BD5D0" w:rsidR="004026E8" w:rsidRPr="00657BE1" w:rsidRDefault="00816F36" w:rsidP="004D3E80">
      <w:pPr>
        <w:rPr>
          <w:rFonts w:cs="Arial"/>
          <w:highlight w:val="yellow"/>
        </w:rPr>
      </w:pPr>
      <w:r w:rsidRPr="006F4EA0">
        <w:rPr>
          <w:rFonts w:cs="Arial"/>
        </w:rPr>
        <w:t xml:space="preserve">Η προβλεπόμενη δαπάνη αναμένεται να ανέλθει στο ποσό των </w:t>
      </w:r>
      <w:r>
        <w:rPr>
          <w:rFonts w:cs="Arial"/>
        </w:rPr>
        <w:t xml:space="preserve">2.546 </w:t>
      </w:r>
      <w:r w:rsidRPr="006F4EA0">
        <w:rPr>
          <w:rFonts w:cs="Arial"/>
        </w:rPr>
        <w:t>εκατ</w:t>
      </w:r>
      <w:r w:rsidRPr="00342588">
        <w:rPr>
          <w:rFonts w:cs="Arial"/>
        </w:rPr>
        <w:t>. ευρώ, αυξημένη κατά 77</w:t>
      </w:r>
      <w:r w:rsidRPr="006F4EA0">
        <w:rPr>
          <w:rFonts w:cs="Arial"/>
        </w:rPr>
        <w:t xml:space="preserve"> εκατ. ευρώ σε </w:t>
      </w:r>
      <w:r w:rsidR="00F77A5D">
        <w:rPr>
          <w:rFonts w:cs="Arial"/>
        </w:rPr>
        <w:t>σύγκριση</w:t>
      </w:r>
      <w:r w:rsidRPr="006F4EA0">
        <w:rPr>
          <w:rFonts w:cs="Arial"/>
        </w:rPr>
        <w:t xml:space="preserve"> με το 202</w:t>
      </w:r>
      <w:r>
        <w:rPr>
          <w:rFonts w:cs="Arial"/>
        </w:rPr>
        <w:t>6</w:t>
      </w:r>
      <w:r w:rsidRPr="006F4EA0">
        <w:rPr>
          <w:rFonts w:cs="Arial"/>
        </w:rPr>
        <w:t xml:space="preserve"> κυρίως λόγω των φυσικών παραλαβών οπλικών συστημάτων του Υπουργείου Εθνικής Άμυνας</w:t>
      </w:r>
      <w:r w:rsidR="00B06D79">
        <w:rPr>
          <w:rFonts w:cs="Arial"/>
        </w:rPr>
        <w:t>,</w:t>
      </w:r>
      <w:r>
        <w:rPr>
          <w:rFonts w:cs="Arial"/>
        </w:rPr>
        <w:t xml:space="preserve"> οι οποίες </w:t>
      </w:r>
      <w:r w:rsidR="0018768B">
        <w:rPr>
          <w:rFonts w:cs="Arial"/>
        </w:rPr>
        <w:t>προβλέπονται αυξημένες</w:t>
      </w:r>
      <w:r>
        <w:rPr>
          <w:rFonts w:cs="Arial"/>
        </w:rPr>
        <w:t xml:space="preserve"> κατά 100 εκατ. ευρώ </w:t>
      </w:r>
      <w:r w:rsidR="00F77A5D">
        <w:rPr>
          <w:rFonts w:cs="Arial"/>
        </w:rPr>
        <w:t xml:space="preserve">έναντι του </w:t>
      </w:r>
      <w:r>
        <w:rPr>
          <w:rFonts w:cs="Arial"/>
        </w:rPr>
        <w:t>2026</w:t>
      </w:r>
      <w:r w:rsidRPr="006F4EA0">
        <w:rPr>
          <w:rFonts w:cs="Arial"/>
        </w:rPr>
        <w:t>.</w:t>
      </w:r>
    </w:p>
    <w:bookmarkEnd w:id="233"/>
    <w:p w14:paraId="357EDCA4" w14:textId="7B518710" w:rsidR="00847E05" w:rsidRPr="009B07DB" w:rsidRDefault="00847E05" w:rsidP="00816F36">
      <w:pPr>
        <w:spacing w:before="240"/>
        <w:rPr>
          <w:rFonts w:cs="Arial"/>
          <w:b/>
          <w:szCs w:val="22"/>
        </w:rPr>
      </w:pPr>
      <w:r w:rsidRPr="009B07DB">
        <w:rPr>
          <w:rFonts w:cs="Arial"/>
          <w:b/>
          <w:szCs w:val="22"/>
        </w:rPr>
        <w:t>Δαπάνες Προ</w:t>
      </w:r>
      <w:r w:rsidR="001170FB" w:rsidRPr="009B07DB">
        <w:rPr>
          <w:rFonts w:cs="Arial"/>
          <w:b/>
          <w:szCs w:val="22"/>
        </w:rPr>
        <w:t xml:space="preserve">ϋπολογισμού </w:t>
      </w:r>
      <w:r w:rsidRPr="009B07DB">
        <w:rPr>
          <w:rFonts w:cs="Arial"/>
          <w:b/>
          <w:szCs w:val="22"/>
        </w:rPr>
        <w:t>Δημοσίων Επενδύσεων</w:t>
      </w:r>
    </w:p>
    <w:p w14:paraId="28A05E6A" w14:textId="77777777" w:rsidR="009B07DB" w:rsidRPr="003231FC" w:rsidRDefault="009B07DB" w:rsidP="009B07DB">
      <w:r w:rsidRPr="003231FC">
        <w:t>Για το έτος 2027 προβλέπεται διάθεση πόρων ύψους 11.000 εκατ. ευρώ, με κατανομή της συνολικής δαπάνης μεταξύ των έργων που θα συγχρηματοδοτηθούν από πόρους της ΕΕ ύψους 7.000 εκατ. ευρώ και εκείνων που θα χρηματοδοτηθούν αποκλειστικά από εθνικούς πόρους ύψους 4.000 εκατ. ευρώ.</w:t>
      </w:r>
    </w:p>
    <w:p w14:paraId="2B52C401" w14:textId="527E7C42" w:rsidR="009B07DB" w:rsidRDefault="009B07DB" w:rsidP="009B07DB">
      <w:r>
        <w:t>Ο προϋπολογισμός δημοσίων επενδύσεων συνιστά σημαντική</w:t>
      </w:r>
      <w:r w:rsidRPr="00180CD1">
        <w:t xml:space="preserve"> </w:t>
      </w:r>
      <w:r w:rsidR="006D3D34">
        <w:t>συνιστώσα</w:t>
      </w:r>
      <w:r>
        <w:t xml:space="preserve"> του </w:t>
      </w:r>
      <w:r w:rsidR="003231FC">
        <w:t>κ</w:t>
      </w:r>
      <w:r>
        <w:t xml:space="preserve">ρατικού </w:t>
      </w:r>
      <w:r w:rsidR="003231FC">
        <w:t>π</w:t>
      </w:r>
      <w:r>
        <w:t>ροϋπολογισμού</w:t>
      </w:r>
      <w:r w:rsidRPr="00D6124B">
        <w:t>,</w:t>
      </w:r>
      <w:r>
        <w:t xml:space="preserve"> η οποία συμβάλλει καταλυτικά στην αύξηση του ρυθμού ανάπτυξης της χώρας, στον μετασχηματισμό της οικονομίας και στην </w:t>
      </w:r>
      <w:r w:rsidR="00775A18">
        <w:t>ενίσχυση</w:t>
      </w:r>
      <w:r>
        <w:t xml:space="preserve"> της ανθεκτικότητας απέναντι στις οικονομικές, κοινωνικές και περιβαλλοντικές προκλήσεις. </w:t>
      </w:r>
      <w:r w:rsidR="00662302">
        <w:t xml:space="preserve">Μέσω της αξιοποίησης </w:t>
      </w:r>
      <w:r>
        <w:t>εθνικ</w:t>
      </w:r>
      <w:r w:rsidR="00662302">
        <w:t>ών</w:t>
      </w:r>
      <w:r>
        <w:t xml:space="preserve"> και ευρωπαϊκ</w:t>
      </w:r>
      <w:r w:rsidR="00662302">
        <w:t>ών</w:t>
      </w:r>
      <w:r>
        <w:t xml:space="preserve"> πόρ</w:t>
      </w:r>
      <w:r w:rsidR="00662302">
        <w:t>ων</w:t>
      </w:r>
      <w:r>
        <w:t xml:space="preserve"> χρηματοδοτεί δράσεις και προγράμματα που </w:t>
      </w:r>
      <w:r w:rsidR="00662302">
        <w:t xml:space="preserve">αποσκοπούν </w:t>
      </w:r>
      <w:r>
        <w:t xml:space="preserve">στη δημιουργία σύγχρονων υποδομών, στην ενίσχυση του παραγωγικού δυναμικού και στην τόνωση της ανταγωνιστικότητας, προωθώντας παράλληλα την κοινωνική συνοχή και την άρση των ανισοτήτων. Επιπλέον, διαδραματίζει κομβικό ρόλο στην αντιμετώπιση της κλιματικής κρίσης χρηματοδοτώντας δράσεις πρόληψης, προστασίας και αποκατάστασης για πολίτες, επιχειρήσεις και δημόσια δίκτυα </w:t>
      </w:r>
      <w:r w:rsidR="00662302">
        <w:t xml:space="preserve">καθώς </w:t>
      </w:r>
      <w:r>
        <w:t>και στην αποσόβηση των κινδύνων που ανακύπτουν από το διεθνές οικονομικό περιβάλλον, κυρίως στον τομέα της ενέργειας.</w:t>
      </w:r>
    </w:p>
    <w:p w14:paraId="21361662" w14:textId="3762915F" w:rsidR="009B07DB" w:rsidRDefault="009B07DB" w:rsidP="009B07DB">
      <w:r>
        <w:t xml:space="preserve">Ειδικότερα, το συγχρηματοδοτούμενο σκέλος του </w:t>
      </w:r>
      <w:r w:rsidR="003231FC">
        <w:t>προϋπολογισμού δημοσίων επενδύσεων</w:t>
      </w:r>
      <w:r>
        <w:t>, αξιοποιώντας πόρους από τα ευρωπαϊκά ταμεία και τους ευρωπαϊκούς χρηματοδοτικούς μηχανισμούς (ΕΣΠΑ 2021</w:t>
      </w:r>
      <w:r w:rsidR="003231FC">
        <w:t xml:space="preserve"> - </w:t>
      </w:r>
      <w:r>
        <w:t xml:space="preserve">2027, Κοινωνικό Κλιματικό Ταμείο, Ταμείο Εκσυγχρονισμού, </w:t>
      </w:r>
      <w:r w:rsidR="007A3304">
        <w:t>ε</w:t>
      </w:r>
      <w:r>
        <w:t>υρωπαϊκά ανταγωνιστικά προγράμματα, Χρηματοδοτικός Μηχανισμός του Ε</w:t>
      </w:r>
      <w:r w:rsidR="00BD3519">
        <w:t>υρωπαϊκού Οικονομικού Χώρου (ΧΜ - ΕΟΧ)</w:t>
      </w:r>
      <w:r>
        <w:t xml:space="preserve">, </w:t>
      </w:r>
      <w:r w:rsidR="007A3304">
        <w:t>π</w:t>
      </w:r>
      <w:r>
        <w:t xml:space="preserve">ρογράμματα συνεργασίας </w:t>
      </w:r>
      <w:r>
        <w:rPr>
          <w:lang w:val="en-US"/>
        </w:rPr>
        <w:t>Interreg</w:t>
      </w:r>
      <w:r>
        <w:t xml:space="preserve"> κ.</w:t>
      </w:r>
      <w:r w:rsidR="003231FC">
        <w:t>λπ</w:t>
      </w:r>
      <w:r>
        <w:t>.)</w:t>
      </w:r>
      <w:r w:rsidR="007A3304">
        <w:t>,</w:t>
      </w:r>
      <w:r>
        <w:t xml:space="preserve"> καλύπτει τις δαπάνες έργων που </w:t>
      </w:r>
      <w:r w:rsidR="007A3304">
        <w:t>αποβλέπουν σ</w:t>
      </w:r>
      <w:r>
        <w:t xml:space="preserve">την επίτευξη των αναπτυξιακών στόχων της </w:t>
      </w:r>
      <w:r w:rsidR="00BC2A48">
        <w:t>ΕΕ</w:t>
      </w:r>
      <w:r>
        <w:t xml:space="preserve"> για μ</w:t>
      </w:r>
      <w:r w:rsidR="007A3304">
        <w:t>ί</w:t>
      </w:r>
      <w:r>
        <w:t xml:space="preserve">α βιώσιμη, πράσινη και ψηφιακή ανάπτυξη με έμφαση στην καινοτομία και τη στήριξη των </w:t>
      </w:r>
      <w:r w:rsidR="007D2B54">
        <w:t>μ</w:t>
      </w:r>
      <w:r>
        <w:t xml:space="preserve">ικρομεσαίων </w:t>
      </w:r>
      <w:r w:rsidR="007D2B54">
        <w:t>ε</w:t>
      </w:r>
      <w:r>
        <w:t>πιχειρήσεων, την κλιματική ουδετερότητα, την τοπική ανάπτυξη και τη δημιουργία υποδομών και δικτύων μεταφορών. Σημαντικός θα είναι και ο ρόλος του Κοινωνικού Κλιματικού Ταμείου, από το οποίο θα χρηματοδοτηθούν δράσεις που ως στόχο έχουν την ανάσχεση των συνεπειών της ενεργειακής κρίσης και την προώθηση της ενεργειακής αυτονομίας.</w:t>
      </w:r>
    </w:p>
    <w:p w14:paraId="273EA4D8" w14:textId="18E06EB8" w:rsidR="00842ACE" w:rsidRDefault="009B07DB" w:rsidP="00BF2DB3">
      <w:r>
        <w:t xml:space="preserve">Παράλληλα, το εθνικό σκέλος του </w:t>
      </w:r>
      <w:r w:rsidR="003231FC">
        <w:t>προϋπολογισμού δημοσίων επενδύσεων</w:t>
      </w:r>
      <w:r>
        <w:t xml:space="preserve"> καλύπτει τις δαπάνες των έργων του Εθνικού Προγράμματος Ανάπτυξης, η υλοποίηση των οποίων συμβάλλει στην έξυπνη και πράσινη ανάπτυξη, στην ενίσχυση της εξωστρέφειας και της ανταγωνιστικότητας, στην κοινωνική συνοχή και </w:t>
      </w:r>
      <w:r w:rsidR="004A162E">
        <w:t>σ</w:t>
      </w:r>
      <w:r>
        <w:t>την πολιτική προστασία</w:t>
      </w:r>
      <w:r w:rsidR="004A162E">
        <w:t xml:space="preserve"> καθώς </w:t>
      </w:r>
      <w:r>
        <w:t xml:space="preserve">και στην ανάπτυξη των υποδομών της χώρας. Μέσω του εθνικού σκέλους του </w:t>
      </w:r>
      <w:r w:rsidR="003231FC">
        <w:t>προϋπολογισμού δημοσίων επενδύσεων</w:t>
      </w:r>
      <w:r>
        <w:t xml:space="preserve"> θα χρηματοδοτηθούν δράσεις που αφορούν κυρίως στην ενίσχυση της εδαφικής συνοχής, στα οδικά δίκτυα, στην πρόληψη, διαχείριση και αποκατάσταση των </w:t>
      </w:r>
      <w:r w:rsidR="004A162E">
        <w:t>επιπτώσεων</w:t>
      </w:r>
      <w:r>
        <w:t xml:space="preserve"> από φυσικές καταστροφές, στην </w:t>
      </w:r>
      <w:r w:rsidR="004A162E">
        <w:t>προώθηση τ</w:t>
      </w:r>
      <w:r>
        <w:t xml:space="preserve">ης ανταγωνιστικότητας, στην ανάπτυξη ψηφιακών υποδομών Τεχνολογιών Πληροφορικής και Επικοινωνιών (ΤΠΕ) </w:t>
      </w:r>
      <w:r w:rsidR="004A162E">
        <w:t xml:space="preserve">καθώς </w:t>
      </w:r>
      <w:r>
        <w:t>και στη διαχείριση υδάτινων πόρων και στερεών και υγρών αποβλήτων.</w:t>
      </w:r>
    </w:p>
    <w:p w14:paraId="2946CB7C" w14:textId="77777777" w:rsidR="007447AA" w:rsidRPr="00E627DD" w:rsidRDefault="007447AA" w:rsidP="00DC6F26">
      <w:pPr>
        <w:pStyle w:val="4"/>
        <w:keepNext w:val="0"/>
      </w:pPr>
      <w:bookmarkStart w:id="235" w:name="_Toc242019550"/>
      <w:r w:rsidRPr="00E627DD">
        <w:t xml:space="preserve">Λοιποί υποτομείς </w:t>
      </w:r>
      <w:r w:rsidR="001E1B1E" w:rsidRPr="00E627DD">
        <w:t xml:space="preserve">της </w:t>
      </w:r>
      <w:r w:rsidRPr="00E627DD">
        <w:t>Γενικής Κυβέρνησης</w:t>
      </w:r>
      <w:bookmarkEnd w:id="235"/>
    </w:p>
    <w:p w14:paraId="1BF925CC" w14:textId="77777777" w:rsidR="007447AA" w:rsidRPr="00913836" w:rsidRDefault="007447AA" w:rsidP="004C662F">
      <w:pPr>
        <w:spacing w:before="240"/>
        <w:rPr>
          <w:rFonts w:cs="Arial"/>
          <w:b/>
          <w:szCs w:val="22"/>
        </w:rPr>
      </w:pPr>
      <w:r w:rsidRPr="00913836">
        <w:rPr>
          <w:rFonts w:cs="Arial"/>
          <w:b/>
          <w:szCs w:val="22"/>
        </w:rPr>
        <w:t>Νομικά Πρόσωπα</w:t>
      </w:r>
    </w:p>
    <w:p w14:paraId="402BBD1B" w14:textId="7DDDFA6C" w:rsidR="008066CF" w:rsidRPr="00F70360" w:rsidRDefault="00913836" w:rsidP="004C662F">
      <w:r w:rsidRPr="00F11502">
        <w:t xml:space="preserve">Το </w:t>
      </w:r>
      <w:r w:rsidR="00F11502" w:rsidRPr="003609F7">
        <w:t xml:space="preserve">ισοζύγιο κατά </w:t>
      </w:r>
      <w:r w:rsidR="00F11502" w:rsidRPr="003609F7">
        <w:rPr>
          <w:lang w:val="en-US"/>
        </w:rPr>
        <w:t>ESA</w:t>
      </w:r>
      <w:r w:rsidR="00F11502" w:rsidRPr="00F11502">
        <w:t xml:space="preserve"> </w:t>
      </w:r>
      <w:r w:rsidRPr="00F11502">
        <w:t>των νομικών προσώπων για το έτος 2027 αναμένεται να διαμορφωθεί σε</w:t>
      </w:r>
      <w:r>
        <w:t xml:space="preserve"> πλεόνασμα ύψους 4.026 εκατ. ευρώ, μειωμένο κατά 495 εκατ. ευρώ </w:t>
      </w:r>
      <w:r w:rsidR="00B96477">
        <w:t>έναντι της</w:t>
      </w:r>
      <w:r>
        <w:t xml:space="preserve"> εκτίμηση</w:t>
      </w:r>
      <w:r w:rsidR="00B96477">
        <w:t>ς</w:t>
      </w:r>
      <w:r>
        <w:t xml:space="preserve"> κλεισίματος του 2026. Μέρος της μείωσης,</w:t>
      </w:r>
      <w:r w:rsidR="00B96477">
        <w:t xml:space="preserve"> </w:t>
      </w:r>
      <w:r>
        <w:t>200 εκατ. ευρώ περίπου, οφείλεται σε μειωμένα έσοδα του</w:t>
      </w:r>
      <w:r w:rsidR="00924916">
        <w:t xml:space="preserve"> </w:t>
      </w:r>
      <w:r w:rsidR="00924916" w:rsidRPr="00924916">
        <w:t>Ασφαλιστικ</w:t>
      </w:r>
      <w:r w:rsidR="00924916">
        <w:t>ού</w:t>
      </w:r>
      <w:r w:rsidR="00924916" w:rsidRPr="00924916">
        <w:t xml:space="preserve"> Κεφ</w:t>
      </w:r>
      <w:r w:rsidR="00924916">
        <w:t>α</w:t>
      </w:r>
      <w:r w:rsidR="00924916" w:rsidRPr="00924916">
        <w:t>λα</w:t>
      </w:r>
      <w:r w:rsidR="00924916">
        <w:t>ί</w:t>
      </w:r>
      <w:r w:rsidR="00924916" w:rsidRPr="00924916">
        <w:t>ο</w:t>
      </w:r>
      <w:r w:rsidR="00924916">
        <w:t>υ</w:t>
      </w:r>
      <w:r w:rsidR="00924916" w:rsidRPr="00924916">
        <w:t xml:space="preserve"> Αλληλεγγύης Γενεών</w:t>
      </w:r>
      <w:r>
        <w:t xml:space="preserve"> </w:t>
      </w:r>
      <w:r w:rsidR="00924916">
        <w:t>(</w:t>
      </w:r>
      <w:r>
        <w:t>ΑΚΑΓΕ</w:t>
      </w:r>
      <w:r w:rsidR="00924916">
        <w:t>)</w:t>
      </w:r>
      <w:r>
        <w:t xml:space="preserve"> λόγω </w:t>
      </w:r>
      <w:r w:rsidR="00BF3448">
        <w:t xml:space="preserve">της </w:t>
      </w:r>
      <w:r>
        <w:t xml:space="preserve">ολοκλήρωσης της εξόφλησης υποχρεώσεων προηγούμενων οικονομικών ετών από τον </w:t>
      </w:r>
      <w:r>
        <w:rPr>
          <w:lang w:val="en-US"/>
        </w:rPr>
        <w:t>e</w:t>
      </w:r>
      <w:r w:rsidRPr="0033184D">
        <w:t>-</w:t>
      </w:r>
      <w:r>
        <w:t>ΕΦΚΑ. Η ενδοκυβερνητική αυτή συναλλαγή έχει ουδέτερο δημοσιονομικό αποτέλεσμα σε επίπεδο Γενικής Κυβέρνησης. Πέραν αυτού, στην πρόβλεψη του έτους 2027 έχουν ενσωματωθεί αυξημένες λειτουργικές και επενδυτικές δαπάνες των φορέων σε σ</w:t>
      </w:r>
      <w:r w:rsidR="00BF3448">
        <w:t xml:space="preserve">ύγκριση </w:t>
      </w:r>
      <w:r>
        <w:t>με το προηγούμενο έτος, παράλληλα με την περιοριστική επίδραση από την ολοκλήρωση των έργων του ΤΑΑ.</w:t>
      </w:r>
    </w:p>
    <w:p w14:paraId="69027EE9" w14:textId="77777777" w:rsidR="007447AA" w:rsidRPr="00F70360" w:rsidRDefault="007447AA" w:rsidP="00614C06">
      <w:pPr>
        <w:spacing w:before="240"/>
        <w:rPr>
          <w:rFonts w:cs="Arial"/>
          <w:b/>
          <w:szCs w:val="22"/>
        </w:rPr>
      </w:pPr>
      <w:r w:rsidRPr="00F70360">
        <w:rPr>
          <w:rFonts w:cs="Arial"/>
          <w:b/>
          <w:szCs w:val="22"/>
        </w:rPr>
        <w:t xml:space="preserve">Νοσοκομεία και Πρωτοβάθμια Φροντίδα Υγείας </w:t>
      </w:r>
      <w:r w:rsidR="00AD388B" w:rsidRPr="00F70360">
        <w:rPr>
          <w:rFonts w:cs="Arial"/>
          <w:b/>
          <w:szCs w:val="22"/>
        </w:rPr>
        <w:t>(ΠΦΥ)</w:t>
      </w:r>
    </w:p>
    <w:p w14:paraId="04A051C5" w14:textId="4F1BAE76" w:rsidR="00F70360" w:rsidRDefault="00F70360" w:rsidP="00F70360">
      <w:r>
        <w:t xml:space="preserve">Το </w:t>
      </w:r>
      <w:r w:rsidR="002F4A4D" w:rsidRPr="002F4A4D">
        <w:t xml:space="preserve">ισοζύγιο κατά </w:t>
      </w:r>
      <w:r w:rsidR="002F4A4D" w:rsidRPr="002F4A4D">
        <w:rPr>
          <w:lang w:val="en-US"/>
        </w:rPr>
        <w:t>ESA</w:t>
      </w:r>
      <w:r w:rsidR="002F4A4D" w:rsidRPr="002F4A4D">
        <w:t xml:space="preserve"> </w:t>
      </w:r>
      <w:r>
        <w:t xml:space="preserve">των νοσοκομείων και της ΠΦΥ προβλέπεται να διαμορφωθεί σε πλεόνασμα ύψους 606 εκατ. ευρώ, αυξημένο </w:t>
      </w:r>
      <w:r w:rsidR="00FA62E5">
        <w:t>έναντι του</w:t>
      </w:r>
      <w:r>
        <w:t xml:space="preserve"> 2026 κατά 122 εκατ. ευρώ.</w:t>
      </w:r>
    </w:p>
    <w:p w14:paraId="2A9EE2BC" w14:textId="69CDF79B" w:rsidR="001602C9" w:rsidRPr="009131F5" w:rsidRDefault="00F70360" w:rsidP="001602C9">
      <w:r>
        <w:t xml:space="preserve">Οι λειτουργικές δαπάνες του υποτομέα (πλην επενδυτικών) αναμένεται να παρουσιάσουν αύξηση </w:t>
      </w:r>
      <w:r w:rsidR="00CE02D0">
        <w:t xml:space="preserve">κατά </w:t>
      </w:r>
      <w:r>
        <w:t>140 εκατ. ευρώ</w:t>
      </w:r>
      <w:r w:rsidR="00FF1529" w:rsidRPr="00FF1529">
        <w:t xml:space="preserve"> </w:t>
      </w:r>
      <w:r w:rsidR="00FF1529">
        <w:t xml:space="preserve">περίπου έναντι της </w:t>
      </w:r>
      <w:r>
        <w:t>εκτίμηση</w:t>
      </w:r>
      <w:r w:rsidR="00FF1529">
        <w:t>ς</w:t>
      </w:r>
      <w:r>
        <w:t xml:space="preserve"> κλεισίματος του 2026. Υπερκαλύπτοντας τις αυξημένες λειτουργικές δαπάνες, οι μεταβιβάσεις από τον τακτικό προϋπολογισμό αναμένεται να παρουσιάσουν αύξηση κατά 250 εκατ. ευρώ</w:t>
      </w:r>
      <w:r w:rsidR="00FF1529" w:rsidRPr="00FF1529">
        <w:t xml:space="preserve"> </w:t>
      </w:r>
      <w:r w:rsidR="00FF1529">
        <w:t>περίπου</w:t>
      </w:r>
      <w:r>
        <w:t>. Η μείωση των επενδυτικών δαπανών αντικατοπτρίζει την ολοκλήρωση των έργων που χρηματοδοτούνται από το Τ</w:t>
      </w:r>
      <w:r w:rsidR="00CA5F7D">
        <w:t>ΑΑ</w:t>
      </w:r>
      <w:r>
        <w:t xml:space="preserve"> εντός του 2026.</w:t>
      </w:r>
    </w:p>
    <w:p w14:paraId="2C6D0A55" w14:textId="77777777" w:rsidR="007447AA" w:rsidRPr="00B82EBB" w:rsidRDefault="007447AA" w:rsidP="001602C9">
      <w:pPr>
        <w:spacing w:before="240"/>
        <w:rPr>
          <w:rFonts w:cs="Arial"/>
          <w:b/>
          <w:szCs w:val="22"/>
        </w:rPr>
      </w:pPr>
      <w:r w:rsidRPr="00B82EBB">
        <w:rPr>
          <w:rFonts w:cs="Arial"/>
          <w:b/>
          <w:szCs w:val="22"/>
        </w:rPr>
        <w:t>Οργανισμοί Τοπικής Αυτοδιοίκησης (ΟΤΑ)</w:t>
      </w:r>
    </w:p>
    <w:p w14:paraId="6E323605" w14:textId="0EE05A94" w:rsidR="00304AFE" w:rsidRPr="00B82EBB" w:rsidRDefault="00B82EBB" w:rsidP="004C662F">
      <w:r w:rsidRPr="00A135C0">
        <w:t xml:space="preserve">Το έτος 2027 το ισοζύγιο </w:t>
      </w:r>
      <w:r w:rsidR="004C58BA">
        <w:t xml:space="preserve">κατά </w:t>
      </w:r>
      <w:r w:rsidR="004C58BA">
        <w:rPr>
          <w:lang w:val="en-US"/>
        </w:rPr>
        <w:t>ESA</w:t>
      </w:r>
      <w:r w:rsidR="004C58BA" w:rsidRPr="004C58BA">
        <w:t xml:space="preserve"> </w:t>
      </w:r>
      <w:r w:rsidRPr="00A135C0">
        <w:t>τ</w:t>
      </w:r>
      <w:r w:rsidR="004C58BA">
        <w:t xml:space="preserve">ου υποτομέα </w:t>
      </w:r>
      <w:r w:rsidR="00EE1CFF">
        <w:t xml:space="preserve">των ΟΤΑ </w:t>
      </w:r>
      <w:r w:rsidRPr="00A135C0">
        <w:t xml:space="preserve">προβλέπεται να διατηρηθεί πλεονασματικό και να διαμορφωθεί σε 41 εκατ. ευρώ. </w:t>
      </w:r>
      <w:r>
        <w:t xml:space="preserve">Τα ίδια έσοδα </w:t>
      </w:r>
      <w:r w:rsidR="001F6E11">
        <w:t>(</w:t>
      </w:r>
      <w:r w:rsidR="00865489">
        <w:t>φ</w:t>
      </w:r>
      <w:r w:rsidR="001F6E11">
        <w:t xml:space="preserve">όροι - λοιπά έσοδα) </w:t>
      </w:r>
      <w:r w:rsidRPr="00A135C0">
        <w:t>προβλέπεται να διατηρήσουν τη δυναμική τους.</w:t>
      </w:r>
      <w:r>
        <w:t xml:space="preserve"> </w:t>
      </w:r>
      <w:r w:rsidR="001010D3">
        <w:t>Τα λοιπά έξοδα</w:t>
      </w:r>
      <w:r>
        <w:t xml:space="preserve"> αναμένεται να αυξηθούν βάσει των μακροοικονομικών μεγεθών, οι δε δαπάνες για παροχές σε εργαζόμενους προβλέπονται αυξημένες κυρίως λόγω των νέων παρεμβάσεων μισθολογικής πολιτικής</w:t>
      </w:r>
      <w:r w:rsidR="002B62FB">
        <w:t xml:space="preserve">, οι οποίες </w:t>
      </w:r>
      <w:r>
        <w:t xml:space="preserve">προβλέπουν αύξηση </w:t>
      </w:r>
      <w:r w:rsidR="006931DD">
        <w:t xml:space="preserve">των </w:t>
      </w:r>
      <w:r>
        <w:t xml:space="preserve">μισθών </w:t>
      </w:r>
      <w:r w:rsidR="006931DD">
        <w:t xml:space="preserve">των </w:t>
      </w:r>
      <w:r>
        <w:t xml:space="preserve">δημοσίων υπαλλήλων βάσει του κατώτατου μισθού και </w:t>
      </w:r>
      <w:r w:rsidR="006D3D34">
        <w:t xml:space="preserve">θέσπιση </w:t>
      </w:r>
      <w:r>
        <w:t xml:space="preserve">επιδόματος εορτών Χριστουγέννων από τον Δεκέμβριο 2027. Το μειωμένο ύψος εσόδων </w:t>
      </w:r>
      <w:r w:rsidR="002B62FB">
        <w:t xml:space="preserve">των </w:t>
      </w:r>
      <w:r>
        <w:t xml:space="preserve">μεταβιβάσεων και </w:t>
      </w:r>
      <w:r w:rsidR="002B62FB">
        <w:t xml:space="preserve">των </w:t>
      </w:r>
      <w:r>
        <w:t>επενδυτικών δαπανών σε</w:t>
      </w:r>
      <w:r w:rsidR="00846801">
        <w:t xml:space="preserve"> σύγκριση </w:t>
      </w:r>
      <w:r>
        <w:t>με την εκτίμηση κλεισίματος του προηγούμενου έτους οφείλεται στη</w:t>
      </w:r>
      <w:r w:rsidRPr="00A135C0">
        <w:t xml:space="preserve"> σταδιακή ολοκλήρωση εντός του 2026 των έργων που χρηματοδοτούνται από το Τ</w:t>
      </w:r>
      <w:r>
        <w:t>ΑΑ.</w:t>
      </w:r>
      <w:r w:rsidR="007247BC">
        <w:t xml:space="preserve"> Σημειώνεται ότι οι μεταβιβάσεις προς τους ΟΤΑ παρουσιάζονται βάσει των υφιστάμενων ορίων τ</w:t>
      </w:r>
      <w:r w:rsidR="00EE6E07">
        <w:t>ων</w:t>
      </w:r>
      <w:r w:rsidR="007247BC">
        <w:t xml:space="preserve"> Κ</w:t>
      </w:r>
      <w:r w:rsidR="00EE6E07">
        <w:t xml:space="preserve">εντρικών </w:t>
      </w:r>
      <w:r w:rsidR="007247BC">
        <w:t>Α</w:t>
      </w:r>
      <w:r w:rsidR="00EE6E07">
        <w:t>υτοτελών Πόρων</w:t>
      </w:r>
      <w:r w:rsidR="007247BC">
        <w:t xml:space="preserve"> (ΚΑΠ), τα οποία δύναται να αναπροσαρμόζονται με υπουργική απόφαση.</w:t>
      </w:r>
    </w:p>
    <w:p w14:paraId="174F412D" w14:textId="77777777" w:rsidR="007447AA" w:rsidRPr="00E429CC" w:rsidRDefault="007447AA" w:rsidP="00DC6F26">
      <w:pPr>
        <w:spacing w:before="240"/>
        <w:rPr>
          <w:rFonts w:cs="Arial"/>
          <w:b/>
          <w:szCs w:val="22"/>
        </w:rPr>
      </w:pPr>
      <w:r w:rsidRPr="00E429CC">
        <w:rPr>
          <w:rFonts w:cs="Arial"/>
          <w:b/>
          <w:szCs w:val="22"/>
        </w:rPr>
        <w:t>Οργανισμοί Κοινωνικής Ασφάλισης (ΟΚΑ)</w:t>
      </w:r>
    </w:p>
    <w:p w14:paraId="6D43878D" w14:textId="16B0B21E" w:rsidR="00B82EBB" w:rsidRDefault="00B82EBB" w:rsidP="00B82EBB">
      <w:r w:rsidRPr="006D3023">
        <w:t xml:space="preserve">Το </w:t>
      </w:r>
      <w:r w:rsidR="006D3023" w:rsidRPr="006D3023">
        <w:t xml:space="preserve">ισοζύγιο κατά </w:t>
      </w:r>
      <w:r w:rsidR="006D3023" w:rsidRPr="006D3023">
        <w:rPr>
          <w:lang w:val="en-US"/>
        </w:rPr>
        <w:t>ESA</w:t>
      </w:r>
      <w:r w:rsidR="006D3023" w:rsidRPr="006D3023">
        <w:t xml:space="preserve"> </w:t>
      </w:r>
      <w:r w:rsidRPr="006D3023">
        <w:t>του υποτομέα των ΟΚΑ προβλέπεται να διαμορφωθεί σε πλεόνασμα ύψους 2.432</w:t>
      </w:r>
      <w:r>
        <w:t xml:space="preserve"> εκατ. ευρώ.</w:t>
      </w:r>
    </w:p>
    <w:p w14:paraId="52B4198B" w14:textId="7AC0E7D1" w:rsidR="00B82EBB" w:rsidRDefault="00B82EBB" w:rsidP="00B82EBB">
      <w:r>
        <w:t>Στο σκέλος των εσόδων τα έσοδα ασφαλιστικών εισφορών εκτιμάται ότι θα παρουσιάσουν αύξηση 1,2 δι</w:t>
      </w:r>
      <w:r w:rsidR="00717D68">
        <w:t>σ.</w:t>
      </w:r>
      <w:r>
        <w:t xml:space="preserve"> ευρώ </w:t>
      </w:r>
      <w:r w:rsidR="00717D68">
        <w:t xml:space="preserve">έναντι της </w:t>
      </w:r>
      <w:r>
        <w:t>εκτίμηση</w:t>
      </w:r>
      <w:r w:rsidR="00717D68">
        <w:t>ς</w:t>
      </w:r>
      <w:r>
        <w:t xml:space="preserve"> κλεισίματος του 2026, παρά την ενσωμάτωση του αναπτυξιακού μέτρου της μείωσης των ασφαλιστικών εισφορών κατά μισή μονάδα από τον Απρίλιο 2027. Η ανοδική αυτή πορεία συνδέεται με τις ευνοϊκές εξελίξεις στην αγορά εργασίας (αύξηση τόσο του κατώτατου όσο και του μέσου μισθού, </w:t>
      </w:r>
      <w:r w:rsidR="00717D68">
        <w:t xml:space="preserve">ενίσχυση </w:t>
      </w:r>
      <w:r>
        <w:t>της απασχόλησης, μείωση της ανεργίας),</w:t>
      </w:r>
      <w:r w:rsidR="00C255DA">
        <w:t xml:space="preserve"> με</w:t>
      </w:r>
      <w:r>
        <w:t xml:space="preserve"> τις μισθολογικές αυξήσεις των δημοσίων υπαλλήλων καθώς και </w:t>
      </w:r>
      <w:r w:rsidR="00C255DA">
        <w:t xml:space="preserve">με </w:t>
      </w:r>
      <w:r>
        <w:t xml:space="preserve">την επέκταση </w:t>
      </w:r>
      <w:r w:rsidR="00717D68">
        <w:t xml:space="preserve">της </w:t>
      </w:r>
      <w:r>
        <w:t>εφαρμογής της ψηφιακής κάρτας εργασίας. Αυξημένες προβλέπονται και οι μεταβιβάσεις από τον τακτικό προϋπολογισμό τόσο προς τα ασφαλιστικά ταμεία και τη ΔΥΠΑ</w:t>
      </w:r>
      <w:r w:rsidR="002008CC">
        <w:t>,</w:t>
      </w:r>
      <w:r>
        <w:t xml:space="preserve"> </w:t>
      </w:r>
      <w:r w:rsidR="002008CC">
        <w:t xml:space="preserve">για την </w:t>
      </w:r>
      <w:r>
        <w:t xml:space="preserve">κάλυψη παροχών κύριας ασφάλισης και </w:t>
      </w:r>
      <w:r w:rsidR="002008CC">
        <w:t xml:space="preserve">για την </w:t>
      </w:r>
      <w:r>
        <w:t>απώλεια ασφαλιστικών εισφορών</w:t>
      </w:r>
      <w:r w:rsidR="002008CC">
        <w:t xml:space="preserve"> αντίστοιχα,</w:t>
      </w:r>
      <w:r>
        <w:t xml:space="preserve"> όσο και προς τον ΕΟΠΥΥ κυρίως για την κάλυψη της αύξησης του ορίου της φαρμακευτικής δαπάνης.</w:t>
      </w:r>
    </w:p>
    <w:p w14:paraId="0CFDC25A" w14:textId="7FB7F0BF" w:rsidR="00745D1B" w:rsidRPr="00047CB7" w:rsidRDefault="00B82EBB" w:rsidP="0069366D">
      <w:r>
        <w:t>Στο σκέλος των δαπανών η συνταξιοδοτική δαπάνη προβλέπεται να αυξηθεί κατά 1</w:t>
      </w:r>
      <w:r w:rsidR="00A54F6B">
        <w:t>,1</w:t>
      </w:r>
      <w:r>
        <w:t xml:space="preserve"> δι</w:t>
      </w:r>
      <w:r w:rsidR="00717D68">
        <w:t>σ.</w:t>
      </w:r>
      <w:r>
        <w:t xml:space="preserve"> ευρώ περίπου, ενσωματώνοντας την ετήσια αύξηση των συντάξεων βάσει πληθωρισμού και ΑΕΠ χωρίς συμψηφισμό της προσωπικής διαφοράς </w:t>
      </w:r>
      <w:r w:rsidR="00717D68">
        <w:t xml:space="preserve">καθώς </w:t>
      </w:r>
      <w:r>
        <w:t>και</w:t>
      </w:r>
      <w:r w:rsidRPr="000474A6">
        <w:t xml:space="preserve"> </w:t>
      </w:r>
      <w:r>
        <w:t>την κ</w:t>
      </w:r>
      <w:r w:rsidRPr="001F4682">
        <w:t xml:space="preserve">ατάργηση </w:t>
      </w:r>
      <w:r w:rsidR="00A014AF">
        <w:t xml:space="preserve">της </w:t>
      </w:r>
      <w:r w:rsidRPr="001F4682">
        <w:t xml:space="preserve">μείωσης κατά 50% των συντάξεων </w:t>
      </w:r>
      <w:r w:rsidR="00717D68">
        <w:t>λόγω θανάτου</w:t>
      </w:r>
      <w:r>
        <w:t xml:space="preserve">. Στις εκτιμήσεις ενσωματώνονται και λοιπά μέτρα κοινωνικής πολιτικής, όπως η ετήσια τιμαριθμοποίηση των αναπηρικών επιδομάτων, </w:t>
      </w:r>
      <w:r w:rsidR="00FA21DA">
        <w:t>τα οποία</w:t>
      </w:r>
      <w:r>
        <w:t xml:space="preserve"> μέχρι σήμερα δεν αναπροσαρμόζονταν, οδηγώντας σε αύξηση των χορηγούμενων ποσών προς τους </w:t>
      </w:r>
      <w:proofErr w:type="spellStart"/>
      <w:r>
        <w:t>ωφελο</w:t>
      </w:r>
      <w:r w:rsidR="00FA21DA">
        <w:t>υ</w:t>
      </w:r>
      <w:r>
        <w:t>μ</w:t>
      </w:r>
      <w:r w:rsidR="00FA21DA">
        <w:t>έ</w:t>
      </w:r>
      <w:r>
        <w:t>νους</w:t>
      </w:r>
      <w:proofErr w:type="spellEnd"/>
      <w:r>
        <w:t xml:space="preserve">, η αύξηση του ορίου της φαρμακευτικής δαπάνης </w:t>
      </w:r>
      <w:r w:rsidRPr="00FA21DA">
        <w:t>κ</w:t>
      </w:r>
      <w:r w:rsidR="00EF2759" w:rsidRPr="00FA21DA">
        <w:t>.λπ.</w:t>
      </w:r>
      <w:r>
        <w:t xml:space="preserve"> Το ύψος των δαπανών του υποτομέα όσο και των αντίστοιχων εσόδων </w:t>
      </w:r>
      <w:r w:rsidR="00EF2759">
        <w:t xml:space="preserve">- </w:t>
      </w:r>
      <w:r>
        <w:t>σε σ</w:t>
      </w:r>
      <w:r w:rsidR="00671D86">
        <w:t>ύγκριση</w:t>
      </w:r>
      <w:r>
        <w:t xml:space="preserve"> με το προηγούμενο έτος</w:t>
      </w:r>
      <w:r w:rsidR="00EF2759">
        <w:t xml:space="preserve"> -</w:t>
      </w:r>
      <w:r>
        <w:t xml:space="preserve"> επηρεάζεται από την ολοκλήρωση </w:t>
      </w:r>
      <w:r w:rsidR="00671D86">
        <w:t xml:space="preserve">των </w:t>
      </w:r>
      <w:r>
        <w:t>προγραμμάτων του Τ</w:t>
      </w:r>
      <w:r w:rsidR="00EF2759">
        <w:t>ΑΑ</w:t>
      </w:r>
      <w:r>
        <w:t xml:space="preserve"> εντός του 2026.</w:t>
      </w:r>
    </w:p>
    <w:p w14:paraId="7E15B110" w14:textId="77777777" w:rsidR="008879FA" w:rsidRPr="00E627DD" w:rsidRDefault="008879FA" w:rsidP="00DC6F26">
      <w:pPr>
        <w:pStyle w:val="4"/>
        <w:keepNext w:val="0"/>
      </w:pPr>
      <w:bookmarkStart w:id="236" w:name="_Toc242019551"/>
      <w:r w:rsidRPr="00E627DD">
        <w:t>Επισκόπηση δαπανών</w:t>
      </w:r>
      <w:r w:rsidR="00A06EC7" w:rsidRPr="00E627DD">
        <w:t xml:space="preserve"> και εσόδων</w:t>
      </w:r>
      <w:bookmarkEnd w:id="236"/>
    </w:p>
    <w:p w14:paraId="040D93DC" w14:textId="695B61CA" w:rsidR="00E02C39" w:rsidRDefault="00E02C39" w:rsidP="00E02C39">
      <w:r>
        <w:t xml:space="preserve">Η επισκόπηση δαπανών και εσόδων αποτελεί βασικό εργαλείο για την ορθολογική διαχείριση και </w:t>
      </w:r>
      <w:r w:rsidR="00D1582B">
        <w:t xml:space="preserve">την </w:t>
      </w:r>
      <w:r>
        <w:t xml:space="preserve">αποτελεσματική αξιοποίηση των διαθέσιμων δημοσιονομικών πόρων. Μέσω της διαδικασίας αυτής ενισχύεται η συστηματική αξιολόγηση των δαπανών, των διαδικασιών και των δράσεων των φορέων της Γενικής Κυβέρνησης, με στόχο τη βελτίωση της ποιότητας και αποδοτικότητας των </w:t>
      </w:r>
      <w:r w:rsidRPr="004408C3">
        <w:t>δημ</w:t>
      </w:r>
      <w:r w:rsidR="007124EE" w:rsidRPr="004408C3">
        <w:t>ο</w:t>
      </w:r>
      <w:r w:rsidRPr="004408C3">
        <w:t>σ</w:t>
      </w:r>
      <w:r w:rsidR="007124EE" w:rsidRPr="004408C3">
        <w:t>ί</w:t>
      </w:r>
      <w:r w:rsidRPr="004408C3">
        <w:t>ων</w:t>
      </w:r>
      <w:r>
        <w:t xml:space="preserve"> πολιτικών.</w:t>
      </w:r>
    </w:p>
    <w:p w14:paraId="17EE05AA" w14:textId="1703C299" w:rsidR="00E02C39" w:rsidRDefault="00E02C39" w:rsidP="00E02C39">
      <w:r>
        <w:t xml:space="preserve">Σε αυτή την κατεύθυνση θα συνεχιστεί και για το 2027 η αποτύπωση των κύριων δράσεων επισκόπησης δαπανών και εσόδων των Υπουργείων και των εποπτευόμενων φορέων της Γενικής Κυβέρνησης. Οι δράσεις αυτές, οριζόντιες και τομεακές, θα καταχωρίζονται στο νέο ολοκληρωμένο πληροφοριακό σύστημα </w:t>
      </w:r>
      <w:proofErr w:type="spellStart"/>
      <w:r>
        <w:t>govERP</w:t>
      </w:r>
      <w:proofErr w:type="spellEnd"/>
      <w:r>
        <w:t xml:space="preserve">, μέσω του οποίου θα παρακολουθείται και η απόδοσή </w:t>
      </w:r>
      <w:r w:rsidR="00D1582B">
        <w:t>τους,</w:t>
      </w:r>
      <w:r>
        <w:t xml:space="preserve"> και θα παρουσιαστούν στον ειδικό τόμο του προϋπολογισμού επιδόσεων.</w:t>
      </w:r>
    </w:p>
    <w:p w14:paraId="215BFAB7" w14:textId="4B076ADF" w:rsidR="00E02C39" w:rsidRDefault="00E02C39" w:rsidP="00E02C39">
      <w:r>
        <w:t>Οι δράσεις θα επικεντρωθούν στην περαιτέρω βελτίωση της αποδοτικότητας των δαπανών, στον εξορθολογισμό της χρήσης των διαθέσιμων πόρων καθώς και στην ενίσχυση των δημοσίων εσόδων και της εισπραξιμότητας, με στόχο τη δημιουργία πρόσθετου δημοσιονομικού χώρου</w:t>
      </w:r>
      <w:r w:rsidRPr="0089050B">
        <w:t>.</w:t>
      </w:r>
    </w:p>
    <w:p w14:paraId="6D769663" w14:textId="3662CDC0" w:rsidR="00CB1F21" w:rsidRPr="00657BE1" w:rsidRDefault="00E02C39" w:rsidP="00CB1F21">
      <w:pPr>
        <w:rPr>
          <w:highlight w:val="yellow"/>
        </w:rPr>
      </w:pPr>
      <w:r>
        <w:t xml:space="preserve">Ο συντονισμός και η παρακολούθηση των δράσεων διενεργείται από το Γενικό Λογιστήριο του Κράτους (ΓΛΚ) σε συνεργασία με τα Υπουργεία και τους εποπτευόμενους από αυτά </w:t>
      </w:r>
      <w:r w:rsidR="007124EE">
        <w:t>φ</w:t>
      </w:r>
      <w:r>
        <w:t>ορείς της Γενικής Κυβέρνησης.</w:t>
      </w:r>
    </w:p>
    <w:p w14:paraId="01562A5A" w14:textId="77777777" w:rsidR="008879FA" w:rsidRPr="00E627DD" w:rsidRDefault="008879FA" w:rsidP="00DC6F26">
      <w:pPr>
        <w:pStyle w:val="4"/>
        <w:keepNext w:val="0"/>
      </w:pPr>
      <w:bookmarkStart w:id="237" w:name="_Toc242019552"/>
      <w:r w:rsidRPr="00E627DD">
        <w:t>Προϋπολογισμός επιδόσεων</w:t>
      </w:r>
      <w:bookmarkEnd w:id="237"/>
    </w:p>
    <w:p w14:paraId="53FF27D9" w14:textId="0526EF28" w:rsidR="005D5583" w:rsidRPr="00857A51" w:rsidRDefault="005D5583" w:rsidP="005D5583">
      <w:r w:rsidRPr="00857A51">
        <w:t xml:space="preserve">Για το 2027 η κατάρτιση του προϋπολογισμού επιδόσεων θα υποστηρίζεται από το νέο </w:t>
      </w:r>
      <w:r>
        <w:t xml:space="preserve">πληροφοριακό σύστημα </w:t>
      </w:r>
      <w:proofErr w:type="spellStart"/>
      <w:r w:rsidRPr="00857A51">
        <w:t>govERP</w:t>
      </w:r>
      <w:proofErr w:type="spellEnd"/>
      <w:r w:rsidR="005751B1">
        <w:t>,</w:t>
      </w:r>
      <w:r w:rsidRPr="00857A51">
        <w:t xml:space="preserve"> στο οποίο καταχωρίζονται τα στοιχεία των </w:t>
      </w:r>
      <w:r>
        <w:t>φ</w:t>
      </w:r>
      <w:r w:rsidRPr="00857A51">
        <w:t>ορέων της Κεντρικής Διοίκησης και της Γενικής Κυβέρνησης</w:t>
      </w:r>
      <w:r>
        <w:t xml:space="preserve">, συμπεριλαμβανομένων </w:t>
      </w:r>
      <w:r w:rsidRPr="00857A51">
        <w:t>των Ανεξάρτητων Διοικητικών Αρχών (ΑΔΑ)</w:t>
      </w:r>
      <w:r>
        <w:t>.</w:t>
      </w:r>
    </w:p>
    <w:p w14:paraId="7EA88399" w14:textId="003485AC" w:rsidR="005D5583" w:rsidRDefault="005D5583" w:rsidP="005D5583">
      <w:r w:rsidRPr="00857A51">
        <w:t xml:space="preserve">Παράλληλα, το ΓΛΚ </w:t>
      </w:r>
      <w:r w:rsidR="005751B1">
        <w:t>συνεχίζει</w:t>
      </w:r>
      <w:r w:rsidRPr="00857A51">
        <w:t xml:space="preserve"> </w:t>
      </w:r>
      <w:r>
        <w:t>με</w:t>
      </w:r>
      <w:r w:rsidRPr="00857A51">
        <w:t xml:space="preserve"> την ενσωμάτωση στο νέο </w:t>
      </w:r>
      <w:proofErr w:type="spellStart"/>
      <w:r w:rsidRPr="00857A51">
        <w:t>govERP</w:t>
      </w:r>
      <w:proofErr w:type="spellEnd"/>
      <w:r w:rsidRPr="00857A51">
        <w:t xml:space="preserve"> των διαδικασιών παρακολούθησης της εκτέλεσης του προϋπολογισμού επιδόσεων</w:t>
      </w:r>
      <w:r>
        <w:t>, που θα επιτρέπει την παραγωγή αναφορών και εντός του έτους</w:t>
      </w:r>
      <w:r w:rsidRPr="00857A51">
        <w:t>.</w:t>
      </w:r>
    </w:p>
    <w:p w14:paraId="61A37B89" w14:textId="2DC872EC" w:rsidR="00C420CF" w:rsidRPr="005D5583" w:rsidRDefault="005D5583" w:rsidP="004C662F">
      <w:r>
        <w:rPr>
          <w:rFonts w:cs="Arial"/>
        </w:rPr>
        <w:t>Μέσ</w:t>
      </w:r>
      <w:r w:rsidR="00CC75D7">
        <w:rPr>
          <w:rFonts w:cs="Arial"/>
        </w:rPr>
        <w:t>ω των ανωτέρω</w:t>
      </w:r>
      <w:r>
        <w:rPr>
          <w:rFonts w:cs="Arial"/>
        </w:rPr>
        <w:t xml:space="preserve"> θα υποστηριχθεί η</w:t>
      </w:r>
      <w:r w:rsidRPr="00E832BC">
        <w:rPr>
          <w:rFonts w:cs="Arial"/>
        </w:rPr>
        <w:t xml:space="preserve"> περαιτέρω</w:t>
      </w:r>
      <w:r w:rsidRPr="00857A51">
        <w:t xml:space="preserve"> ενίσχυση της σύνδεσης των διαθέσιμων πόρων με τους στόχους και τα αποτελέσματα των </w:t>
      </w:r>
      <w:r w:rsidRPr="00CC75D7">
        <w:t>δημ</w:t>
      </w:r>
      <w:r w:rsidR="007124EE" w:rsidRPr="00CC75D7">
        <w:t>ο</w:t>
      </w:r>
      <w:r w:rsidRPr="00CC75D7">
        <w:t>σ</w:t>
      </w:r>
      <w:r w:rsidR="007124EE" w:rsidRPr="00CC75D7">
        <w:t>ί</w:t>
      </w:r>
      <w:r w:rsidRPr="00CC75D7">
        <w:t>ων</w:t>
      </w:r>
      <w:r w:rsidRPr="00857A51">
        <w:t xml:space="preserve"> πολιτικών.</w:t>
      </w:r>
    </w:p>
    <w:p w14:paraId="57C7237E" w14:textId="77777777" w:rsidR="000A462C" w:rsidRPr="00E627DD" w:rsidRDefault="00424E8B" w:rsidP="003F544B">
      <w:pPr>
        <w:pStyle w:val="4"/>
      </w:pPr>
      <w:bookmarkStart w:id="238" w:name="_Toc242019553"/>
      <w:r w:rsidRPr="00E627DD">
        <w:t>Λειτουργική ταξινόμηση του προϋπολογισμού</w:t>
      </w:r>
      <w:bookmarkEnd w:id="238"/>
    </w:p>
    <w:p w14:paraId="2296ED44" w14:textId="77777777" w:rsidR="005D5583" w:rsidRPr="00971005" w:rsidRDefault="005D5583" w:rsidP="005D5583">
      <w:r>
        <w:t xml:space="preserve">Και ο </w:t>
      </w:r>
      <w:r w:rsidRPr="00971005">
        <w:t xml:space="preserve">προϋπολογισμός του 2027 θα περιλαμβάνει προϋπολογιστική αναφορά σε δεύτερο επίπεδο λειτουργικής ταξινόμησης, σύμφωνα με το </w:t>
      </w:r>
      <w:r>
        <w:t xml:space="preserve">διεθνές </w:t>
      </w:r>
      <w:r w:rsidRPr="00971005">
        <w:t>πρότυπο CoFoG (Classification of the Functions of Government - CoFoG).</w:t>
      </w:r>
    </w:p>
    <w:p w14:paraId="37CFCC05" w14:textId="22DD550B" w:rsidR="00AE5C29" w:rsidRPr="005D5583" w:rsidRDefault="005D5583" w:rsidP="00AE5C29">
      <w:r w:rsidRPr="00971005">
        <w:t>Για την κατάρτιση της σχετικής αναφοράς αξιοποιείται η ταξινόμηση κατά Πρόγραμμα, καθ</w:t>
      </w:r>
      <w:r w:rsidR="00196EE3">
        <w:t xml:space="preserve">’ όσον </w:t>
      </w:r>
      <w:r w:rsidRPr="00971005">
        <w:t xml:space="preserve">υπάρχει διασύνδεση της λειτουργικής ταξινόμησης με την ταξινόμηση των Προγραμμάτων σε αναλυτικό επίπεδο. Η διασύνδεση των Προγραμμάτων με την ταξινόμηση CoFoG </w:t>
      </w:r>
      <w:r>
        <w:t>ενσωματώνεται</w:t>
      </w:r>
      <w:r w:rsidRPr="00971005">
        <w:t xml:space="preserve"> στο νέο </w:t>
      </w:r>
      <w:proofErr w:type="spellStart"/>
      <w:r w:rsidRPr="00971005">
        <w:t>govERP</w:t>
      </w:r>
      <w:proofErr w:type="spellEnd"/>
      <w:r w:rsidRPr="00971005">
        <w:t xml:space="preserve">, </w:t>
      </w:r>
      <w:r>
        <w:t xml:space="preserve">με στόχο να </w:t>
      </w:r>
      <w:r w:rsidRPr="00971005">
        <w:t>υποστηρ</w:t>
      </w:r>
      <w:r>
        <w:t>ιχ</w:t>
      </w:r>
      <w:r w:rsidR="00196EE3">
        <w:t>τ</w:t>
      </w:r>
      <w:r>
        <w:t xml:space="preserve">εί και η </w:t>
      </w:r>
      <w:r w:rsidRPr="00971005">
        <w:t>αποτύπωση</w:t>
      </w:r>
      <w:r>
        <w:t xml:space="preserve"> απολογιστικών αναφορών</w:t>
      </w:r>
      <w:r w:rsidRPr="00971005">
        <w:t>.</w:t>
      </w:r>
    </w:p>
    <w:p w14:paraId="39D2AB04" w14:textId="77777777" w:rsidR="00424E8B" w:rsidRPr="00E627DD" w:rsidRDefault="00424E8B" w:rsidP="00DC6F26">
      <w:pPr>
        <w:pStyle w:val="4"/>
        <w:keepNext w:val="0"/>
      </w:pPr>
      <w:bookmarkStart w:id="239" w:name="_Toc242019554"/>
      <w:r w:rsidRPr="00E627DD">
        <w:t xml:space="preserve">Ενσωμάτωση της περιβαλλοντικής διάστασης στον </w:t>
      </w:r>
      <w:r w:rsidR="00AE5C29" w:rsidRPr="00E627DD">
        <w:t>προϋπολογισμό</w:t>
      </w:r>
      <w:r w:rsidRPr="00E627DD">
        <w:t xml:space="preserve"> </w:t>
      </w:r>
      <w:r w:rsidR="00A21CC7" w:rsidRPr="00E627DD">
        <w:t>-</w:t>
      </w:r>
      <w:r w:rsidRPr="00E627DD">
        <w:t xml:space="preserve"> Green Budgeting</w:t>
      </w:r>
      <w:bookmarkEnd w:id="239"/>
    </w:p>
    <w:p w14:paraId="24E53C38" w14:textId="01130C88" w:rsidR="007124EE" w:rsidRDefault="007124EE" w:rsidP="007124EE">
      <w:r>
        <w:t>Η ενσωμάτωση της περιβαλλοντικής διάστασης στον προϋπολογισμό (green budgeting) αποτελεί βασικό εργαλείο για την ενίσχυση της σύνδεσης της δημοσιονομικής πολιτικής με τους στόχους για το κλίμα και το περιβάλλον καθώς και για την ενσωμάτωση της περιβαλλοντικής διάστασης στη διαδικασία λήψης δημοσιονομικών αποφάσεων.</w:t>
      </w:r>
    </w:p>
    <w:p w14:paraId="0943FDF9" w14:textId="19CEF404" w:rsidR="007124EE" w:rsidRDefault="007124EE" w:rsidP="007124EE">
      <w:r>
        <w:t xml:space="preserve">Ο χαρακτηρισμός των Προγραμμάτων των </w:t>
      </w:r>
      <w:r w:rsidR="001B3C2B">
        <w:t>φ</w:t>
      </w:r>
      <w:r>
        <w:t>ορέων της Κεντρικής Διοίκησης ως προς την περιβαλλοντική τους επίπτωση σε σχέση με τους έξι περιβαλλοντικούς στόχους βιώσιμων δραστηριοτήτων της ΕΕ (</w:t>
      </w:r>
      <w:proofErr w:type="spellStart"/>
      <w:r>
        <w:t>green</w:t>
      </w:r>
      <w:proofErr w:type="spellEnd"/>
      <w:r>
        <w:t xml:space="preserve"> </w:t>
      </w:r>
      <w:proofErr w:type="spellStart"/>
      <w:r>
        <w:t>budget</w:t>
      </w:r>
      <w:proofErr w:type="spellEnd"/>
      <w:r>
        <w:t xml:space="preserve"> </w:t>
      </w:r>
      <w:proofErr w:type="spellStart"/>
      <w:r>
        <w:t>tagging</w:t>
      </w:r>
      <w:proofErr w:type="spellEnd"/>
      <w:r>
        <w:t xml:space="preserve">), </w:t>
      </w:r>
      <w:proofErr w:type="spellStart"/>
      <w:r>
        <w:t>επικαιροποιείται</w:t>
      </w:r>
      <w:proofErr w:type="spellEnd"/>
      <w:r>
        <w:t xml:space="preserve"> σε ετήσια βάση, όπου απαιτείται, από τους αρμόδιους φορείς της Κεντρικής Διοίκησης σε συνεργασία με το ΓΛΚ και το Υπουργείο Περιβάλλοντος και Ενέργειας.</w:t>
      </w:r>
    </w:p>
    <w:p w14:paraId="1072F3D4" w14:textId="6140F3C1" w:rsidR="007124EE" w:rsidRDefault="007124EE" w:rsidP="007124EE">
      <w:r>
        <w:t xml:space="preserve">Για το 2027 η περιβαλλοντική αξιολόγηση των Προγραμμάτων θα παρακολουθείται </w:t>
      </w:r>
      <w:r w:rsidR="00693126">
        <w:t xml:space="preserve">εντός του </w:t>
      </w:r>
      <w:proofErr w:type="spellStart"/>
      <w:r>
        <w:t>govERP</w:t>
      </w:r>
      <w:proofErr w:type="spellEnd"/>
      <w:r>
        <w:t>.</w:t>
      </w:r>
    </w:p>
    <w:p w14:paraId="2500D29A" w14:textId="78C6C132" w:rsidR="007124EE" w:rsidRDefault="007124EE" w:rsidP="007124EE">
      <w:r>
        <w:t xml:space="preserve">Παράλληλα, συνεχίζεται η ανάπτυξη του πλαισίου για την παρακολούθηση της περιβαλλοντικής αξιολόγησης των εσόδων και των φορολογικών δαπανών </w:t>
      </w:r>
      <w:r w:rsidR="00ED74EE">
        <w:t>μ</w:t>
      </w:r>
      <w:r>
        <w:t>ε</w:t>
      </w:r>
      <w:r w:rsidR="00ED74EE">
        <w:t xml:space="preserve"> τη</w:t>
      </w:r>
      <w:r>
        <w:t xml:space="preserve"> συνεργασία των συναρμόδιων Υπηρεσιών του Υπουργείου Εθνικής Οικονομίας και Οικονομικών με το Υπουργείο Περιβάλλοντος και Ενέργειας.</w:t>
      </w:r>
    </w:p>
    <w:p w14:paraId="5A598B16" w14:textId="77777777" w:rsidR="007B5027" w:rsidRPr="00106E60" w:rsidRDefault="00356CB9" w:rsidP="00DC6F26">
      <w:pPr>
        <w:pStyle w:val="3"/>
        <w:keepNext w:val="0"/>
      </w:pPr>
      <w:bookmarkStart w:id="240" w:name="_Δημοσιονομικές_παρεμβάσεις_2023"/>
      <w:bookmarkStart w:id="241" w:name="_Δημοσιονομικές_παρεμβάσεις_2024"/>
      <w:bookmarkStart w:id="242" w:name="_Δημοσιονομικές_παρεμβάσεις"/>
      <w:bookmarkStart w:id="243" w:name="_Ref241747501"/>
      <w:bookmarkStart w:id="244" w:name="_Ref241747515"/>
      <w:bookmarkStart w:id="245" w:name="_Ref241747528"/>
      <w:bookmarkStart w:id="246" w:name="_Ref241747536"/>
      <w:bookmarkStart w:id="247" w:name="_Ref241747541"/>
      <w:bookmarkStart w:id="248" w:name="_Ref241747543"/>
      <w:bookmarkStart w:id="249" w:name="_Ref241747548"/>
      <w:bookmarkStart w:id="250" w:name="_Ref241747749"/>
      <w:bookmarkStart w:id="251" w:name="_Ref241747758"/>
      <w:bookmarkStart w:id="252" w:name="_Toc242019555"/>
      <w:bookmarkStart w:id="253" w:name="_Hlk241579930"/>
      <w:bookmarkEnd w:id="240"/>
      <w:bookmarkEnd w:id="241"/>
      <w:bookmarkEnd w:id="242"/>
      <w:r w:rsidRPr="00656E67">
        <w:t>Δημοσιονομικές</w:t>
      </w:r>
      <w:r w:rsidRPr="00D71BCB">
        <w:t xml:space="preserve"> παρεμβάσεις</w:t>
      </w:r>
      <w:bookmarkStart w:id="254" w:name="_Toc114489612"/>
      <w:bookmarkStart w:id="255" w:name="_Toc114489700"/>
      <w:bookmarkStart w:id="256" w:name="_Toc115338171"/>
      <w:bookmarkStart w:id="257" w:name="_Toc115358148"/>
      <w:bookmarkStart w:id="258" w:name="_Toc115424376"/>
      <w:bookmarkStart w:id="259" w:name="_Toc115435243"/>
      <w:bookmarkStart w:id="260" w:name="_Toc115437977"/>
      <w:bookmarkStart w:id="261" w:name="_Toc114219864"/>
      <w:bookmarkStart w:id="262" w:name="_Toc114234857"/>
      <w:bookmarkStart w:id="263" w:name="_Toc114489527"/>
      <w:bookmarkStart w:id="264" w:name="_Toc114489613"/>
      <w:bookmarkStart w:id="265" w:name="_Toc114489701"/>
      <w:bookmarkStart w:id="266" w:name="_Toc115338172"/>
      <w:bookmarkStart w:id="267" w:name="_Toc115358149"/>
      <w:bookmarkStart w:id="268" w:name="_Toc115424377"/>
      <w:bookmarkStart w:id="269" w:name="_Toc115435244"/>
      <w:bookmarkStart w:id="270" w:name="_Toc115437978"/>
      <w:bookmarkStart w:id="271" w:name="_Toc114219868"/>
      <w:bookmarkStart w:id="272" w:name="_Toc114234861"/>
      <w:bookmarkStart w:id="273" w:name="_Toc114489531"/>
      <w:bookmarkStart w:id="274" w:name="_Toc114489617"/>
      <w:bookmarkStart w:id="275" w:name="_Toc114489705"/>
      <w:bookmarkStart w:id="276" w:name="_Toc115338176"/>
      <w:bookmarkStart w:id="277" w:name="_Toc115358153"/>
      <w:bookmarkStart w:id="278" w:name="_Toc115424381"/>
      <w:bookmarkStart w:id="279" w:name="_Toc115435248"/>
      <w:bookmarkStart w:id="280" w:name="_Toc115437982"/>
      <w:bookmarkStart w:id="281" w:name="_Toc115526154"/>
      <w:bookmarkStart w:id="282" w:name="_Toc146645073"/>
      <w:bookmarkStart w:id="283" w:name="_Toc146819101"/>
      <w:bookmarkStart w:id="284" w:name="_Toc147015740"/>
      <w:bookmarkStart w:id="285" w:name="_Toc178751228"/>
      <w:bookmarkEnd w:id="243"/>
      <w:bookmarkEnd w:id="244"/>
      <w:bookmarkEnd w:id="245"/>
      <w:bookmarkEnd w:id="246"/>
      <w:bookmarkEnd w:id="247"/>
      <w:bookmarkEnd w:id="248"/>
      <w:bookmarkEnd w:id="249"/>
      <w:bookmarkEnd w:id="250"/>
      <w:bookmarkEnd w:id="251"/>
      <w:bookmarkEnd w:id="252"/>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0317A0CA" w14:textId="13F50DE0" w:rsidR="00E66E82" w:rsidRDefault="00E66E82" w:rsidP="005B14B3">
      <w:bookmarkStart w:id="286" w:name="_Toc209798255"/>
      <w:bookmarkStart w:id="287" w:name="_Toc210055422"/>
      <w:bookmarkStart w:id="288" w:name="_Toc210059718"/>
      <w:bookmarkStart w:id="289" w:name="_Toc210218229"/>
      <w:bookmarkStart w:id="290" w:name="_Toc210394913"/>
      <w:bookmarkStart w:id="291" w:name="_Toc210494443"/>
      <w:bookmarkStart w:id="292" w:name="_Toc210570635"/>
      <w:bookmarkStart w:id="293" w:name="_Toc210570680"/>
      <w:r>
        <w:t>Οι</w:t>
      </w:r>
      <w:r w:rsidRPr="004C1D8B">
        <w:t xml:space="preserve"> δημοσιονομικ</w:t>
      </w:r>
      <w:r>
        <w:t>ές</w:t>
      </w:r>
      <w:r w:rsidRPr="004C1D8B">
        <w:t xml:space="preserve"> παρεμβάσε</w:t>
      </w:r>
      <w:r>
        <w:t xml:space="preserve">ις </w:t>
      </w:r>
      <w:r w:rsidRPr="004C1D8B">
        <w:t xml:space="preserve">που ανακοινώθηκαν στο πλαίσιο της </w:t>
      </w:r>
      <w:r w:rsidRPr="00F5786E">
        <w:t>ΔΕΘ</w:t>
      </w:r>
      <w:r w:rsidRPr="004C1D8B">
        <w:t xml:space="preserve"> 2026</w:t>
      </w:r>
      <w:r w:rsidR="00C22B44">
        <w:t xml:space="preserve">, η εφαρμογή της πλειονότητας των οποίων εκκινεί από το 2027 και ο </w:t>
      </w:r>
      <w:r w:rsidRPr="004C1D8B">
        <w:t>ορίζοντα</w:t>
      </w:r>
      <w:r w:rsidR="00C22B44">
        <w:t>ς</w:t>
      </w:r>
      <w:r w:rsidRPr="004C1D8B">
        <w:t xml:space="preserve"> υλοποίησ</w:t>
      </w:r>
      <w:r w:rsidR="00C22B44">
        <w:t>ή</w:t>
      </w:r>
      <w:r w:rsidRPr="004C1D8B">
        <w:t>ς</w:t>
      </w:r>
      <w:r w:rsidR="00C22B44">
        <w:t xml:space="preserve"> τους εκτείνεται </w:t>
      </w:r>
      <w:r w:rsidRPr="004C1D8B">
        <w:t>έως το έτος 2030</w:t>
      </w:r>
      <w:r>
        <w:t>,</w:t>
      </w:r>
      <w:r w:rsidRPr="004C1D8B">
        <w:t xml:space="preserve"> διαρθρώνονται γύρω από τέσσερις κεντρικούς άξονες: </w:t>
      </w:r>
      <w:r w:rsidRPr="0051281F">
        <w:t>(</w:t>
      </w:r>
      <w:r w:rsidRPr="004C1D8B">
        <w:t>α) την ενίσχυση του διαθέσιμου εισοδήματος για το σύνολο των κοινωνικών ομάδων (ελεύθεροι επαγγελματίες, μισθωτοί</w:t>
      </w:r>
      <w:r w:rsidR="00EF3D23">
        <w:t xml:space="preserve"> του ιδιωτικού τομέα</w:t>
      </w:r>
      <w:r w:rsidRPr="004C1D8B">
        <w:t xml:space="preserve">, συνταξιούχοι, δημόσιοι υπάλληλοι, αγρότες, </w:t>
      </w:r>
      <w:r w:rsidRPr="007D4A0E">
        <w:t>άτομα με αναπηρία</w:t>
      </w:r>
      <w:r w:rsidRPr="004C1D8B">
        <w:t xml:space="preserve">), </w:t>
      </w:r>
      <w:r w:rsidRPr="0051281F">
        <w:t>(</w:t>
      </w:r>
      <w:r w:rsidRPr="004C1D8B">
        <w:t xml:space="preserve">β) την </w:t>
      </w:r>
      <w:r>
        <w:t xml:space="preserve">ενίσχυση </w:t>
      </w:r>
      <w:r w:rsidRPr="004C1D8B">
        <w:t>των ιδιωτικών και δημ</w:t>
      </w:r>
      <w:r w:rsidR="0029335A">
        <w:t>ο</w:t>
      </w:r>
      <w:r w:rsidRPr="004C1D8B">
        <w:t>σ</w:t>
      </w:r>
      <w:r w:rsidR="0029335A">
        <w:t>ί</w:t>
      </w:r>
      <w:r w:rsidRPr="004C1D8B">
        <w:t xml:space="preserve">ων επενδύσεων, </w:t>
      </w:r>
      <w:r w:rsidRPr="0051281F">
        <w:t>(</w:t>
      </w:r>
      <w:r w:rsidRPr="004C1D8B">
        <w:t xml:space="preserve">γ) την άσκηση </w:t>
      </w:r>
      <w:proofErr w:type="spellStart"/>
      <w:r w:rsidRPr="004C1D8B">
        <w:t>στοχευμένης</w:t>
      </w:r>
      <w:proofErr w:type="spellEnd"/>
      <w:r w:rsidRPr="004C1D8B">
        <w:t xml:space="preserve"> κοινωνικής πολιτικής με έμφαση στο στεγαστικό</w:t>
      </w:r>
      <w:r>
        <w:t xml:space="preserve"> και</w:t>
      </w:r>
      <w:r w:rsidRPr="004C1D8B">
        <w:t xml:space="preserve"> </w:t>
      </w:r>
      <w:r>
        <w:t>σ</w:t>
      </w:r>
      <w:r w:rsidRPr="004C1D8B">
        <w:t xml:space="preserve">το δημογραφικό </w:t>
      </w:r>
      <w:r>
        <w:t xml:space="preserve">ζήτημα καθώς </w:t>
      </w:r>
      <w:r w:rsidRPr="004C1D8B">
        <w:t xml:space="preserve">και </w:t>
      </w:r>
      <w:r>
        <w:t>σ</w:t>
      </w:r>
      <w:r w:rsidRPr="004C1D8B">
        <w:t xml:space="preserve">την υγεία και </w:t>
      </w:r>
      <w:r w:rsidRPr="0051281F">
        <w:t>(</w:t>
      </w:r>
      <w:r w:rsidRPr="004C1D8B">
        <w:t>δ) την ενίσχυση της ενεργειακής αυτονομίας με παράλληλη μείωση του κόστους ηλεκτρικής ενέργειας.</w:t>
      </w:r>
    </w:p>
    <w:p w14:paraId="3C8012CA" w14:textId="77777777" w:rsidR="00E66E82" w:rsidRDefault="00E66E82" w:rsidP="005B14B3">
      <w:r>
        <w:t>Οι κυριότερες νέες παρεμβάσεις για τα έτη 2026 και 2027 αφορούν:</w:t>
      </w:r>
    </w:p>
    <w:p w14:paraId="185DAC13" w14:textId="71851D0D" w:rsidR="00E66E82" w:rsidRPr="005B14B3" w:rsidRDefault="00A94DF6" w:rsidP="005B14B3">
      <w:pPr>
        <w:numPr>
          <w:ilvl w:val="0"/>
          <w:numId w:val="1"/>
        </w:numPr>
        <w:spacing w:before="120" w:after="60"/>
        <w:ind w:left="568" w:hanging="284"/>
      </w:pPr>
      <w:r w:rsidRPr="005B14B3">
        <w:t>στ</w:t>
      </w:r>
      <w:r w:rsidR="00E66E82" w:rsidRPr="005B14B3">
        <w:t>ην απαλλαγή για τους συνεπείς ελεύθερους επαγγελματίες από τις προσαυξήσεις βάσει του κύκλου εργασιών και της μισθοδοσίας προσωπικού, κατά τον υπολογισμό του ελάχιστου ποσού καθαρού εισοδήματος,</w:t>
      </w:r>
    </w:p>
    <w:p w14:paraId="5C9F1377" w14:textId="0ADD26AF" w:rsidR="00E66E82" w:rsidRPr="005B14B3" w:rsidRDefault="00A94DF6" w:rsidP="005B14B3">
      <w:pPr>
        <w:numPr>
          <w:ilvl w:val="0"/>
          <w:numId w:val="1"/>
        </w:numPr>
        <w:spacing w:before="60" w:after="60"/>
        <w:ind w:left="568" w:hanging="284"/>
      </w:pPr>
      <w:r w:rsidRPr="005B14B3">
        <w:t>σ</w:t>
      </w:r>
      <w:r w:rsidR="00E66E82" w:rsidRPr="005B14B3">
        <w:t xml:space="preserve">τον μηδενισμό του φορολογικού συντελεστή για τους κατά κύριο επάγγελμα αγρότες και τους </w:t>
      </w:r>
      <w:proofErr w:type="spellStart"/>
      <w:r w:rsidR="00E66E82" w:rsidRPr="005B14B3">
        <w:t>τρ</w:t>
      </w:r>
      <w:r w:rsidRPr="005B14B3">
        <w:t>ι</w:t>
      </w:r>
      <w:r w:rsidR="00E66E82" w:rsidRPr="005B14B3">
        <w:t>τ</w:t>
      </w:r>
      <w:r w:rsidRPr="005B14B3">
        <w:t>έ</w:t>
      </w:r>
      <w:r w:rsidR="00E66E82" w:rsidRPr="005B14B3">
        <w:t>κνους</w:t>
      </w:r>
      <w:proofErr w:type="spellEnd"/>
      <w:r w:rsidR="00084107">
        <w:t xml:space="preserve"> με φορολογητέο εισόδημα</w:t>
      </w:r>
      <w:r w:rsidR="00084107" w:rsidRPr="00084107">
        <w:t xml:space="preserve"> </w:t>
      </w:r>
      <w:r w:rsidR="00084107" w:rsidRPr="005B14B3">
        <w:t>έως 20.000 ευρώ</w:t>
      </w:r>
      <w:r w:rsidR="00E66E82" w:rsidRPr="005B14B3">
        <w:t>, σε συνέχεια της φορολογικής μεταρρύθμισης του 2026,</w:t>
      </w:r>
    </w:p>
    <w:p w14:paraId="5DBAAFC5" w14:textId="24B9A57E" w:rsidR="00E66E82" w:rsidRPr="005B14B3" w:rsidRDefault="00A94DF6" w:rsidP="005B14B3">
      <w:pPr>
        <w:numPr>
          <w:ilvl w:val="0"/>
          <w:numId w:val="1"/>
        </w:numPr>
        <w:spacing w:before="60" w:after="60"/>
        <w:ind w:left="568" w:hanging="284"/>
      </w:pPr>
      <w:r w:rsidRPr="005B14B3">
        <w:t>σ</w:t>
      </w:r>
      <w:r w:rsidR="00E66E82" w:rsidRPr="005B14B3">
        <w:t xml:space="preserve">τη μόνιμη αύξηση της ενίσχυσης του Νοεμβρίου σε συνταξιούχους, </w:t>
      </w:r>
      <w:r w:rsidR="0029335A">
        <w:t xml:space="preserve">σε </w:t>
      </w:r>
      <w:r w:rsidR="00E66E82" w:rsidRPr="005B14B3">
        <w:t>άτομα με αναπηρία και</w:t>
      </w:r>
      <w:r w:rsidR="0029335A">
        <w:t xml:space="preserve"> σε</w:t>
      </w:r>
      <w:r w:rsidR="00E66E82" w:rsidRPr="005B14B3">
        <w:t xml:space="preserve"> ανασφάλιστους υπερήλικες από 300</w:t>
      </w:r>
      <w:r w:rsidR="0029335A">
        <w:t xml:space="preserve"> ευρώ</w:t>
      </w:r>
      <w:r w:rsidR="00E66E82" w:rsidRPr="005B14B3">
        <w:t xml:space="preserve"> σε 400 ευρώ καθαρά και </w:t>
      </w:r>
      <w:r w:rsidR="0029335A">
        <w:t>σ</w:t>
      </w:r>
      <w:r w:rsidR="00E66E82" w:rsidRPr="005B14B3">
        <w:t>τη</w:t>
      </w:r>
      <w:r w:rsidR="0029335A">
        <w:t>ν</w:t>
      </w:r>
      <w:r w:rsidR="00E66E82" w:rsidRPr="005B14B3">
        <w:t xml:space="preserve"> </w:t>
      </w:r>
      <w:r w:rsidR="0029335A">
        <w:t xml:space="preserve">επέκταση </w:t>
      </w:r>
      <w:r w:rsidR="00E66E82" w:rsidRPr="005B14B3">
        <w:t xml:space="preserve">της ενίσχυσης </w:t>
      </w:r>
      <w:r w:rsidR="0029335A">
        <w:t>σ</w:t>
      </w:r>
      <w:r w:rsidR="00E66E82" w:rsidRPr="005B14B3">
        <w:t xml:space="preserve">το σύνολο των συνταξιούχων </w:t>
      </w:r>
      <w:r w:rsidR="0029335A">
        <w:t xml:space="preserve">ηλικίας </w:t>
      </w:r>
      <w:r w:rsidR="00E66E82" w:rsidRPr="005B14B3">
        <w:t>άνω των 65 ετών από τον Νοέμβριο 2026,</w:t>
      </w:r>
    </w:p>
    <w:p w14:paraId="5DF5F5DA" w14:textId="02EF454C" w:rsidR="00E66E82" w:rsidRPr="005B14B3" w:rsidRDefault="00A94DF6" w:rsidP="005B14B3">
      <w:pPr>
        <w:numPr>
          <w:ilvl w:val="0"/>
          <w:numId w:val="1"/>
        </w:numPr>
        <w:spacing w:before="60" w:after="60"/>
        <w:ind w:left="568" w:hanging="284"/>
      </w:pPr>
      <w:r w:rsidRPr="005B14B3">
        <w:t>σ</w:t>
      </w:r>
      <w:r w:rsidR="00E66E82" w:rsidRPr="005B14B3">
        <w:t>τη</w:t>
      </w:r>
      <w:r w:rsidR="002B7E9D">
        <w:t xml:space="preserve"> </w:t>
      </w:r>
      <w:r w:rsidR="00E66E82" w:rsidRPr="002B7E9D">
        <w:t>θέσπιση ε</w:t>
      </w:r>
      <w:r w:rsidR="00E66E82" w:rsidRPr="005B14B3">
        <w:t xml:space="preserve">πιδόματος εορτών Χριστουγέννων </w:t>
      </w:r>
      <w:r w:rsidR="0029335A">
        <w:t xml:space="preserve">ύψους </w:t>
      </w:r>
      <w:r w:rsidR="00E66E82" w:rsidRPr="005B14B3">
        <w:t xml:space="preserve">500 ευρώ μικτά </w:t>
      </w:r>
      <w:r w:rsidR="00D76D32">
        <w:t xml:space="preserve">για </w:t>
      </w:r>
      <w:r w:rsidR="00E66E82" w:rsidRPr="005B14B3">
        <w:t xml:space="preserve">τους δημοσίους υπαλλήλους </w:t>
      </w:r>
      <w:r w:rsidR="00691A62">
        <w:t xml:space="preserve">και λειτουργούς </w:t>
      </w:r>
      <w:r w:rsidR="00E66E82" w:rsidRPr="005B14B3">
        <w:t>από το 2027,</w:t>
      </w:r>
    </w:p>
    <w:p w14:paraId="3FE58B81" w14:textId="45F0E1C6" w:rsidR="00E66E82" w:rsidRPr="005B14B3" w:rsidRDefault="00A94DF6" w:rsidP="005B14B3">
      <w:pPr>
        <w:numPr>
          <w:ilvl w:val="0"/>
          <w:numId w:val="1"/>
        </w:numPr>
        <w:spacing w:before="60" w:after="60"/>
        <w:ind w:left="568" w:hanging="284"/>
      </w:pPr>
      <w:r w:rsidRPr="005B14B3">
        <w:t>σ</w:t>
      </w:r>
      <w:r w:rsidR="00E66E82" w:rsidRPr="005B14B3">
        <w:t>τη θέσπιση ειδικού επενδυτικού λογαριασμού</w:t>
      </w:r>
      <w:r w:rsidR="00C60A4F">
        <w:t>, τον οποίο ο</w:t>
      </w:r>
      <w:r w:rsidR="00E66E82" w:rsidRPr="005B14B3">
        <w:t xml:space="preserve">ι γονείς μπορούν να ανοίξουν για τα βρέφη κατά τα </w:t>
      </w:r>
      <w:r w:rsidR="00FA2B2D" w:rsidRPr="005B14B3">
        <w:t xml:space="preserve">δύο </w:t>
      </w:r>
      <w:r w:rsidR="00E66E82" w:rsidRPr="005B14B3">
        <w:t xml:space="preserve">πρώτα έτη από τη γέννησή </w:t>
      </w:r>
      <w:r w:rsidR="00FA2B2D">
        <w:t>τους, με κρατική συνεισφορά που είναι ισόποση με το ποσό που κατα</w:t>
      </w:r>
      <w:r w:rsidR="00E66E82" w:rsidRPr="005B14B3">
        <w:t>θέτει</w:t>
      </w:r>
      <w:r w:rsidR="00FA2B2D">
        <w:t xml:space="preserve"> κάθε χρόνο ο γονέας </w:t>
      </w:r>
      <w:r w:rsidR="00E66E82" w:rsidRPr="005B14B3">
        <w:t>μέχρι 1.200 ευρώ ετησίως</w:t>
      </w:r>
      <w:r w:rsidR="00FA2B2D">
        <w:t xml:space="preserve"> και έως </w:t>
      </w:r>
      <w:r w:rsidR="00E66E82" w:rsidRPr="005B14B3">
        <w:t xml:space="preserve">τη συμπλήρωση </w:t>
      </w:r>
      <w:r w:rsidR="00FA2B2D">
        <w:t xml:space="preserve">της ηλικίας </w:t>
      </w:r>
      <w:r w:rsidR="00E66E82" w:rsidRPr="005B14B3">
        <w:t>των 18 ετών,</w:t>
      </w:r>
    </w:p>
    <w:p w14:paraId="6425AF80" w14:textId="7C1D8391" w:rsidR="00E66E82" w:rsidRPr="005B14B3" w:rsidRDefault="00A94DF6" w:rsidP="005B14B3">
      <w:pPr>
        <w:numPr>
          <w:ilvl w:val="0"/>
          <w:numId w:val="1"/>
        </w:numPr>
        <w:spacing w:before="60" w:after="60"/>
        <w:ind w:left="568" w:hanging="284"/>
      </w:pPr>
      <w:r w:rsidRPr="005B14B3">
        <w:t>σ</w:t>
      </w:r>
      <w:r w:rsidR="00E66E82" w:rsidRPr="005B14B3">
        <w:t>τη μείωση των ασφαλιστικών εισφορών κατά 0,5% από τον Απρίλιο 2027 για τον ιδιωτικό τομέα,</w:t>
      </w:r>
    </w:p>
    <w:p w14:paraId="14CAA0F6" w14:textId="47C3C63E" w:rsidR="00E66E82" w:rsidRPr="005B14B3" w:rsidRDefault="007273A2" w:rsidP="005B14B3">
      <w:pPr>
        <w:numPr>
          <w:ilvl w:val="0"/>
          <w:numId w:val="1"/>
        </w:numPr>
        <w:spacing w:before="60" w:after="60"/>
        <w:ind w:left="568" w:hanging="284"/>
      </w:pPr>
      <w:r w:rsidRPr="005B14B3">
        <w:t>σ</w:t>
      </w:r>
      <w:r w:rsidR="00E66E82" w:rsidRPr="005B14B3">
        <w:t xml:space="preserve">την κατάργηση του τέλους επιτηδεύματος </w:t>
      </w:r>
      <w:r w:rsidR="00E0577A">
        <w:t xml:space="preserve">με αφετηρία </w:t>
      </w:r>
      <w:r w:rsidR="00E66E82" w:rsidRPr="005B14B3">
        <w:t xml:space="preserve">την </w:t>
      </w:r>
      <w:r w:rsidR="00E0577A">
        <w:t>ε</w:t>
      </w:r>
      <w:r w:rsidR="00E66E82" w:rsidRPr="005B14B3">
        <w:t xml:space="preserve">λληνική </w:t>
      </w:r>
      <w:r w:rsidR="00E0577A">
        <w:t>π</w:t>
      </w:r>
      <w:r w:rsidR="00E66E82" w:rsidRPr="005B14B3">
        <w:t>εριφέρεια και τη Θεσσαλονίκη,</w:t>
      </w:r>
    </w:p>
    <w:p w14:paraId="3C8DC094" w14:textId="6FD3AF09" w:rsidR="00E66E82" w:rsidRPr="005B14B3" w:rsidRDefault="007273A2" w:rsidP="005B14B3">
      <w:pPr>
        <w:numPr>
          <w:ilvl w:val="0"/>
          <w:numId w:val="1"/>
        </w:numPr>
        <w:spacing w:before="60" w:after="60"/>
        <w:ind w:left="568" w:hanging="284"/>
      </w:pPr>
      <w:r w:rsidRPr="005B14B3">
        <w:t>σ</w:t>
      </w:r>
      <w:r w:rsidR="00E66E82" w:rsidRPr="005B14B3">
        <w:t>τη μείωση της προκαταβολής φόρου από 55% σ</w:t>
      </w:r>
      <w:r w:rsidR="00E0577A">
        <w:t>ε</w:t>
      </w:r>
      <w:r w:rsidR="00E66E82" w:rsidRPr="005B14B3">
        <w:t xml:space="preserve"> 50% για τους ελεύθερους επαγγελματίες από το φορολογικό έτος 2027,</w:t>
      </w:r>
    </w:p>
    <w:p w14:paraId="2521C4FC" w14:textId="4DD5B0D3" w:rsidR="00E66E82" w:rsidRPr="005B14B3" w:rsidRDefault="007273A2" w:rsidP="005B14B3">
      <w:pPr>
        <w:numPr>
          <w:ilvl w:val="0"/>
          <w:numId w:val="1"/>
        </w:numPr>
        <w:spacing w:before="60" w:after="60"/>
        <w:ind w:left="568" w:hanging="284"/>
      </w:pPr>
      <w:r w:rsidRPr="005B14B3">
        <w:t>σ</w:t>
      </w:r>
      <w:r w:rsidR="00E66E82" w:rsidRPr="005B14B3">
        <w:t>τη θέσπιση επιταχυνόμενων αποσβέσεων σε 6 έτη, από 10 έτη που ισχύει σήμερα, για επενδύσεις σε μηχανολογικό εξοπλισμό των επιχειρήσεων,</w:t>
      </w:r>
    </w:p>
    <w:p w14:paraId="1B8EBB82" w14:textId="26EEEB0D" w:rsidR="00E66E82" w:rsidRPr="005B14B3" w:rsidRDefault="007273A2" w:rsidP="005B14B3">
      <w:pPr>
        <w:numPr>
          <w:ilvl w:val="0"/>
          <w:numId w:val="1"/>
        </w:numPr>
        <w:spacing w:before="60" w:after="60"/>
        <w:ind w:left="568" w:hanging="284"/>
      </w:pPr>
      <w:r w:rsidRPr="005B14B3">
        <w:t>σ</w:t>
      </w:r>
      <w:r w:rsidR="00E66E82" w:rsidRPr="005B14B3">
        <w:t>τη</w:t>
      </w:r>
      <w:r w:rsidR="00E0577A">
        <w:t>ν</w:t>
      </w:r>
      <w:r w:rsidR="00E66E82" w:rsidRPr="005B14B3">
        <w:t xml:space="preserve"> τιμαριθμοποίηση των αναπηρικών επιδομάτων,</w:t>
      </w:r>
    </w:p>
    <w:p w14:paraId="4DBC3A66" w14:textId="37BA518D" w:rsidR="00E66E82" w:rsidRPr="005B14B3" w:rsidRDefault="007273A2" w:rsidP="005B14B3">
      <w:pPr>
        <w:numPr>
          <w:ilvl w:val="0"/>
          <w:numId w:val="1"/>
        </w:numPr>
        <w:spacing w:before="60" w:after="60"/>
        <w:ind w:left="568" w:hanging="284"/>
      </w:pPr>
      <w:r w:rsidRPr="005B14B3">
        <w:t>σ</w:t>
      </w:r>
      <w:r w:rsidR="00E66E82" w:rsidRPr="005B14B3">
        <w:t>τη</w:t>
      </w:r>
      <w:r w:rsidR="00E0577A">
        <w:t>ν</w:t>
      </w:r>
      <w:r w:rsidR="00E66E82" w:rsidRPr="005B14B3">
        <w:t xml:space="preserve"> κατάργηση από το 2027 του ΕΝΦΙΑ σε οικισμούς έως 2.000 κατοίκ</w:t>
      </w:r>
      <w:r w:rsidR="00E0577A">
        <w:t>ων</w:t>
      </w:r>
      <w:r w:rsidR="00E66E82" w:rsidRPr="005B14B3">
        <w:t xml:space="preserve"> και έως 2.200 κατοίκ</w:t>
      </w:r>
      <w:r w:rsidR="00E0577A">
        <w:t>ων</w:t>
      </w:r>
      <w:r w:rsidR="00E66E82" w:rsidRPr="005B14B3">
        <w:t xml:space="preserve"> στη Δυτική Μακεδονία και</w:t>
      </w:r>
    </w:p>
    <w:p w14:paraId="49194288" w14:textId="721EB4E9" w:rsidR="00E66E82" w:rsidRPr="005B14B3" w:rsidRDefault="007273A2" w:rsidP="005B14B3">
      <w:pPr>
        <w:numPr>
          <w:ilvl w:val="0"/>
          <w:numId w:val="1"/>
        </w:numPr>
        <w:spacing w:before="60"/>
        <w:ind w:left="568" w:hanging="284"/>
      </w:pPr>
      <w:r w:rsidRPr="005B14B3">
        <w:t>σ</w:t>
      </w:r>
      <w:r w:rsidR="00E66E82" w:rsidRPr="005B14B3">
        <w:t xml:space="preserve">την αύξηση του </w:t>
      </w:r>
      <w:r w:rsidR="00E0577A">
        <w:t>ε</w:t>
      </w:r>
      <w:r w:rsidR="00E66E82" w:rsidRPr="005B14B3">
        <w:t>θνικού</w:t>
      </w:r>
      <w:r w:rsidR="00E0577A">
        <w:t xml:space="preserve"> σκέλους του προϋπολογισμού δ</w:t>
      </w:r>
      <w:r w:rsidR="00E66E82" w:rsidRPr="005B14B3">
        <w:t xml:space="preserve">ημοσίων </w:t>
      </w:r>
      <w:r w:rsidR="00E0577A">
        <w:t>ε</w:t>
      </w:r>
      <w:r w:rsidR="00E66E82" w:rsidRPr="005B14B3">
        <w:t>πενδύσεων με νέες επενδύσεις που θα συντελέσουν</w:t>
      </w:r>
      <w:r w:rsidR="00E0577A">
        <w:t>,</w:t>
      </w:r>
      <w:r w:rsidR="00E66E82" w:rsidRPr="005B14B3">
        <w:t xml:space="preserve"> μεταξύ άλλων</w:t>
      </w:r>
      <w:r w:rsidR="00E0577A">
        <w:t>,</w:t>
      </w:r>
      <w:r w:rsidR="00E66E82" w:rsidRPr="005B14B3">
        <w:t xml:space="preserve"> και στη μείωση της τιμής του ηλεκτρικού ρεύματος.</w:t>
      </w:r>
    </w:p>
    <w:p w14:paraId="691A2F53" w14:textId="665BFA9A" w:rsidR="00E66E82" w:rsidRDefault="00E66E82" w:rsidP="00A36DFD">
      <w:r>
        <w:t>Πέραν των ανωτέρω μέτρων, τίθεται στόχος για αύξηση του κατώτατου μισθού σ</w:t>
      </w:r>
      <w:r w:rsidR="00357429">
        <w:t>ε</w:t>
      </w:r>
      <w:r>
        <w:t xml:space="preserve"> 1.000 ευρώ (1.300 ευρώ με τις τριετίες) έως το 2028 από 920 ευρώ σήμερα, μέσω δύο αυξήσεων που θα λάβουν χώρα τον Απρίλιο 2027 και τον Ιανουάριο 2028. Η συνολική αύξηση από το</w:t>
      </w:r>
      <w:r w:rsidR="00357429">
        <w:t xml:space="preserve"> έτος</w:t>
      </w:r>
      <w:r>
        <w:t xml:space="preserve"> 2021</w:t>
      </w:r>
      <w:r w:rsidR="00357429">
        <w:t xml:space="preserve">, κατά το οποίο </w:t>
      </w:r>
      <w:r w:rsidR="00A20EBB">
        <w:t xml:space="preserve">ο </w:t>
      </w:r>
      <w:r w:rsidR="00357429">
        <w:t>κ</w:t>
      </w:r>
      <w:r>
        <w:t>ατώτατος</w:t>
      </w:r>
      <w:r w:rsidR="00357429">
        <w:t xml:space="preserve"> μισθός</w:t>
      </w:r>
      <w:r>
        <w:t xml:space="preserve"> αν</w:t>
      </w:r>
      <w:r w:rsidR="00DC607A">
        <w:t xml:space="preserve">ερχόταν </w:t>
      </w:r>
      <w:r>
        <w:t>σ</w:t>
      </w:r>
      <w:r w:rsidR="00DC607A">
        <w:t>ε</w:t>
      </w:r>
      <w:r>
        <w:t xml:space="preserve"> 650 ευρώ</w:t>
      </w:r>
      <w:r w:rsidR="00DC607A">
        <w:t>,</w:t>
      </w:r>
      <w:r>
        <w:t xml:space="preserve"> θα ανέρχεται σε 54%. Η αύξηση του κατώτατου μισθού </w:t>
      </w:r>
      <w:r w:rsidR="00DC607A">
        <w:t>συν</w:t>
      </w:r>
      <w:r>
        <w:t>επιφέρει αύξηση και σε συνδεδεμένα επιδόματα και παροχές</w:t>
      </w:r>
      <w:r w:rsidR="00DC607A">
        <w:t>,</w:t>
      </w:r>
      <w:r>
        <w:t xml:space="preserve"> όπως το επίδομα ανεργίας, το επίδομα μητρότητας, η αμοιβή των υπερωριών</w:t>
      </w:r>
      <w:r w:rsidR="00DC607A">
        <w:t xml:space="preserve"> κ.λπ.</w:t>
      </w:r>
      <w:r>
        <w:t xml:space="preserve"> Επιπλέον</w:t>
      </w:r>
      <w:r w:rsidR="00DC607A">
        <w:t>,</w:t>
      </w:r>
      <w:r>
        <w:t xml:space="preserve"> ο βασικός μισθός των δημοσίων υπαλλήλων θα αναπροσαρμοστεί οριζ</w:t>
      </w:r>
      <w:r w:rsidR="00DC607A">
        <w:t xml:space="preserve">όντια </w:t>
      </w:r>
      <w:r>
        <w:t>τόσο τον Απρίλιο 2027 όσο και τον Ιανουάριο 2028</w:t>
      </w:r>
      <w:r w:rsidR="00C95851">
        <w:t>,</w:t>
      </w:r>
      <w:r>
        <w:t xml:space="preserve"> αναλογικά με την αύξηση του κατώτατου μισθού.</w:t>
      </w:r>
    </w:p>
    <w:p w14:paraId="2C966DC7" w14:textId="47E72AE3" w:rsidR="00E66E82" w:rsidRDefault="00E66E82" w:rsidP="00A36DFD">
      <w:r>
        <w:t>Επιπλέον</w:t>
      </w:r>
      <w:r w:rsidR="005464AF">
        <w:t>,</w:t>
      </w:r>
      <w:r>
        <w:t xml:space="preserve"> </w:t>
      </w:r>
      <w:r w:rsidR="005464AF">
        <w:t xml:space="preserve">παρατείνεται η εφαρμογή ενός πλέγματος </w:t>
      </w:r>
      <w:r>
        <w:t xml:space="preserve">μέτρων που έχουν υιοθετηθεί για την αντιμετώπιση του στεγαστικού </w:t>
      </w:r>
      <w:r w:rsidR="005464AF">
        <w:t>ζητήματος</w:t>
      </w:r>
      <w:r>
        <w:t>, όπως η τριετής απαλλαγή από τον φόρο κενών ακινήτων που ενοικιάζονται, η μείωση του φόρου εισοδήματος για δαπάνες αναβάθμισης κτ</w:t>
      </w:r>
      <w:r w:rsidR="005464AF">
        <w:t>η</w:t>
      </w:r>
      <w:r>
        <w:t xml:space="preserve">ρίων, η απαλλαγή </w:t>
      </w:r>
      <w:r w:rsidR="005464AF">
        <w:t xml:space="preserve">από τον </w:t>
      </w:r>
      <w:r>
        <w:t xml:space="preserve">ΦΠΑ </w:t>
      </w:r>
      <w:r w:rsidR="005464AF">
        <w:t xml:space="preserve">για </w:t>
      </w:r>
      <w:r>
        <w:t>τα νέα κτ</w:t>
      </w:r>
      <w:r w:rsidR="005464AF">
        <w:t>ή</w:t>
      </w:r>
      <w:r>
        <w:t>ρια και οι περιορισμοί στη βραχυχρόνια μίσθωση σε Αθήνα και Θεσσαλονίκη. Επιπρ</w:t>
      </w:r>
      <w:r w:rsidR="005464AF">
        <w:t xml:space="preserve">όσθετα, </w:t>
      </w:r>
      <w:r>
        <w:t xml:space="preserve">εισάγεται ένα νέο μέτρο για τον περιορισμό της ζήτησης κατοικιών </w:t>
      </w:r>
      <w:r w:rsidR="00326F78">
        <w:t>από φορολογικούς κατοίκους τρίτων χωρών (εκτός ΕΕ)</w:t>
      </w:r>
      <w:r w:rsidR="000D5AD2">
        <w:t>,</w:t>
      </w:r>
      <w:r>
        <w:t xml:space="preserve"> το οποίο προβλέπει την αύξηση του φόρου μεταβίβασης από 3% σε 15% για </w:t>
      </w:r>
      <w:r w:rsidR="00326F78">
        <w:t xml:space="preserve">τις αγοραζόμενες </w:t>
      </w:r>
      <w:r>
        <w:t>κατοικίες</w:t>
      </w:r>
      <w:r w:rsidR="00326F78">
        <w:t>,</w:t>
      </w:r>
      <w:r>
        <w:t xml:space="preserve"> </w:t>
      </w:r>
      <w:r w:rsidR="00326F78">
        <w:t>με στόχο τη μείωση της πίεσης στις τιμές των ακινήτων</w:t>
      </w:r>
      <w:r>
        <w:t>. Επιπλέον</w:t>
      </w:r>
      <w:r w:rsidR="005464AF">
        <w:t>,</w:t>
      </w:r>
      <w:r>
        <w:t xml:space="preserve"> θεσμοθετείται νέο </w:t>
      </w:r>
      <w:r w:rsidR="007F66E9">
        <w:t>π</w:t>
      </w:r>
      <w:r>
        <w:t xml:space="preserve">ρόγραμμα </w:t>
      </w:r>
      <w:r w:rsidR="005464AF">
        <w:t>«</w:t>
      </w:r>
      <w:r>
        <w:t>Σπίτι μου IΙI</w:t>
      </w:r>
      <w:r w:rsidR="005464AF">
        <w:t>»</w:t>
      </w:r>
      <w:r>
        <w:t xml:space="preserve"> για τη στήριξη της αγοράς πρώτης κατοικίας μέσω χαμηλότοκων στεγαστικών δανείων</w:t>
      </w:r>
      <w:r w:rsidR="005464AF">
        <w:t>,</w:t>
      </w:r>
      <w:r>
        <w:t xml:space="preserve"> συνολικού ύψους 2 δισ. ευρώ μέσω της Ε</w:t>
      </w:r>
      <w:r w:rsidR="005464AF">
        <w:t>ΑΤ</w:t>
      </w:r>
      <w:r>
        <w:t>.</w:t>
      </w:r>
    </w:p>
    <w:p w14:paraId="21FE30FA" w14:textId="282A7DA7" w:rsidR="00E66E82" w:rsidRDefault="00152DEE" w:rsidP="00A36DFD">
      <w:r>
        <w:t>Παράλληλα</w:t>
      </w:r>
      <w:r w:rsidR="005464AF">
        <w:t>,</w:t>
      </w:r>
      <w:r w:rsidR="00E66E82">
        <w:t xml:space="preserve"> </w:t>
      </w:r>
      <w:r>
        <w:t xml:space="preserve">με ποσό ύψους </w:t>
      </w:r>
      <w:r w:rsidR="00E66E82">
        <w:t>1,5 δισ. ευρώ από τα δάνεια του Τ</w:t>
      </w:r>
      <w:r w:rsidR="007273A2">
        <w:t>ΑΑ</w:t>
      </w:r>
      <w:r w:rsidR="00E66E82">
        <w:t xml:space="preserve"> που μεταφέρθηκαν στην Ε</w:t>
      </w:r>
      <w:r>
        <w:t>ΑΤ</w:t>
      </w:r>
      <w:r w:rsidR="00DA7D0D">
        <w:t>,</w:t>
      </w:r>
      <w:r w:rsidR="003F591C">
        <w:t xml:space="preserve"> </w:t>
      </w:r>
      <w:r>
        <w:t xml:space="preserve">θα </w:t>
      </w:r>
      <w:r w:rsidR="00E66E82">
        <w:t>χρηματοδ</w:t>
      </w:r>
      <w:r>
        <w:t xml:space="preserve">οτηθούν </w:t>
      </w:r>
      <w:r w:rsidR="00E66E82">
        <w:t>δύο νέ</w:t>
      </w:r>
      <w:r>
        <w:t>α</w:t>
      </w:r>
      <w:r w:rsidR="00E66E82">
        <w:t xml:space="preserve"> προγρ</w:t>
      </w:r>
      <w:r>
        <w:t>άμματα</w:t>
      </w:r>
      <w:r w:rsidR="00E66E82">
        <w:t xml:space="preserve"> αποκλειστικά για μικρομεσαίες επιχειρήσεις, ένα δανειοδοτικό πρόγραμμα ύψο</w:t>
      </w:r>
      <w:r>
        <w:t>υ</w:t>
      </w:r>
      <w:r w:rsidR="00E66E82">
        <w:t xml:space="preserve">ς 1,1 δισ. ευρώ και ένα </w:t>
      </w:r>
      <w:proofErr w:type="spellStart"/>
      <w:r w:rsidR="00E66E82">
        <w:t>εγγυοδοτικό</w:t>
      </w:r>
      <w:proofErr w:type="spellEnd"/>
      <w:r w:rsidR="00E66E82">
        <w:t xml:space="preserve"> πρόγραμμα </w:t>
      </w:r>
      <w:r>
        <w:t xml:space="preserve">ύψους </w:t>
      </w:r>
      <w:r w:rsidR="00E66E82">
        <w:t>400 εκατ. ευρώ</w:t>
      </w:r>
      <w:r>
        <w:t xml:space="preserve">. Τα εν λόγω προγράμματα, </w:t>
      </w:r>
      <w:r w:rsidR="00E66E82">
        <w:t>με τη συμμετοχή του τραπεζικού συστήματος</w:t>
      </w:r>
      <w:r>
        <w:t>,</w:t>
      </w:r>
      <w:r w:rsidR="00E66E82">
        <w:t xml:space="preserve"> θα στηρίξουν τις μικρομεσαίες επιχειρήσεις με σύνολο δανείων 5 δισ. ευρώ.</w:t>
      </w:r>
    </w:p>
    <w:p w14:paraId="2FA9BDD0" w14:textId="6068378F" w:rsidR="00E66E82" w:rsidRDefault="00E66E82" w:rsidP="00A36DFD">
      <w:r>
        <w:t>Το συνολικό κόστος των νέων μόνιμων μέτρων που δεν έχουν ακόμη θεσμοθετηθεί</w:t>
      </w:r>
      <w:r w:rsidR="003F591C">
        <w:t>,</w:t>
      </w:r>
      <w:r>
        <w:t xml:space="preserve"> εκτιμάται σε 605 εκατ. </w:t>
      </w:r>
      <w:r w:rsidR="003F591C">
        <w:t xml:space="preserve">ευρώ </w:t>
      </w:r>
      <w:r>
        <w:t xml:space="preserve">για το 2026 και </w:t>
      </w:r>
      <w:r w:rsidR="00DA7D0D">
        <w:t xml:space="preserve">σε </w:t>
      </w:r>
      <w:r>
        <w:t>2,27 δισ. ευρώ για το 2027. Επιπλέον</w:t>
      </w:r>
      <w:r w:rsidR="003F591C">
        <w:t>,</w:t>
      </w:r>
      <w:r>
        <w:t xml:space="preserve"> τα μόνιμα μέτρα που ήδη έχουν θεσμοθετηθεί και υλοποιούνται από τις αρχές </w:t>
      </w:r>
      <w:r w:rsidR="00DA7D0D">
        <w:t xml:space="preserve">του </w:t>
      </w:r>
      <w:r>
        <w:t xml:space="preserve">2026, έχουν δημοσιονομικό κόστος </w:t>
      </w:r>
      <w:r w:rsidR="003F591C">
        <w:t>το οποίο</w:t>
      </w:r>
      <w:r>
        <w:t xml:space="preserve"> εκτιμάται σε 3,66 δισ. ευρώ το 2026 και</w:t>
      </w:r>
      <w:r w:rsidR="003F591C">
        <w:t xml:space="preserve"> σε</w:t>
      </w:r>
      <w:r>
        <w:t xml:space="preserve"> 5,48 δισ. ευρώ το 2027. </w:t>
      </w:r>
      <w:r w:rsidR="003F591C">
        <w:t>Συγχρόνω</w:t>
      </w:r>
      <w:r w:rsidR="009F4E7D">
        <w:t xml:space="preserve">ς, </w:t>
      </w:r>
      <w:r>
        <w:t>στις εκτιμήσεις περι</w:t>
      </w:r>
      <w:r w:rsidR="00DA7D0D">
        <w:t xml:space="preserve">κλείονται </w:t>
      </w:r>
      <w:r>
        <w:t>ενεργητικά μέτρα εσόδων που έχουν θεσμοθετηθεί ή βρίσκονται υπό υλοποίηση</w:t>
      </w:r>
      <w:r w:rsidR="00FB190C">
        <w:t>,</w:t>
      </w:r>
      <w:r w:rsidR="009F4E7D" w:rsidRPr="009F4E7D">
        <w:t xml:space="preserve"> </w:t>
      </w:r>
      <w:r w:rsidR="009F4E7D">
        <w:t xml:space="preserve">αναμένεται </w:t>
      </w:r>
      <w:r w:rsidR="00FB190C">
        <w:t xml:space="preserve">δε </w:t>
      </w:r>
      <w:r w:rsidR="009F4E7D">
        <w:t xml:space="preserve">να ενισχύσουν τα δημόσια έσοδα με 182 εκατ. ευρώ το 2026 και με 468 εκατ. ευρώ το 2027. Τα εν λόγω μέτρα </w:t>
      </w:r>
      <w:r>
        <w:t>περι</w:t>
      </w:r>
      <w:r w:rsidR="00FB190C">
        <w:t>λαμβάνουν</w:t>
      </w:r>
      <w:r w:rsidR="009F4E7D">
        <w:t xml:space="preserve"> </w:t>
      </w:r>
      <w:r>
        <w:t>την επέκταση της ψηφιακής κάρτας εργασίας σε περισσότερους κλάδους, την αναμόρφωση της φορολόγησης των διαδικτυακών τυχερών παιγνίων, την αναπροσαρμογή των τελών ταξινόμησης στα υβριδικά οχήματα και την αναπροσαρμογή της φορολόγησης στελεχών με αμοιβές άνω των 60.000 ευρώ από συμμετοχή στα κέρδη. Το συνολικό κόστος των κυριότερων μόνιμων δημοσιονομικών παρεμβάσεων εκτιμάται σε 4,08 δισ. ευρώ το 2026</w:t>
      </w:r>
      <w:r w:rsidR="003D4CE9">
        <w:t xml:space="preserve">, </w:t>
      </w:r>
      <w:r>
        <w:t>αυξάνεται κατά 3,2 δισ. ευρώ το 2027 και διαμορφώνεται σε 7,28 δισ. ευρώ</w:t>
      </w:r>
      <w:r w:rsidR="00256122">
        <w:t xml:space="preserve">, όπως αποτυπώνεται </w:t>
      </w:r>
      <w:r w:rsidR="00256122" w:rsidRPr="007B5805">
        <w:t>σχετικά παρακάτω</w:t>
      </w:r>
      <w:r w:rsidRPr="007B5805">
        <w:t xml:space="preserve"> (</w:t>
      </w:r>
      <w:r w:rsidR="006231C9" w:rsidRPr="007B5805">
        <w:fldChar w:fldCharType="begin"/>
      </w:r>
      <w:r w:rsidR="006231C9" w:rsidRPr="007B5805">
        <w:instrText xml:space="preserve"> REF _Ref241583439 \h  \* MERGEFORMAT </w:instrText>
      </w:r>
      <w:r w:rsidR="006231C9" w:rsidRPr="007B5805">
        <w:fldChar w:fldCharType="separate"/>
      </w:r>
      <w:r w:rsidR="007F6D9C" w:rsidRPr="007B5805">
        <w:t>Πίνακας 2.5</w:t>
      </w:r>
      <w:r w:rsidR="006231C9" w:rsidRPr="007B5805">
        <w:fldChar w:fldCharType="end"/>
      </w:r>
      <w:r w:rsidR="006231C9" w:rsidRPr="007B5805">
        <w:t>.</w:t>
      </w:r>
      <w:r w:rsidRPr="007B5805">
        <w:t>).</w:t>
      </w:r>
    </w:p>
    <w:p w14:paraId="41FCDEB8" w14:textId="77777777" w:rsidR="00E66E82" w:rsidRDefault="00E66E82" w:rsidP="00A36DFD">
      <w:r>
        <w:t>Οι κυριότερες δημοσιονομικές παρεμβάσεις αναλύονται κατωτέρω:</w:t>
      </w:r>
    </w:p>
    <w:p w14:paraId="4062E86E" w14:textId="77777777" w:rsidR="00E66E82" w:rsidRPr="002A16D8" w:rsidRDefault="00E66E82" w:rsidP="00E66E82">
      <w:pPr>
        <w:pStyle w:val="5"/>
        <w:keepNext w:val="0"/>
        <w:numPr>
          <w:ilvl w:val="0"/>
          <w:numId w:val="0"/>
        </w:numPr>
        <w:tabs>
          <w:tab w:val="left" w:pos="0"/>
        </w:tabs>
        <w:spacing w:before="360" w:after="240"/>
      </w:pPr>
      <w:bookmarkStart w:id="294" w:name="_Toc241772624"/>
      <w:bookmarkStart w:id="295" w:name="_Toc241832245"/>
      <w:bookmarkStart w:id="296" w:name="_Toc241953626"/>
      <w:bookmarkStart w:id="297" w:name="_Toc242015544"/>
      <w:bookmarkStart w:id="298" w:name="_Toc242019556"/>
      <w:bookmarkStart w:id="299" w:name="_Toc241248611"/>
      <w:bookmarkStart w:id="300" w:name="_Toc241417250"/>
      <w:bookmarkStart w:id="301" w:name="_Toc241430721"/>
      <w:r w:rsidRPr="000525EE">
        <w:t>Απαλλαγή από τις προσαυξήσεις βάσει κύκλου εργασιών και μισθοδοσίας προσωπικού κατά τον υπολογισμό του ελάχιστου ποσού καθαρού εισοδήματος για συνεπείς ελεύθερους επαγγελματίες</w:t>
      </w:r>
      <w:bookmarkEnd w:id="294"/>
      <w:bookmarkEnd w:id="295"/>
      <w:bookmarkEnd w:id="296"/>
      <w:bookmarkEnd w:id="297"/>
      <w:bookmarkEnd w:id="298"/>
    </w:p>
    <w:p w14:paraId="2D7B9CC1" w14:textId="3DE6537C" w:rsidR="00E66E82" w:rsidRPr="002026AD" w:rsidRDefault="00E66E82" w:rsidP="00362061">
      <w:r w:rsidRPr="002026AD">
        <w:t>Από το φορολογικό έτος 2026 (φορολογικές δηλώσεις 2027) θεσπίζεται πλαίσιο απαλλαγής από τις προσαυξήσεις του ελάχιστου τεκμαρτού εισοδήματος για τους συνεπείς ελεύθερους επαγγελματίες. Η παρέμβαση αφορά στην απαλλαγή από</w:t>
      </w:r>
      <w:r>
        <w:t xml:space="preserve"> ποσοστό</w:t>
      </w:r>
      <w:r w:rsidRPr="002026AD">
        <w:t xml:space="preserve">: </w:t>
      </w:r>
      <w:r w:rsidRPr="004A7C62">
        <w:t>(</w:t>
      </w:r>
      <w:r w:rsidRPr="002026AD">
        <w:t xml:space="preserve">α) </w:t>
      </w:r>
      <w:r>
        <w:t>1</w:t>
      </w:r>
      <w:r w:rsidRPr="002026AD">
        <w:t xml:space="preserve">0% του ετήσιου κόστους μισθοδοσίας προσωπικού και </w:t>
      </w:r>
      <w:r w:rsidRPr="004A7C62">
        <w:t>(</w:t>
      </w:r>
      <w:r w:rsidRPr="002026AD">
        <w:t>β) 5% της διαφοράς του κύκλου εργασιών από τον μέσο όρο του αντίστοιχου Κωδικού Αριθμού Δραστηριότητας</w:t>
      </w:r>
      <w:r>
        <w:t xml:space="preserve"> (ΚΑΔ)</w:t>
      </w:r>
      <w:r w:rsidRPr="002026AD">
        <w:t xml:space="preserve">. Προϋποθέσεις αποτελούν η πλήρης διασύνδεση POS - ταμειακών μηχανών, η υποβολή στοιχείων στο </w:t>
      </w:r>
      <w:proofErr w:type="spellStart"/>
      <w:r w:rsidRPr="002026AD">
        <w:t>myDATA</w:t>
      </w:r>
      <w:proofErr w:type="spellEnd"/>
      <w:r w:rsidRPr="002026AD">
        <w:t xml:space="preserve">, η απουσία εργατικών ή φορολογικών παραβάσεων </w:t>
      </w:r>
      <w:r w:rsidR="00A2045E">
        <w:t xml:space="preserve">κατά </w:t>
      </w:r>
      <w:r w:rsidRPr="002026AD">
        <w:t xml:space="preserve">την τελευταία πενταετία και η </w:t>
      </w:r>
      <w:r w:rsidR="00E77DE5">
        <w:t>έγκαιρη</w:t>
      </w:r>
      <w:r w:rsidRPr="002026AD">
        <w:t xml:space="preserve"> υποβολή δηλώσεων ΦΠΑ και </w:t>
      </w:r>
      <w:r w:rsidR="00350CF7">
        <w:t xml:space="preserve">φορολογίας </w:t>
      </w:r>
      <w:r w:rsidRPr="002026AD">
        <w:t>εισοδήματος.</w:t>
      </w:r>
    </w:p>
    <w:p w14:paraId="7A3954F4" w14:textId="6F2EE5BD" w:rsidR="00E66E82" w:rsidRPr="002026AD" w:rsidRDefault="00E66E82" w:rsidP="00362061">
      <w:r w:rsidRPr="002026AD">
        <w:t>Επιπλέον, το τεκμήριο ελάχιστου τεκμαρτού εισοδήματος μειώνεται αναλογικά με το ποσοστό συνιδιοκτησίας για εκμεταλλευτές ταξί (εξαιρούνται πλήρως τα ανήλικα τέκνα)</w:t>
      </w:r>
      <w:r>
        <w:t>. Παράλληλα</w:t>
      </w:r>
      <w:r w:rsidRPr="002026AD">
        <w:t>, επεκτείνεται η μείωση κατά 50% του τεκμηρίου σε ατομικές επιχειρήσεις που δραστηριοποιούνται σε οικισμούς έως 2.000 κατοίκων</w:t>
      </w:r>
      <w:r>
        <w:t xml:space="preserve">, ειδικά δε για </w:t>
      </w:r>
      <w:r w:rsidRPr="002026AD">
        <w:t xml:space="preserve">τη Δυτική Μακεδονία </w:t>
      </w:r>
      <w:r w:rsidR="00D54C04">
        <w:t xml:space="preserve">έως </w:t>
      </w:r>
      <w:r w:rsidRPr="002026AD">
        <w:t xml:space="preserve">2.200 </w:t>
      </w:r>
      <w:r>
        <w:t>κατοίκων,</w:t>
      </w:r>
      <w:r w:rsidRPr="002026AD">
        <w:t xml:space="preserve"> εξαιρουμένων όσων βρίσκονται στην Περιφέρεια Αττικής (πλην της Περιφερειακής Ενότητας Νήσων), </w:t>
      </w:r>
      <w:r>
        <w:t>με θετική επίδραση σε</w:t>
      </w:r>
      <w:r w:rsidRPr="002026AD">
        <w:t xml:space="preserve"> 131 νέους οικισμούς. </w:t>
      </w:r>
      <w:r w:rsidR="00BB7B3C">
        <w:t>Σημειώνεται ότι α</w:t>
      </w:r>
      <w:r w:rsidRPr="00A251E6">
        <w:t>πό τις 755.000 ατομικές επιχειρήσεις οι 427.000 φορολογούνται βάσει τεκμηρίων</w:t>
      </w:r>
      <w:r w:rsidR="005853B4">
        <w:t>,</w:t>
      </w:r>
      <w:r w:rsidR="00BB7B3C">
        <w:t xml:space="preserve"> ενώ με τις προσαυξήσεις βάσει κύκλου εργασιών και μισθοδοσίας προσωπικού επιβαρύνονται περίπου 156.000 ατομικές επιχειρήσεις</w:t>
      </w:r>
      <w:r w:rsidRPr="00A251E6">
        <w:t xml:space="preserve">. </w:t>
      </w:r>
      <w:r w:rsidRPr="002026AD">
        <w:t xml:space="preserve">Το δημοσιονομικό κόστος </w:t>
      </w:r>
      <w:r>
        <w:t>εκτιμάται</w:t>
      </w:r>
      <w:r w:rsidRPr="002026AD">
        <w:t xml:space="preserve"> σε 170 εκατ. ευρώ το 2027 και σταθεροποιείται σ</w:t>
      </w:r>
      <w:r>
        <w:t>ε</w:t>
      </w:r>
      <w:r w:rsidRPr="002026AD">
        <w:t xml:space="preserve"> 108 εκατ. ευρώ ετησίως.</w:t>
      </w:r>
    </w:p>
    <w:p w14:paraId="213FBFBC" w14:textId="77777777" w:rsidR="00E66E82" w:rsidRPr="000525EE" w:rsidRDefault="00E66E82" w:rsidP="00E66E82">
      <w:pPr>
        <w:pStyle w:val="5"/>
        <w:keepNext w:val="0"/>
        <w:numPr>
          <w:ilvl w:val="0"/>
          <w:numId w:val="0"/>
        </w:numPr>
        <w:tabs>
          <w:tab w:val="left" w:pos="397"/>
        </w:tabs>
        <w:spacing w:before="360" w:after="240"/>
      </w:pPr>
      <w:bookmarkStart w:id="302" w:name="_Toc241772625"/>
      <w:bookmarkStart w:id="303" w:name="_Toc241832246"/>
      <w:bookmarkStart w:id="304" w:name="_Toc241953627"/>
      <w:bookmarkStart w:id="305" w:name="_Toc242015545"/>
      <w:bookmarkStart w:id="306" w:name="_Toc242019557"/>
      <w:r w:rsidRPr="000525EE">
        <w:t>Μείωση συντελεστή φορολόγησης κατά κύριο επάγγελμα αγροτών σ</w:t>
      </w:r>
      <w:r>
        <w:rPr>
          <w:lang w:val="el-GR"/>
        </w:rPr>
        <w:t>ε</w:t>
      </w:r>
      <w:r w:rsidRPr="000525EE">
        <w:t xml:space="preserve"> 0% για φορολογητέο εισόδημα έως 20.000 ευρώ</w:t>
      </w:r>
      <w:bookmarkEnd w:id="302"/>
      <w:bookmarkEnd w:id="303"/>
      <w:bookmarkEnd w:id="304"/>
      <w:bookmarkEnd w:id="305"/>
      <w:bookmarkEnd w:id="306"/>
    </w:p>
    <w:p w14:paraId="25AB501D" w14:textId="4637FDE7" w:rsidR="00E66E82" w:rsidRPr="004C1D8B" w:rsidRDefault="00E66E82" w:rsidP="00362061">
      <w:r w:rsidRPr="004C1D8B">
        <w:t>Από το φορολογικό έτος 2026 μηδενίζεται ο συντελεστής φορολογίας εισοδήματος για εισοδήματα</w:t>
      </w:r>
      <w:r>
        <w:t xml:space="preserve"> από αγροτική δραστηριότητα</w:t>
      </w:r>
      <w:r w:rsidRPr="004C1D8B">
        <w:t xml:space="preserve"> έως 20.000 ευρώ. Δικαιούχοι είναι φυσικά </w:t>
      </w:r>
      <w:r w:rsidRPr="004A7C62">
        <w:t>πρόσωπα</w:t>
      </w:r>
      <w:r>
        <w:t>,</w:t>
      </w:r>
      <w:r w:rsidRPr="004A7C62">
        <w:t xml:space="preserve"> κατά κύριο επάγγελμα αγρότες</w:t>
      </w:r>
      <w:r>
        <w:t>,</w:t>
      </w:r>
      <w:r w:rsidRPr="004A7C62">
        <w:t xml:space="preserve"> με τουλάχιστον 50% του συνολικού εισοδήματ</w:t>
      </w:r>
      <w:r>
        <w:t>ό</w:t>
      </w:r>
      <w:r w:rsidRPr="004A7C62">
        <w:t>ς</w:t>
      </w:r>
      <w:r>
        <w:t xml:space="preserve"> τους να προέρχεται</w:t>
      </w:r>
      <w:r w:rsidRPr="004A7C62">
        <w:t xml:space="preserve"> από αγροτική</w:t>
      </w:r>
      <w:r w:rsidRPr="004C1D8B">
        <w:t xml:space="preserve"> δραστηριότητα. Με τη ρύθμιση αυτή το αφορολόγητο όριο για αγρότη χωρίς τέκνα αυξάνεται </w:t>
      </w:r>
      <w:r>
        <w:t xml:space="preserve">για εισόδημα </w:t>
      </w:r>
      <w:r w:rsidRPr="004C1D8B">
        <w:t xml:space="preserve">από 8.633 ευρώ σε 22.204 ευρώ, με μέγιστο ετήσιο όφελος </w:t>
      </w:r>
      <w:r>
        <w:t xml:space="preserve">φόρου </w:t>
      </w:r>
      <w:r w:rsidRPr="004C1D8B">
        <w:t xml:space="preserve">2.900 ευρώ. </w:t>
      </w:r>
      <w:r w:rsidRPr="007662F2">
        <w:t>Το μέτρο αφορά σε 47.091 αγρότες (επί συνόλου 245.907), οι οποίοι συγκεντρώνουν το 56% του συνολικού αγροτικού εισοδήματος.</w:t>
      </w:r>
      <w:r>
        <w:t xml:space="preserve"> </w:t>
      </w:r>
      <w:r w:rsidRPr="004C1D8B">
        <w:t>Το δημοσιονομικό κόστος ανέρχεται σε 87 εκατ. ευρώ το 2027 και σταθεροποιείται σ</w:t>
      </w:r>
      <w:r>
        <w:t>ε</w:t>
      </w:r>
      <w:r w:rsidRPr="004C1D8B">
        <w:t xml:space="preserve"> 56 εκατ. ευρώ</w:t>
      </w:r>
      <w:r>
        <w:t xml:space="preserve"> </w:t>
      </w:r>
      <w:r w:rsidR="00C00DCB">
        <w:t xml:space="preserve">για κάθε ένα από </w:t>
      </w:r>
      <w:r>
        <w:t>τα επόμενα έτη.</w:t>
      </w:r>
    </w:p>
    <w:p w14:paraId="382D2095" w14:textId="77777777" w:rsidR="00E66E82" w:rsidRPr="0051281F" w:rsidRDefault="00E66E82" w:rsidP="00E66E82">
      <w:pPr>
        <w:pStyle w:val="5"/>
        <w:keepNext w:val="0"/>
        <w:numPr>
          <w:ilvl w:val="0"/>
          <w:numId w:val="0"/>
        </w:numPr>
        <w:tabs>
          <w:tab w:val="left" w:pos="397"/>
        </w:tabs>
        <w:spacing w:before="360" w:after="240"/>
      </w:pPr>
      <w:bookmarkStart w:id="307" w:name="_Toc241772626"/>
      <w:bookmarkStart w:id="308" w:name="_Toc241832247"/>
      <w:bookmarkStart w:id="309" w:name="_Toc241953628"/>
      <w:bookmarkStart w:id="310" w:name="_Toc242015546"/>
      <w:bookmarkStart w:id="311" w:name="_Toc242019558"/>
      <w:r w:rsidRPr="0051281F">
        <w:t xml:space="preserve">Μείωση συντελεστή φορολόγησης </w:t>
      </w:r>
      <w:proofErr w:type="spellStart"/>
      <w:r w:rsidRPr="0051281F">
        <w:t>τριτέκνων</w:t>
      </w:r>
      <w:proofErr w:type="spellEnd"/>
      <w:r w:rsidRPr="0051281F">
        <w:t xml:space="preserve"> σ</w:t>
      </w:r>
      <w:r>
        <w:rPr>
          <w:lang w:val="el-GR"/>
        </w:rPr>
        <w:t>ε</w:t>
      </w:r>
      <w:r w:rsidRPr="0051281F">
        <w:t xml:space="preserve"> 0% για φορολογητέο εισόδημα έως 20.000 ευρώ</w:t>
      </w:r>
      <w:bookmarkEnd w:id="307"/>
      <w:bookmarkEnd w:id="308"/>
      <w:bookmarkEnd w:id="309"/>
      <w:bookmarkEnd w:id="310"/>
      <w:bookmarkEnd w:id="311"/>
    </w:p>
    <w:p w14:paraId="3647C8E0" w14:textId="6F3CF64A" w:rsidR="00E66E82" w:rsidRPr="004C1D8B" w:rsidRDefault="00E66E82" w:rsidP="00362061">
      <w:r w:rsidRPr="004A7C62">
        <w:t xml:space="preserve">Ανάλογη παρέμβαση μηδενισμού του συντελεστή για εισοδήματα έως 20.000 ευρώ εφαρμόζεται </w:t>
      </w:r>
      <w:r w:rsidR="00FD1910">
        <w:t>από το φορολογικό έτος 202</w:t>
      </w:r>
      <w:r w:rsidR="00D85D97">
        <w:t>7</w:t>
      </w:r>
      <w:r w:rsidR="00FD1910">
        <w:t xml:space="preserve"> </w:t>
      </w:r>
      <w:r w:rsidRPr="004A7C62">
        <w:t>για όσους έχουν τρία εξαρτώμενα τέκνα. Η</w:t>
      </w:r>
      <w:r>
        <w:t xml:space="preserve"> μείωση για τους μισθωτούς</w:t>
      </w:r>
      <w:r w:rsidRPr="004C1D8B">
        <w:t xml:space="preserve"> μέσω της παρακράτησης </w:t>
      </w:r>
      <w:r>
        <w:t xml:space="preserve">θα ισχύσει </w:t>
      </w:r>
      <w:r w:rsidRPr="004C1D8B">
        <w:t xml:space="preserve">από </w:t>
      </w:r>
      <w:r>
        <w:t xml:space="preserve">την </w:t>
      </w:r>
      <w:r w:rsidRPr="00531A4E">
        <w:t>0</w:t>
      </w:r>
      <w:r w:rsidRPr="004C1D8B">
        <w:t>1</w:t>
      </w:r>
      <w:r>
        <w:t>η</w:t>
      </w:r>
      <w:r w:rsidRPr="00531A4E">
        <w:t>.01.</w:t>
      </w:r>
      <w:r w:rsidRPr="004C1D8B">
        <w:t xml:space="preserve">2027, ενώ </w:t>
      </w:r>
      <w:r>
        <w:t>για τους</w:t>
      </w:r>
      <w:r w:rsidRPr="004C1D8B">
        <w:t xml:space="preserve"> ελεύθερο</w:t>
      </w:r>
      <w:r>
        <w:t>υς</w:t>
      </w:r>
      <w:r w:rsidRPr="004C1D8B">
        <w:t xml:space="preserve"> επαγγελματίες</w:t>
      </w:r>
      <w:r>
        <w:t xml:space="preserve"> η σχετική μείωση θα εμφανισ</w:t>
      </w:r>
      <w:r w:rsidR="009C1CF6">
        <w:t>τ</w:t>
      </w:r>
      <w:r>
        <w:t>εί</w:t>
      </w:r>
      <w:r w:rsidRPr="004C1D8B">
        <w:t xml:space="preserve"> κατά την υποβολή των δηλώσεων </w:t>
      </w:r>
      <w:r>
        <w:t>φ</w:t>
      </w:r>
      <w:r w:rsidR="00672859">
        <w:t>ορολογίας</w:t>
      </w:r>
      <w:r>
        <w:t xml:space="preserve"> εισοδήματος </w:t>
      </w:r>
      <w:r w:rsidRPr="004C1D8B">
        <w:t>το 2028. Το αφορολόγητο</w:t>
      </w:r>
      <w:r>
        <w:t xml:space="preserve"> εισόδημα </w:t>
      </w:r>
      <w:r w:rsidRPr="004C1D8B">
        <w:t>αυξάνεται από 14.364 ευρώ σε 25.364 ευρώ, με μέγιστο όφελος</w:t>
      </w:r>
      <w:r>
        <w:t xml:space="preserve"> φόρου</w:t>
      </w:r>
      <w:r w:rsidRPr="004C1D8B">
        <w:t xml:space="preserve"> 1.800 ευρώ ετησίως. </w:t>
      </w:r>
      <w:r w:rsidRPr="007662F2">
        <w:t xml:space="preserve">Το μέτρο ωφελεί 86.927 </w:t>
      </w:r>
      <w:proofErr w:type="spellStart"/>
      <w:r w:rsidRPr="007662F2">
        <w:t>τριτέκνους</w:t>
      </w:r>
      <w:proofErr w:type="spellEnd"/>
      <w:r w:rsidRPr="007662F2">
        <w:t xml:space="preserve"> </w:t>
      </w:r>
      <w:r w:rsidR="00BB7B3C">
        <w:t xml:space="preserve">(από τους 152.039) </w:t>
      </w:r>
      <w:r w:rsidRPr="007662F2">
        <w:t xml:space="preserve">που βρίσκονται άνω του αφορολόγητου ορίου, εκ των οποίων οι 33.894 είναι ελεύθεροι επαγγελματίες. </w:t>
      </w:r>
      <w:r w:rsidRPr="004C1D8B">
        <w:t xml:space="preserve">Το δημοσιονομικό κόστος διαμορφώνεται σε 55 εκατ. ευρώ το 2027, </w:t>
      </w:r>
      <w:r>
        <w:t xml:space="preserve">σε </w:t>
      </w:r>
      <w:r w:rsidRPr="004C1D8B">
        <w:t xml:space="preserve">107 εκατ. </w:t>
      </w:r>
      <w:r>
        <w:t xml:space="preserve">ευρώ </w:t>
      </w:r>
      <w:r w:rsidRPr="004C1D8B">
        <w:t>το 2028 και σταθεροποιείται σ</w:t>
      </w:r>
      <w:r>
        <w:t>ε</w:t>
      </w:r>
      <w:r w:rsidRPr="004C1D8B">
        <w:t xml:space="preserve"> 90 εκατ. ευρώ</w:t>
      </w:r>
      <w:r>
        <w:t xml:space="preserve"> για τα επόμενα έτη</w:t>
      </w:r>
      <w:r w:rsidRPr="004C1D8B">
        <w:t>.</w:t>
      </w:r>
    </w:p>
    <w:p w14:paraId="7AF1FD8E" w14:textId="77777777" w:rsidR="00E66E82" w:rsidRPr="0051281F" w:rsidRDefault="00E66E82" w:rsidP="00E66E82">
      <w:pPr>
        <w:pStyle w:val="5"/>
        <w:keepNext w:val="0"/>
        <w:numPr>
          <w:ilvl w:val="0"/>
          <w:numId w:val="0"/>
        </w:numPr>
        <w:tabs>
          <w:tab w:val="left" w:pos="397"/>
        </w:tabs>
        <w:spacing w:before="360" w:after="240"/>
      </w:pPr>
      <w:bookmarkStart w:id="312" w:name="_Toc241772627"/>
      <w:bookmarkStart w:id="313" w:name="_Toc241832248"/>
      <w:bookmarkStart w:id="314" w:name="_Toc241953629"/>
      <w:bookmarkStart w:id="315" w:name="_Toc242015547"/>
      <w:bookmarkStart w:id="316" w:name="_Toc242019559"/>
      <w:r w:rsidRPr="0051281F">
        <w:t>Αυξήσεις αποδοχών συνταξιούχων</w:t>
      </w:r>
      <w:bookmarkEnd w:id="312"/>
      <w:bookmarkEnd w:id="313"/>
      <w:bookmarkEnd w:id="314"/>
      <w:bookmarkEnd w:id="315"/>
      <w:bookmarkEnd w:id="316"/>
    </w:p>
    <w:p w14:paraId="30993C07" w14:textId="1789E8CB" w:rsidR="00E66E82" w:rsidRPr="002026AD" w:rsidRDefault="00E66E82" w:rsidP="00362061">
      <w:r w:rsidRPr="002026AD">
        <w:t xml:space="preserve">Από τον Νοέμβριο 2026 η ετήσια οικονομική ενίσχυση αυξάνεται από 300 </w:t>
      </w:r>
      <w:r>
        <w:t xml:space="preserve">ευρώ </w:t>
      </w:r>
      <w:r w:rsidRPr="002026AD">
        <w:t xml:space="preserve">σε 400 ευρώ καθαρά και επεκτείνεται σε μόνιμη βάση στο σύνολο των συνταξιούχων </w:t>
      </w:r>
      <w:r w:rsidR="00E62688">
        <w:t xml:space="preserve">ηλικίας </w:t>
      </w:r>
      <w:r w:rsidRPr="002026AD">
        <w:t xml:space="preserve">άνω των 65 ετών, </w:t>
      </w:r>
      <w:r>
        <w:t xml:space="preserve">καταλαμβάνοντας </w:t>
      </w:r>
      <w:r w:rsidRPr="002026AD">
        <w:t xml:space="preserve">270.000 νέους δικαιούχους (συνολικός αριθμός 2,2 εκατ. </w:t>
      </w:r>
      <w:r>
        <w:t>δικαιούχοι</w:t>
      </w:r>
      <w:r w:rsidRPr="002026AD">
        <w:t xml:space="preserve">). Το </w:t>
      </w:r>
      <w:r w:rsidR="00130EF9">
        <w:t xml:space="preserve">συνολικό </w:t>
      </w:r>
      <w:r w:rsidRPr="002026AD">
        <w:t>δημοσιονομικό κόστος</w:t>
      </w:r>
      <w:r w:rsidR="00130EF9">
        <w:t xml:space="preserve"> της ενίσχυσης</w:t>
      </w:r>
      <w:r w:rsidRPr="002026AD">
        <w:t xml:space="preserve"> ανέρχεται σε 879 εκατ. ευρώ. Το ίδιο ποσό θα λαμβάνουν οι συνταξιούχοι </w:t>
      </w:r>
      <w:r w:rsidR="00057F57">
        <w:t xml:space="preserve">ηλικίας </w:t>
      </w:r>
      <w:r w:rsidRPr="002026AD">
        <w:t>άνω των 60</w:t>
      </w:r>
      <w:r>
        <w:t xml:space="preserve"> ετών οι οποίοι είναι</w:t>
      </w:r>
      <w:r w:rsidRPr="002026AD">
        <w:t xml:space="preserve"> δικαιούχοι μόνο σύνταξης</w:t>
      </w:r>
      <w:r>
        <w:t xml:space="preserve"> λόγω</w:t>
      </w:r>
      <w:r w:rsidRPr="002026AD">
        <w:t xml:space="preserve"> θανάτου, τα άτομα με αναπηρία ανεξαρτήτ</w:t>
      </w:r>
      <w:r>
        <w:t>ως</w:t>
      </w:r>
      <w:r w:rsidRPr="002026AD">
        <w:t xml:space="preserve"> ηλικίας και οι ανασφάλιστοι υπερήλικες. Παράλληλα, από </w:t>
      </w:r>
      <w:r>
        <w:t xml:space="preserve">την </w:t>
      </w:r>
      <w:r w:rsidRPr="00531A4E">
        <w:t>0</w:t>
      </w:r>
      <w:r w:rsidRPr="002026AD">
        <w:t>1</w:t>
      </w:r>
      <w:r>
        <w:t>η</w:t>
      </w:r>
      <w:r w:rsidRPr="00531A4E">
        <w:t>.01.</w:t>
      </w:r>
      <w:r w:rsidRPr="002026AD">
        <w:t xml:space="preserve">2027 εφαρμόζεται οριζόντια αύξηση των συντάξεων για το σύνολο των συνταξιούχων με </w:t>
      </w:r>
      <w:r w:rsidRPr="00B64B68">
        <w:t>βάση τον μέσο όρο του πληθωρισμού και της αύξησης</w:t>
      </w:r>
      <w:r w:rsidRPr="002026AD">
        <w:t xml:space="preserve"> του ΑΕΠ, χωρίς συμψηφισμό της προσωπικής διαφοράς. Με βάση τις </w:t>
      </w:r>
      <w:r>
        <w:t xml:space="preserve">μακροοικονομικές </w:t>
      </w:r>
      <w:r w:rsidRPr="002026AD">
        <w:t xml:space="preserve">εκτιμήσεις του </w:t>
      </w:r>
      <w:r w:rsidR="00F5226A">
        <w:t>π</w:t>
      </w:r>
      <w:r>
        <w:t xml:space="preserve">ροσχεδίου του </w:t>
      </w:r>
      <w:r w:rsidR="00F5226A">
        <w:t>π</w:t>
      </w:r>
      <w:r>
        <w:t>ροϋπολογισμού, λαμβ</w:t>
      </w:r>
      <w:r w:rsidR="00533EB0">
        <w:t xml:space="preserve">ανομένων </w:t>
      </w:r>
      <w:r>
        <w:t>υπόψη και τ</w:t>
      </w:r>
      <w:r w:rsidR="00533EB0">
        <w:t>ων</w:t>
      </w:r>
      <w:r>
        <w:t xml:space="preserve"> μακροοικονομικ</w:t>
      </w:r>
      <w:r w:rsidR="00533EB0">
        <w:t>ών</w:t>
      </w:r>
      <w:r>
        <w:t xml:space="preserve"> στοιχεί</w:t>
      </w:r>
      <w:r w:rsidR="00533EB0">
        <w:t>ων</w:t>
      </w:r>
      <w:r>
        <w:t xml:space="preserve"> του 2025</w:t>
      </w:r>
      <w:r w:rsidRPr="000B1D65">
        <w:t>,</w:t>
      </w:r>
      <w:r w:rsidRPr="002026AD">
        <w:t xml:space="preserve"> η αύξηση υπολογίζεται σε 2,</w:t>
      </w:r>
      <w:r>
        <w:t>8</w:t>
      </w:r>
      <w:r w:rsidRPr="002026AD">
        <w:t xml:space="preserve">% και το αναλογούν δημοσιονομικό κόστος σε </w:t>
      </w:r>
      <w:r>
        <w:t>807</w:t>
      </w:r>
      <w:r w:rsidRPr="002026AD">
        <w:t xml:space="preserve"> εκατ. ευρώ. Επιπλέον, καταργείται η περικοπή κατά 50% στους δικαιούχους που λαμβάνουν συντάξεις λόγω θανάτου μετά την </w:t>
      </w:r>
      <w:r>
        <w:t xml:space="preserve">παρέλευση της </w:t>
      </w:r>
      <w:r w:rsidRPr="002026AD">
        <w:t>τριετία</w:t>
      </w:r>
      <w:r>
        <w:t xml:space="preserve">ς, με το </w:t>
      </w:r>
      <w:r w:rsidRPr="002026AD">
        <w:t xml:space="preserve">δημοσιονομικό κόστος </w:t>
      </w:r>
      <w:r>
        <w:t xml:space="preserve">να ανέρχεται στο ποσό των </w:t>
      </w:r>
      <w:r w:rsidRPr="002026AD">
        <w:t>48 εκατ. ευρώ.</w:t>
      </w:r>
    </w:p>
    <w:p w14:paraId="01A0B3BC" w14:textId="1F620B28" w:rsidR="00E66E82" w:rsidRPr="0051281F" w:rsidRDefault="00E66E82" w:rsidP="00E66E82">
      <w:pPr>
        <w:pStyle w:val="5"/>
        <w:keepNext w:val="0"/>
        <w:numPr>
          <w:ilvl w:val="0"/>
          <w:numId w:val="0"/>
        </w:numPr>
        <w:tabs>
          <w:tab w:val="left" w:pos="397"/>
        </w:tabs>
        <w:spacing w:before="360" w:after="240"/>
      </w:pPr>
      <w:bookmarkStart w:id="317" w:name="_Toc241772628"/>
      <w:bookmarkStart w:id="318" w:name="_Toc241832249"/>
      <w:bookmarkStart w:id="319" w:name="_Toc241953630"/>
      <w:bookmarkStart w:id="320" w:name="_Toc242015548"/>
      <w:bookmarkStart w:id="321" w:name="_Toc242019560"/>
      <w:r w:rsidRPr="0051281F">
        <w:t>Αυξήσεις αποδοχών δημ</w:t>
      </w:r>
      <w:r w:rsidR="00276F31">
        <w:rPr>
          <w:lang w:val="el-GR"/>
        </w:rPr>
        <w:t>ο</w:t>
      </w:r>
      <w:r>
        <w:rPr>
          <w:lang w:val="el-GR"/>
        </w:rPr>
        <w:t>σ</w:t>
      </w:r>
      <w:r w:rsidR="00276F31">
        <w:rPr>
          <w:lang w:val="el-GR"/>
        </w:rPr>
        <w:t>ί</w:t>
      </w:r>
      <w:r>
        <w:rPr>
          <w:lang w:val="el-GR"/>
        </w:rPr>
        <w:t>ων</w:t>
      </w:r>
      <w:r w:rsidRPr="0051281F">
        <w:t xml:space="preserve"> υπαλλήλων</w:t>
      </w:r>
      <w:bookmarkEnd w:id="317"/>
      <w:bookmarkEnd w:id="318"/>
      <w:bookmarkEnd w:id="319"/>
      <w:bookmarkEnd w:id="320"/>
      <w:bookmarkEnd w:id="321"/>
    </w:p>
    <w:p w14:paraId="0D1BE8F3" w14:textId="1B70BE88" w:rsidR="00E66E82" w:rsidRPr="004C1D8B" w:rsidRDefault="00E66E82" w:rsidP="00362061">
      <w:r w:rsidRPr="008C477E">
        <w:t xml:space="preserve">Θεσπίζεται </w:t>
      </w:r>
      <w:r w:rsidR="00D85D97">
        <w:t>σε μόνιμη βάση</w:t>
      </w:r>
      <w:r w:rsidRPr="004C1D8B">
        <w:t xml:space="preserve"> επίδομα εορτών Χριστουγέννων ύψους 500 ευρώ μικτά από τον Δεκέμβριο 2027 για</w:t>
      </w:r>
      <w:r>
        <w:t xml:space="preserve"> τους περίπου</w:t>
      </w:r>
      <w:r w:rsidRPr="004C1D8B">
        <w:t xml:space="preserve"> 720.000 υπαλλήλους </w:t>
      </w:r>
      <w:r w:rsidR="00F87890">
        <w:t>και λειτουργούς</w:t>
      </w:r>
      <w:r w:rsidR="006E4BA9">
        <w:t>,</w:t>
      </w:r>
      <w:r w:rsidR="00F87890">
        <w:t xml:space="preserve"> </w:t>
      </w:r>
      <w:r w:rsidR="006E4BA9">
        <w:t xml:space="preserve">με </w:t>
      </w:r>
      <w:r w:rsidRPr="004C1D8B">
        <w:t xml:space="preserve">ετήσιο </w:t>
      </w:r>
      <w:r>
        <w:t xml:space="preserve">δημοσιονομικό </w:t>
      </w:r>
      <w:r w:rsidRPr="004C1D8B">
        <w:t xml:space="preserve">κόστος 433 εκατ. ευρώ. Το καθαρό ποσό </w:t>
      </w:r>
      <w:r>
        <w:t xml:space="preserve">του επιδόματος </w:t>
      </w:r>
      <w:r w:rsidRPr="004C1D8B">
        <w:t xml:space="preserve">κυμαίνεται από 257 </w:t>
      </w:r>
      <w:r>
        <w:t xml:space="preserve">ευρώ </w:t>
      </w:r>
      <w:r w:rsidRPr="004C1D8B">
        <w:t xml:space="preserve">έως 389 ευρώ ανάλογα με </w:t>
      </w:r>
      <w:r>
        <w:t xml:space="preserve">τα έτη υπηρεσίας, </w:t>
      </w:r>
      <w:r w:rsidRPr="004C1D8B">
        <w:t xml:space="preserve">την ηλικία, το εισόδημα και </w:t>
      </w:r>
      <w:r>
        <w:t xml:space="preserve">τον αριθμό των προστατευόμενων </w:t>
      </w:r>
      <w:r w:rsidRPr="004C1D8B">
        <w:t>τέκν</w:t>
      </w:r>
      <w:r>
        <w:t>ων</w:t>
      </w:r>
      <w:r w:rsidRPr="004C1D8B">
        <w:t>. Επιπλέον, ο</w:t>
      </w:r>
      <w:r>
        <w:t xml:space="preserve"> ονομαστικός</w:t>
      </w:r>
      <w:r w:rsidRPr="004C1D8B">
        <w:t xml:space="preserve"> μισθός αναπροσαρμόζεται ορ</w:t>
      </w:r>
      <w:r w:rsidR="00276F31">
        <w:t>ιζόντια</w:t>
      </w:r>
      <w:r w:rsidRPr="004C1D8B">
        <w:t xml:space="preserve">, ακολουθώντας την </w:t>
      </w:r>
      <w:r w:rsidR="00046555">
        <w:t>αύξηση</w:t>
      </w:r>
      <w:r w:rsidRPr="004C1D8B">
        <w:t xml:space="preserve"> του κατώτατου μισθού.</w:t>
      </w:r>
    </w:p>
    <w:p w14:paraId="02C467DB" w14:textId="77777777" w:rsidR="00E66E82" w:rsidRPr="0051281F" w:rsidRDefault="00E66E82" w:rsidP="00E66E82">
      <w:pPr>
        <w:pStyle w:val="5"/>
        <w:keepNext w:val="0"/>
        <w:numPr>
          <w:ilvl w:val="0"/>
          <w:numId w:val="0"/>
        </w:numPr>
        <w:tabs>
          <w:tab w:val="left" w:pos="397"/>
        </w:tabs>
        <w:spacing w:before="360" w:after="240"/>
      </w:pPr>
      <w:bookmarkStart w:id="322" w:name="_Toc241772629"/>
      <w:bookmarkStart w:id="323" w:name="_Toc241832250"/>
      <w:bookmarkStart w:id="324" w:name="_Toc241953631"/>
      <w:bookmarkStart w:id="325" w:name="_Toc242015549"/>
      <w:bookmarkStart w:id="326" w:name="_Toc242019561"/>
      <w:r w:rsidRPr="0051281F">
        <w:t>Αύξηση κατώτατου μισθού και μείωση ασφαλιστικών εισφορών ιδιωτικού τομέα</w:t>
      </w:r>
      <w:bookmarkEnd w:id="322"/>
      <w:bookmarkEnd w:id="323"/>
      <w:bookmarkEnd w:id="324"/>
      <w:bookmarkEnd w:id="325"/>
      <w:bookmarkEnd w:id="326"/>
    </w:p>
    <w:p w14:paraId="43D0F6AA" w14:textId="3D742103" w:rsidR="00E66E82" w:rsidRPr="0028560A" w:rsidRDefault="00E66E82" w:rsidP="00362061">
      <w:r>
        <w:t xml:space="preserve">Ο κατώτατος μισθός αναμένεται να αυξηθεί σε 1.000 ευρώ (1.300 ευρώ </w:t>
      </w:r>
      <w:proofErr w:type="spellStart"/>
      <w:r>
        <w:t>συνυπολογιζ</w:t>
      </w:r>
      <w:r w:rsidR="00CB12CA">
        <w:t>ο</w:t>
      </w:r>
      <w:r>
        <w:t>μ</w:t>
      </w:r>
      <w:r w:rsidR="00CB12CA">
        <w:t>έ</w:t>
      </w:r>
      <w:r>
        <w:t>νων</w:t>
      </w:r>
      <w:proofErr w:type="spellEnd"/>
      <w:r>
        <w:t xml:space="preserve"> των τριετιών) έως το 2028 από 920 ευρώ, μέσω δύο αυξήσεων που θα λάβουν χώρα τον Απρίλιο 2027 και τον Ιανουάριο 2028.</w:t>
      </w:r>
    </w:p>
    <w:p w14:paraId="4293BF80" w14:textId="02EC9C45" w:rsidR="00E66E82" w:rsidRPr="004C1D8B" w:rsidRDefault="00E66E82" w:rsidP="00362061">
      <w:r>
        <w:t>Παράλληλα, α</w:t>
      </w:r>
      <w:r w:rsidRPr="004C1D8B">
        <w:t>πό τη</w:t>
      </w:r>
      <w:r w:rsidRPr="00E51ECF">
        <w:t xml:space="preserve">ν </w:t>
      </w:r>
      <w:r w:rsidR="00611562">
        <w:t>0</w:t>
      </w:r>
      <w:r w:rsidRPr="00E51ECF">
        <w:t>1η.4.2027</w:t>
      </w:r>
      <w:r w:rsidRPr="004C1D8B">
        <w:t xml:space="preserve"> μειώνονται κατά 0,5</w:t>
      </w:r>
      <w:r w:rsidR="00997BB3">
        <w:t xml:space="preserve"> ποσοστιαία μονάδα</w:t>
      </w:r>
      <w:r w:rsidRPr="004C1D8B">
        <w:t xml:space="preserve"> οι ασφαλιστικές εισφορές των εργαζ</w:t>
      </w:r>
      <w:r w:rsidR="006375D3">
        <w:t>ο</w:t>
      </w:r>
      <w:r w:rsidRPr="004C1D8B">
        <w:t>μ</w:t>
      </w:r>
      <w:r w:rsidR="006375D3">
        <w:t>έ</w:t>
      </w:r>
      <w:r w:rsidRPr="004C1D8B">
        <w:t>νων στον ιδιωτικό τομέα (κρατήσεις υπέρ ΔΥΠΑ</w:t>
      </w:r>
      <w:r>
        <w:t>)</w:t>
      </w:r>
      <w:r w:rsidRPr="004C1D8B">
        <w:t>, με το</w:t>
      </w:r>
      <w:r>
        <w:t xml:space="preserve"> δημοσιονομικό</w:t>
      </w:r>
      <w:r w:rsidRPr="004C1D8B">
        <w:t xml:space="preserve"> κόστος</w:t>
      </w:r>
      <w:r>
        <w:t>, το οποίο</w:t>
      </w:r>
      <w:r w:rsidRPr="004C1D8B">
        <w:t xml:space="preserve"> καλύπτεται από τον κρατικό προϋπολογισμό</w:t>
      </w:r>
      <w:r>
        <w:t>,</w:t>
      </w:r>
      <w:r w:rsidRPr="004C1D8B">
        <w:t xml:space="preserve"> </w:t>
      </w:r>
      <w:r>
        <w:t xml:space="preserve">να ανέρχεται σε </w:t>
      </w:r>
      <w:r w:rsidRPr="004C1D8B">
        <w:t xml:space="preserve">163 εκατ. ευρώ το 2027 και </w:t>
      </w:r>
      <w:r>
        <w:t xml:space="preserve">σε </w:t>
      </w:r>
      <w:r w:rsidRPr="004C1D8B">
        <w:t xml:space="preserve">218 εκατ. ευρώ το 2028. </w:t>
      </w:r>
      <w:r>
        <w:t xml:space="preserve">Συνεπεία της εν λόγω </w:t>
      </w:r>
      <w:r w:rsidRPr="004C1D8B">
        <w:t>μείωση</w:t>
      </w:r>
      <w:r>
        <w:t>ς</w:t>
      </w:r>
      <w:r w:rsidRPr="004C1D8B">
        <w:t xml:space="preserve"> </w:t>
      </w:r>
      <w:r w:rsidR="00410A9D">
        <w:t xml:space="preserve">το ποσοστό των </w:t>
      </w:r>
      <w:r w:rsidRPr="004C1D8B">
        <w:t>συνολικ</w:t>
      </w:r>
      <w:r w:rsidR="00410A9D">
        <w:t>ών</w:t>
      </w:r>
      <w:r w:rsidRPr="004C1D8B">
        <w:t xml:space="preserve"> εισφορ</w:t>
      </w:r>
      <w:r w:rsidR="00410A9D">
        <w:t>ών</w:t>
      </w:r>
      <w:r w:rsidRPr="004C1D8B">
        <w:t xml:space="preserve"> </w:t>
      </w:r>
      <w:r>
        <w:t xml:space="preserve">το 2027 </w:t>
      </w:r>
      <w:r w:rsidRPr="004C1D8B">
        <w:t>υποχωρ</w:t>
      </w:r>
      <w:r w:rsidR="00410A9D">
        <w:t>εί</w:t>
      </w:r>
      <w:r w:rsidRPr="004C1D8B">
        <w:t xml:space="preserve"> σ</w:t>
      </w:r>
      <w:r>
        <w:t>ε</w:t>
      </w:r>
      <w:r w:rsidRPr="004C1D8B">
        <w:t xml:space="preserve"> 34,66% (12,87% για τον εργαζόμενο και 21,79% για τον εργοδότη).</w:t>
      </w:r>
    </w:p>
    <w:p w14:paraId="39265B3B" w14:textId="06B4BF22" w:rsidR="00E66E82" w:rsidRPr="0051281F" w:rsidRDefault="00E66E82" w:rsidP="00032948">
      <w:pPr>
        <w:pStyle w:val="5"/>
        <w:numPr>
          <w:ilvl w:val="0"/>
          <w:numId w:val="0"/>
        </w:numPr>
        <w:tabs>
          <w:tab w:val="left" w:pos="397"/>
        </w:tabs>
        <w:spacing w:before="360" w:after="240"/>
      </w:pPr>
      <w:bookmarkStart w:id="327" w:name="_Toc241772630"/>
      <w:bookmarkStart w:id="328" w:name="_Toc241832251"/>
      <w:bookmarkStart w:id="329" w:name="_Toc241953632"/>
      <w:bookmarkStart w:id="330" w:name="_Toc242015550"/>
      <w:bookmarkStart w:id="331" w:name="_Toc242019562"/>
      <w:r w:rsidRPr="0051281F">
        <w:t>Μειώσεις φόρων για επιχειρήσεις</w:t>
      </w:r>
      <w:bookmarkEnd w:id="327"/>
      <w:bookmarkEnd w:id="328"/>
      <w:bookmarkEnd w:id="329"/>
      <w:bookmarkEnd w:id="330"/>
      <w:bookmarkEnd w:id="331"/>
    </w:p>
    <w:p w14:paraId="0F86B616" w14:textId="4CDD84E8" w:rsidR="00E66E82" w:rsidRPr="002D208C" w:rsidRDefault="00E66E82" w:rsidP="00E66E82">
      <w:pPr>
        <w:numPr>
          <w:ilvl w:val="0"/>
          <w:numId w:val="2"/>
        </w:numPr>
        <w:tabs>
          <w:tab w:val="left" w:pos="397"/>
        </w:tabs>
        <w:spacing w:before="120" w:after="60"/>
        <w:ind w:left="397" w:hanging="397"/>
        <w:rPr>
          <w:rFonts w:cs="Arial"/>
        </w:rPr>
      </w:pPr>
      <w:r w:rsidRPr="002D208C">
        <w:rPr>
          <w:rFonts w:cs="Arial"/>
        </w:rPr>
        <w:t xml:space="preserve">Επιταχυνόμενες αποσβέσεις: Για δαπάνες από </w:t>
      </w:r>
      <w:r>
        <w:rPr>
          <w:rFonts w:cs="Arial"/>
        </w:rPr>
        <w:t xml:space="preserve">την </w:t>
      </w:r>
      <w:r w:rsidRPr="002D208C">
        <w:rPr>
          <w:rFonts w:cs="Arial"/>
        </w:rPr>
        <w:t>01</w:t>
      </w:r>
      <w:r>
        <w:rPr>
          <w:rFonts w:cs="Arial"/>
        </w:rPr>
        <w:t>η</w:t>
      </w:r>
      <w:r w:rsidRPr="002D208C">
        <w:rPr>
          <w:rFonts w:cs="Arial"/>
        </w:rPr>
        <w:t>.01.2027 σε μηχανολογικό εξοπλισμό η απόσβεση συμπτύσσεται σε 6 έτη</w:t>
      </w:r>
      <w:r w:rsidR="0080273F">
        <w:rPr>
          <w:rFonts w:cs="Arial"/>
        </w:rPr>
        <w:t xml:space="preserve"> </w:t>
      </w:r>
      <w:r w:rsidRPr="002D208C">
        <w:rPr>
          <w:rFonts w:cs="Arial"/>
        </w:rPr>
        <w:t>έναντι των 10 ετών</w:t>
      </w:r>
      <w:r>
        <w:rPr>
          <w:rFonts w:cs="Arial"/>
        </w:rPr>
        <w:t>,</w:t>
      </w:r>
      <w:r w:rsidRPr="002D208C">
        <w:rPr>
          <w:rFonts w:cs="Arial"/>
        </w:rPr>
        <w:t xml:space="preserve"> με προοδευτικούς συντελεστές ως εξής: 1ο έτος: 10%, 2o έτος</w:t>
      </w:r>
      <w:r w:rsidR="00997BB3">
        <w:rPr>
          <w:rFonts w:cs="Arial"/>
        </w:rPr>
        <w:t>:</w:t>
      </w:r>
      <w:r w:rsidRPr="002D208C">
        <w:rPr>
          <w:rFonts w:cs="Arial"/>
        </w:rPr>
        <w:t xml:space="preserve"> 10%, 3ο έτος</w:t>
      </w:r>
      <w:r w:rsidR="00997BB3">
        <w:rPr>
          <w:rFonts w:cs="Arial"/>
        </w:rPr>
        <w:t>:</w:t>
      </w:r>
      <w:r w:rsidRPr="002D208C">
        <w:rPr>
          <w:rFonts w:cs="Arial"/>
        </w:rPr>
        <w:t xml:space="preserve"> 15%, 4ο έτος</w:t>
      </w:r>
      <w:r w:rsidR="00997BB3">
        <w:rPr>
          <w:rFonts w:cs="Arial"/>
        </w:rPr>
        <w:t>:</w:t>
      </w:r>
      <w:r w:rsidRPr="002D208C">
        <w:rPr>
          <w:rFonts w:cs="Arial"/>
        </w:rPr>
        <w:t xml:space="preserve"> 15%, 5ο έτος</w:t>
      </w:r>
      <w:r w:rsidR="00997BB3">
        <w:rPr>
          <w:rFonts w:cs="Arial"/>
        </w:rPr>
        <w:t>:</w:t>
      </w:r>
      <w:r w:rsidRPr="002D208C">
        <w:rPr>
          <w:rFonts w:cs="Arial"/>
        </w:rPr>
        <w:t xml:space="preserve"> 25% και 6ο έτος</w:t>
      </w:r>
      <w:r w:rsidR="00997BB3">
        <w:rPr>
          <w:rFonts w:cs="Arial"/>
        </w:rPr>
        <w:t>:</w:t>
      </w:r>
      <w:r w:rsidRPr="002D208C">
        <w:rPr>
          <w:rFonts w:cs="Arial"/>
        </w:rPr>
        <w:t xml:space="preserve"> 25%</w:t>
      </w:r>
      <w:r>
        <w:rPr>
          <w:rFonts w:cs="Arial"/>
        </w:rPr>
        <w:t>.</w:t>
      </w:r>
      <w:r w:rsidRPr="002D208C">
        <w:rPr>
          <w:rFonts w:cs="Arial"/>
        </w:rPr>
        <w:t xml:space="preserve"> Με αυτόν τον τρόπο επιταχύνονται οι επενδύσεις σε μηχανολογικό εξοπλισμό</w:t>
      </w:r>
      <w:r>
        <w:rPr>
          <w:rFonts w:cs="Arial"/>
        </w:rPr>
        <w:t xml:space="preserve"> και παρέχονται κίνητρα για τις εν λόγω επενδύσεις, δεδομένου ότι </w:t>
      </w:r>
      <w:r w:rsidRPr="002D208C">
        <w:rPr>
          <w:rFonts w:cs="Arial"/>
        </w:rPr>
        <w:t>θα αποσβέ</w:t>
      </w:r>
      <w:r w:rsidR="0080273F">
        <w:rPr>
          <w:rFonts w:cs="Arial"/>
        </w:rPr>
        <w:t>ν</w:t>
      </w:r>
      <w:r w:rsidRPr="002D208C">
        <w:rPr>
          <w:rFonts w:cs="Arial"/>
        </w:rPr>
        <w:t>ν</w:t>
      </w:r>
      <w:r w:rsidR="0080273F">
        <w:rPr>
          <w:rFonts w:cs="Arial"/>
        </w:rPr>
        <w:t xml:space="preserve">υνται </w:t>
      </w:r>
      <w:r w:rsidRPr="002D208C">
        <w:rPr>
          <w:rFonts w:cs="Arial"/>
        </w:rPr>
        <w:t xml:space="preserve">σε 6 </w:t>
      </w:r>
      <w:r>
        <w:rPr>
          <w:rFonts w:cs="Arial"/>
        </w:rPr>
        <w:t xml:space="preserve">έτη </w:t>
      </w:r>
      <w:r w:rsidRPr="002D208C">
        <w:rPr>
          <w:rFonts w:cs="Arial"/>
        </w:rPr>
        <w:t>αντί για 10 έτη, με αντίστοιχη ωφέλεια στο</w:t>
      </w:r>
      <w:r>
        <w:rPr>
          <w:rFonts w:cs="Arial"/>
        </w:rPr>
        <w:t>ν</w:t>
      </w:r>
      <w:r w:rsidRPr="002D208C">
        <w:rPr>
          <w:rFonts w:cs="Arial"/>
        </w:rPr>
        <w:t xml:space="preserve"> φόρο εισοδήματος των επιχειρήσεων.</w:t>
      </w:r>
    </w:p>
    <w:p w14:paraId="3E0420B1" w14:textId="4F8EB3BB" w:rsidR="00E66E82" w:rsidRPr="007F2390" w:rsidRDefault="00E66E82" w:rsidP="00E66E82">
      <w:pPr>
        <w:numPr>
          <w:ilvl w:val="0"/>
          <w:numId w:val="2"/>
        </w:numPr>
        <w:tabs>
          <w:tab w:val="left" w:pos="397"/>
        </w:tabs>
        <w:spacing w:before="60" w:after="60"/>
        <w:ind w:left="397" w:hanging="397"/>
        <w:rPr>
          <w:rFonts w:cs="Arial"/>
        </w:rPr>
      </w:pPr>
      <w:r w:rsidRPr="007F2390">
        <w:rPr>
          <w:rFonts w:cs="Arial"/>
        </w:rPr>
        <w:t xml:space="preserve">Τέλος επιτηδεύματος: Καταργείται πλήρως από το 2027 για νομικά πρόσωπα στην </w:t>
      </w:r>
      <w:r w:rsidR="00B95417">
        <w:rPr>
          <w:rFonts w:cs="Arial"/>
        </w:rPr>
        <w:t>ε</w:t>
      </w:r>
      <w:r>
        <w:rPr>
          <w:rFonts w:cs="Arial"/>
        </w:rPr>
        <w:t xml:space="preserve">λληνική </w:t>
      </w:r>
      <w:r w:rsidR="00B95417">
        <w:rPr>
          <w:rFonts w:cs="Arial"/>
        </w:rPr>
        <w:t>π</w:t>
      </w:r>
      <w:r w:rsidRPr="007F2390">
        <w:rPr>
          <w:rFonts w:cs="Arial"/>
        </w:rPr>
        <w:t>εριφέρεια και στη Θεσσαλονίκη</w:t>
      </w:r>
      <w:r>
        <w:rPr>
          <w:rFonts w:cs="Arial"/>
        </w:rPr>
        <w:t xml:space="preserve">, </w:t>
      </w:r>
      <w:proofErr w:type="spellStart"/>
      <w:r w:rsidRPr="007F2390">
        <w:rPr>
          <w:rFonts w:cs="Arial"/>
        </w:rPr>
        <w:t>ωφελο</w:t>
      </w:r>
      <w:r>
        <w:rPr>
          <w:rFonts w:cs="Arial"/>
        </w:rPr>
        <w:t>υμένων</w:t>
      </w:r>
      <w:proofErr w:type="spellEnd"/>
      <w:r>
        <w:rPr>
          <w:rFonts w:cs="Arial"/>
        </w:rPr>
        <w:t xml:space="preserve"> </w:t>
      </w:r>
      <w:r w:rsidRPr="007F2390">
        <w:rPr>
          <w:rFonts w:cs="Arial"/>
        </w:rPr>
        <w:t>121.922 επιχειρήσε</w:t>
      </w:r>
      <w:r>
        <w:rPr>
          <w:rFonts w:cs="Arial"/>
        </w:rPr>
        <w:t>ων</w:t>
      </w:r>
      <w:r w:rsidRPr="007F2390">
        <w:rPr>
          <w:rFonts w:cs="Arial"/>
        </w:rPr>
        <w:t>. Στην Περιφέρεια Αττικής μειώνεται κατά 50% το 2028 και καταργείται οριστικά το 2029</w:t>
      </w:r>
      <w:r>
        <w:rPr>
          <w:rFonts w:cs="Arial"/>
        </w:rPr>
        <w:t xml:space="preserve">, με το </w:t>
      </w:r>
      <w:r w:rsidRPr="007F2390">
        <w:rPr>
          <w:rFonts w:cs="Arial"/>
        </w:rPr>
        <w:t xml:space="preserve">δημοσιονομικό κόστος </w:t>
      </w:r>
      <w:r>
        <w:rPr>
          <w:rFonts w:cs="Arial"/>
        </w:rPr>
        <w:t xml:space="preserve">να διαμορφώνεται σε </w:t>
      </w:r>
      <w:r w:rsidRPr="007F2390">
        <w:rPr>
          <w:rFonts w:cs="Arial"/>
        </w:rPr>
        <w:t>82 εκατ. ευρώ το 2027 και</w:t>
      </w:r>
      <w:r>
        <w:rPr>
          <w:rFonts w:cs="Arial"/>
        </w:rPr>
        <w:t xml:space="preserve"> σε</w:t>
      </w:r>
      <w:r w:rsidRPr="007F2390">
        <w:rPr>
          <w:rFonts w:cs="Arial"/>
        </w:rPr>
        <w:t xml:space="preserve"> 138 εκατ. ευρώ το 2028</w:t>
      </w:r>
      <w:r>
        <w:rPr>
          <w:rFonts w:cs="Arial"/>
        </w:rPr>
        <w:t xml:space="preserve">, </w:t>
      </w:r>
      <w:r w:rsidR="00D91B16">
        <w:rPr>
          <w:rFonts w:cs="Arial"/>
        </w:rPr>
        <w:t>σ</w:t>
      </w:r>
      <w:r>
        <w:rPr>
          <w:rFonts w:cs="Arial"/>
        </w:rPr>
        <w:t>ταθεροποι</w:t>
      </w:r>
      <w:r w:rsidR="00D91B16">
        <w:rPr>
          <w:rFonts w:cs="Arial"/>
        </w:rPr>
        <w:t>ούμενο</w:t>
      </w:r>
      <w:r>
        <w:rPr>
          <w:rFonts w:cs="Arial"/>
        </w:rPr>
        <w:t xml:space="preserve"> σε 201 εκατ. ευρώ τα επόμενα έτη</w:t>
      </w:r>
      <w:r w:rsidRPr="007F2390">
        <w:rPr>
          <w:rFonts w:cs="Arial"/>
        </w:rPr>
        <w:t>.</w:t>
      </w:r>
    </w:p>
    <w:p w14:paraId="3F66F0B4" w14:textId="2E56BA8C" w:rsidR="00E66E82" w:rsidRPr="007F2390" w:rsidRDefault="00E66E82" w:rsidP="00E66E82">
      <w:pPr>
        <w:numPr>
          <w:ilvl w:val="0"/>
          <w:numId w:val="2"/>
        </w:numPr>
        <w:tabs>
          <w:tab w:val="left" w:pos="397"/>
        </w:tabs>
        <w:spacing w:before="60"/>
        <w:ind w:left="397" w:hanging="397"/>
        <w:rPr>
          <w:rFonts w:cs="Arial"/>
        </w:rPr>
      </w:pPr>
      <w:r w:rsidRPr="007F2390">
        <w:rPr>
          <w:rFonts w:cs="Arial"/>
        </w:rPr>
        <w:t>Προκαταβολή φόρου</w:t>
      </w:r>
      <w:r w:rsidRPr="00FA768F">
        <w:rPr>
          <w:rFonts w:cs="Arial"/>
        </w:rPr>
        <w:t>: Από</w:t>
      </w:r>
      <w:r w:rsidRPr="007F2390">
        <w:rPr>
          <w:rFonts w:cs="Arial"/>
        </w:rPr>
        <w:t xml:space="preserve"> το φορολογικό έτος 202</w:t>
      </w:r>
      <w:r>
        <w:rPr>
          <w:rFonts w:cs="Arial"/>
        </w:rPr>
        <w:t>7 μειώνεται</w:t>
      </w:r>
      <w:r w:rsidRPr="007F2390">
        <w:rPr>
          <w:rFonts w:cs="Arial"/>
        </w:rPr>
        <w:t xml:space="preserve"> κατά 5% </w:t>
      </w:r>
      <w:r>
        <w:rPr>
          <w:rFonts w:cs="Arial"/>
        </w:rPr>
        <w:t xml:space="preserve">η προκαταβολή φόρου των ατομικών επιχειρήσεων, ενώ από το φορολογικό έτος 2028 προβλέπεται η μείωση προκαταβολής φόρου </w:t>
      </w:r>
      <w:r w:rsidR="00D20DDC">
        <w:rPr>
          <w:rFonts w:cs="Arial"/>
        </w:rPr>
        <w:t xml:space="preserve">των νομικών προσώπων </w:t>
      </w:r>
      <w:r>
        <w:rPr>
          <w:rFonts w:cs="Arial"/>
        </w:rPr>
        <w:t xml:space="preserve">κατά 5% ετησίως και μέχρι </w:t>
      </w:r>
      <w:r w:rsidR="00267D0D">
        <w:rPr>
          <w:rFonts w:cs="Arial"/>
        </w:rPr>
        <w:t xml:space="preserve">ποσοστού </w:t>
      </w:r>
      <w:r>
        <w:rPr>
          <w:rFonts w:cs="Arial"/>
        </w:rPr>
        <w:t>50%</w:t>
      </w:r>
      <w:r w:rsidRPr="007F2390">
        <w:rPr>
          <w:rFonts w:cs="Arial"/>
        </w:rPr>
        <w:t xml:space="preserve">, </w:t>
      </w:r>
      <w:r>
        <w:rPr>
          <w:rFonts w:cs="Arial"/>
        </w:rPr>
        <w:t xml:space="preserve">με στόχο </w:t>
      </w:r>
      <w:r w:rsidRPr="007F2390">
        <w:rPr>
          <w:rFonts w:cs="Arial"/>
        </w:rPr>
        <w:t>τη</w:t>
      </w:r>
      <w:r>
        <w:rPr>
          <w:rFonts w:cs="Arial"/>
        </w:rPr>
        <w:t>ν ενίσχυση της</w:t>
      </w:r>
      <w:r w:rsidRPr="007F2390">
        <w:rPr>
          <w:rFonts w:cs="Arial"/>
        </w:rPr>
        <w:t xml:space="preserve"> ρευστότητα</w:t>
      </w:r>
      <w:r>
        <w:rPr>
          <w:rFonts w:cs="Arial"/>
        </w:rPr>
        <w:t>ς</w:t>
      </w:r>
      <w:r w:rsidRPr="007F2390">
        <w:rPr>
          <w:rFonts w:cs="Arial"/>
        </w:rPr>
        <w:t xml:space="preserve"> των επιχειρήσεων</w:t>
      </w:r>
      <w:r>
        <w:rPr>
          <w:rFonts w:cs="Arial"/>
        </w:rPr>
        <w:t xml:space="preserve">. Το </w:t>
      </w:r>
      <w:r w:rsidRPr="007F2390">
        <w:rPr>
          <w:rFonts w:cs="Arial"/>
        </w:rPr>
        <w:t xml:space="preserve">δημοσιονομικό κόστος </w:t>
      </w:r>
      <w:r>
        <w:rPr>
          <w:rFonts w:cs="Arial"/>
        </w:rPr>
        <w:t xml:space="preserve">εκτιμάται σε 73 εκατ. ευρώ το 2028, </w:t>
      </w:r>
      <w:r w:rsidR="00267D0D">
        <w:rPr>
          <w:rFonts w:cs="Arial"/>
        </w:rPr>
        <w:t xml:space="preserve">σε </w:t>
      </w:r>
      <w:r>
        <w:rPr>
          <w:rFonts w:cs="Arial"/>
        </w:rPr>
        <w:t xml:space="preserve">377 εκατ. ευρώ το 2029 και </w:t>
      </w:r>
      <w:r w:rsidR="00267D0D">
        <w:rPr>
          <w:rFonts w:cs="Arial"/>
        </w:rPr>
        <w:t xml:space="preserve">σε </w:t>
      </w:r>
      <w:r>
        <w:rPr>
          <w:rFonts w:cs="Arial"/>
        </w:rPr>
        <w:t>399 εκατ. ευρώ το 2030.</w:t>
      </w:r>
    </w:p>
    <w:p w14:paraId="6B2D1164" w14:textId="77777777" w:rsidR="00E66E82" w:rsidRPr="0051281F" w:rsidRDefault="00E66E82" w:rsidP="00E66E82">
      <w:pPr>
        <w:pStyle w:val="5"/>
        <w:keepNext w:val="0"/>
        <w:numPr>
          <w:ilvl w:val="0"/>
          <w:numId w:val="0"/>
        </w:numPr>
        <w:tabs>
          <w:tab w:val="left" w:pos="397"/>
        </w:tabs>
        <w:spacing w:before="360" w:after="240"/>
      </w:pPr>
      <w:bookmarkStart w:id="332" w:name="_Toc241772631"/>
      <w:bookmarkStart w:id="333" w:name="_Toc241832252"/>
      <w:bookmarkStart w:id="334" w:name="_Toc241953633"/>
      <w:bookmarkStart w:id="335" w:name="_Toc242015551"/>
      <w:bookmarkStart w:id="336" w:name="_Toc242019563"/>
      <w:r w:rsidRPr="006135A3">
        <w:t xml:space="preserve">Παρεμβάσεις στην </w:t>
      </w:r>
      <w:r w:rsidRPr="006135A3">
        <w:rPr>
          <w:lang w:val="el-GR"/>
        </w:rPr>
        <w:t>αγορά ακινήτων και το στεγαστικό ζήτημα</w:t>
      </w:r>
      <w:bookmarkEnd w:id="332"/>
      <w:bookmarkEnd w:id="333"/>
      <w:bookmarkEnd w:id="334"/>
      <w:bookmarkEnd w:id="335"/>
      <w:bookmarkEnd w:id="336"/>
    </w:p>
    <w:p w14:paraId="3B0107AA" w14:textId="63A55AA1" w:rsidR="00E66E82" w:rsidRPr="002026AD" w:rsidRDefault="00E66E82" w:rsidP="00E66E82">
      <w:pPr>
        <w:numPr>
          <w:ilvl w:val="0"/>
          <w:numId w:val="2"/>
        </w:numPr>
        <w:tabs>
          <w:tab w:val="left" w:pos="397"/>
        </w:tabs>
        <w:spacing w:before="120" w:after="60"/>
        <w:ind w:left="397" w:hanging="397"/>
        <w:rPr>
          <w:rFonts w:cs="Arial"/>
        </w:rPr>
      </w:pPr>
      <w:r w:rsidRPr="002026AD">
        <w:rPr>
          <w:rFonts w:cs="Arial"/>
        </w:rPr>
        <w:t xml:space="preserve">Φόρος </w:t>
      </w:r>
      <w:r>
        <w:rPr>
          <w:rFonts w:cs="Arial"/>
        </w:rPr>
        <w:t>μ</w:t>
      </w:r>
      <w:r w:rsidRPr="002026AD">
        <w:rPr>
          <w:rFonts w:cs="Arial"/>
        </w:rPr>
        <w:t>εταβίβασης σε πολίτες τρίτων χωρών: Από το</w:t>
      </w:r>
      <w:r>
        <w:rPr>
          <w:rFonts w:cs="Arial"/>
        </w:rPr>
        <w:t>ν Ιούλιο</w:t>
      </w:r>
      <w:r w:rsidRPr="002026AD">
        <w:rPr>
          <w:rFonts w:cs="Arial"/>
        </w:rPr>
        <w:t xml:space="preserve"> 2027 ο φόρος μεταβίβασης για αγορά κατοικίας από </w:t>
      </w:r>
      <w:r>
        <w:rPr>
          <w:rFonts w:cs="Arial"/>
        </w:rPr>
        <w:t>φυσικά πρόσωπα</w:t>
      </w:r>
      <w:r w:rsidR="00B36E75">
        <w:rPr>
          <w:rFonts w:cs="Arial"/>
        </w:rPr>
        <w:t>,</w:t>
      </w:r>
      <w:r w:rsidRPr="002026AD">
        <w:rPr>
          <w:rFonts w:cs="Arial"/>
        </w:rPr>
        <w:t xml:space="preserve"> </w:t>
      </w:r>
      <w:r w:rsidRPr="002B0667">
        <w:rPr>
          <w:rFonts w:cs="Arial"/>
        </w:rPr>
        <w:t>φορολογικούς κατοίκους</w:t>
      </w:r>
      <w:r>
        <w:rPr>
          <w:rFonts w:cs="Arial"/>
        </w:rPr>
        <w:t xml:space="preserve"> </w:t>
      </w:r>
      <w:r w:rsidRPr="002026AD">
        <w:rPr>
          <w:rFonts w:cs="Arial"/>
        </w:rPr>
        <w:t>τρίτων χωρών</w:t>
      </w:r>
      <w:r w:rsidR="00410A9D">
        <w:rPr>
          <w:rFonts w:cs="Arial"/>
        </w:rPr>
        <w:t xml:space="preserve"> (εκτός ΕΕ)</w:t>
      </w:r>
      <w:r w:rsidR="00B36E75">
        <w:rPr>
          <w:rFonts w:cs="Arial"/>
        </w:rPr>
        <w:t>,</w:t>
      </w:r>
      <w:r w:rsidRPr="002026AD">
        <w:rPr>
          <w:rFonts w:cs="Arial"/>
        </w:rPr>
        <w:t xml:space="preserve"> αυξάνεται από 3% σε 15% (τελικό 15,45%</w:t>
      </w:r>
      <w:r w:rsidRPr="00622016">
        <w:rPr>
          <w:rFonts w:cs="Arial"/>
        </w:rPr>
        <w:t xml:space="preserve"> </w:t>
      </w:r>
      <w:proofErr w:type="spellStart"/>
      <w:r w:rsidRPr="00622016">
        <w:rPr>
          <w:rFonts w:cs="Arial"/>
        </w:rPr>
        <w:t>συνυπολογ</w:t>
      </w:r>
      <w:r>
        <w:rPr>
          <w:rFonts w:cs="Arial"/>
        </w:rPr>
        <w:t>ιζομένης</w:t>
      </w:r>
      <w:proofErr w:type="spellEnd"/>
      <w:r>
        <w:rPr>
          <w:rFonts w:cs="Arial"/>
        </w:rPr>
        <w:t xml:space="preserve"> </w:t>
      </w:r>
      <w:r w:rsidRPr="00622016">
        <w:rPr>
          <w:rFonts w:cs="Arial"/>
        </w:rPr>
        <w:t>τη</w:t>
      </w:r>
      <w:r>
        <w:rPr>
          <w:rFonts w:cs="Arial"/>
        </w:rPr>
        <w:t>ς</w:t>
      </w:r>
      <w:r w:rsidRPr="00622016">
        <w:rPr>
          <w:rFonts w:cs="Arial"/>
        </w:rPr>
        <w:t xml:space="preserve"> εισφορά</w:t>
      </w:r>
      <w:r>
        <w:rPr>
          <w:rFonts w:cs="Arial"/>
        </w:rPr>
        <w:t>ς</w:t>
      </w:r>
      <w:r w:rsidRPr="00622016">
        <w:rPr>
          <w:rFonts w:cs="Arial"/>
        </w:rPr>
        <w:t xml:space="preserve"> 3% επί του φόρου υπέρ </w:t>
      </w:r>
      <w:r>
        <w:rPr>
          <w:rFonts w:cs="Arial"/>
        </w:rPr>
        <w:t>Δ</w:t>
      </w:r>
      <w:r w:rsidRPr="00622016">
        <w:rPr>
          <w:rFonts w:cs="Arial"/>
        </w:rPr>
        <w:t>ήμων</w:t>
      </w:r>
      <w:r w:rsidRPr="002026AD">
        <w:rPr>
          <w:rFonts w:cs="Arial"/>
        </w:rPr>
        <w:t>)</w:t>
      </w:r>
      <w:r>
        <w:rPr>
          <w:rFonts w:cs="Arial"/>
        </w:rPr>
        <w:t xml:space="preserve">. Ο σκοπός της εν λόγω παρέμβασης συνίσταται στην </w:t>
      </w:r>
      <w:r w:rsidRPr="002026AD">
        <w:rPr>
          <w:rFonts w:cs="Arial"/>
        </w:rPr>
        <w:t xml:space="preserve">αποκλιμάκωση των τιμών και </w:t>
      </w:r>
      <w:r>
        <w:rPr>
          <w:rFonts w:cs="Arial"/>
        </w:rPr>
        <w:t>σ</w:t>
      </w:r>
      <w:r w:rsidRPr="002026AD">
        <w:rPr>
          <w:rFonts w:cs="Arial"/>
        </w:rPr>
        <w:t xml:space="preserve">τη συνεπακόλουθη </w:t>
      </w:r>
      <w:r w:rsidR="005E1758">
        <w:rPr>
          <w:rFonts w:cs="Arial"/>
        </w:rPr>
        <w:t>ευχερέστερη</w:t>
      </w:r>
      <w:r w:rsidRPr="002026AD">
        <w:rPr>
          <w:rFonts w:cs="Arial"/>
        </w:rPr>
        <w:t xml:space="preserve"> πρόσβαση των μ</w:t>
      </w:r>
      <w:r w:rsidR="005E1758">
        <w:rPr>
          <w:rFonts w:cs="Arial"/>
        </w:rPr>
        <w:t>ό</w:t>
      </w:r>
      <w:r w:rsidRPr="002026AD">
        <w:rPr>
          <w:rFonts w:cs="Arial"/>
        </w:rPr>
        <w:t>ν</w:t>
      </w:r>
      <w:r w:rsidR="005E1758">
        <w:rPr>
          <w:rFonts w:cs="Arial"/>
        </w:rPr>
        <w:t>ι</w:t>
      </w:r>
      <w:r w:rsidRPr="002026AD">
        <w:rPr>
          <w:rFonts w:cs="Arial"/>
        </w:rPr>
        <w:t>μων κατοίκων στη στέγη.</w:t>
      </w:r>
    </w:p>
    <w:p w14:paraId="318FD29C" w14:textId="49042107" w:rsidR="00E66E82" w:rsidRPr="007F2390" w:rsidRDefault="00E66E82" w:rsidP="00E66E82">
      <w:pPr>
        <w:numPr>
          <w:ilvl w:val="0"/>
          <w:numId w:val="2"/>
        </w:numPr>
        <w:tabs>
          <w:tab w:val="left" w:pos="397"/>
        </w:tabs>
        <w:spacing w:before="60" w:after="60"/>
        <w:ind w:left="397" w:hanging="397"/>
        <w:rPr>
          <w:rFonts w:cs="Arial"/>
        </w:rPr>
      </w:pPr>
      <w:r w:rsidRPr="007F2390">
        <w:rPr>
          <w:rFonts w:cs="Arial"/>
        </w:rPr>
        <w:t xml:space="preserve">Πρόγραμμα «Σπίτι μου ΙΙΙ»: Θεσμοθετείται νέο πρόγραμμα ύψους 2 δισ. ευρώ μέσω της ΕΑΤ για τη στήριξη της αγοράς πρώτης κατοικίας μέσω χαμηλότοκων στεγαστικών δανείων με διευρυμένα κριτήρια (ηλικία έως 55 έτη, εμπορική αξία ακινήτου έως 300.000 ευρώ, ύψος δανείου έως 230.000 ευρώ και αυξημένα εισοδηματικά όρια κατά 7.000 ευρώ ανά τέκνο). Εκ των 2 δισ. ευρώ </w:t>
      </w:r>
      <w:r w:rsidR="00232FEE">
        <w:rPr>
          <w:rFonts w:cs="Arial"/>
        </w:rPr>
        <w:t xml:space="preserve">ποσό </w:t>
      </w:r>
      <w:r w:rsidRPr="007F2390">
        <w:rPr>
          <w:rFonts w:cs="Arial"/>
        </w:rPr>
        <w:t>500 εκατ. ευρώ προέρχ</w:t>
      </w:r>
      <w:r w:rsidR="00232FEE">
        <w:rPr>
          <w:rFonts w:cs="Arial"/>
        </w:rPr>
        <w:t>εται</w:t>
      </w:r>
      <w:r w:rsidRPr="007F2390">
        <w:rPr>
          <w:rFonts w:cs="Arial"/>
        </w:rPr>
        <w:t xml:space="preserve"> από τα δάνεια του ΤΑΑ, </w:t>
      </w:r>
      <w:r w:rsidR="00232FEE">
        <w:rPr>
          <w:rFonts w:cs="Arial"/>
        </w:rPr>
        <w:t xml:space="preserve">ποσό </w:t>
      </w:r>
      <w:r w:rsidRPr="007F2390">
        <w:rPr>
          <w:rFonts w:cs="Arial"/>
        </w:rPr>
        <w:t xml:space="preserve">500 εκατ. ευρώ από τα ταμειακά διαθέσιμα της ΕΑΤ και </w:t>
      </w:r>
      <w:r w:rsidR="00232FEE">
        <w:rPr>
          <w:rFonts w:cs="Arial"/>
        </w:rPr>
        <w:t xml:space="preserve">ποσό </w:t>
      </w:r>
      <w:r w:rsidRPr="007F2390">
        <w:rPr>
          <w:rFonts w:cs="Arial"/>
        </w:rPr>
        <w:t>1 δισ. ευρώ από τα πιστωτικά ιδρύματα.</w:t>
      </w:r>
    </w:p>
    <w:p w14:paraId="758F79F1" w14:textId="4A57CD9B" w:rsidR="00E66E82" w:rsidRDefault="00E66E82" w:rsidP="00362061">
      <w:pPr>
        <w:numPr>
          <w:ilvl w:val="0"/>
          <w:numId w:val="2"/>
        </w:numPr>
        <w:tabs>
          <w:tab w:val="left" w:pos="397"/>
        </w:tabs>
        <w:spacing w:before="60" w:after="60"/>
        <w:ind w:left="397" w:hanging="397"/>
        <w:rPr>
          <w:rFonts w:cs="Arial"/>
        </w:rPr>
      </w:pPr>
      <w:r w:rsidRPr="007F2390">
        <w:rPr>
          <w:rFonts w:cs="Arial"/>
        </w:rPr>
        <w:t>Επιστροφή ενοικίου: Επεκτείνεται</w:t>
      </w:r>
      <w:r>
        <w:rPr>
          <w:rFonts w:cs="Arial"/>
        </w:rPr>
        <w:t xml:space="preserve"> από τον Νοέμβριο 2026</w:t>
      </w:r>
      <w:r w:rsidRPr="007F2390">
        <w:rPr>
          <w:rFonts w:cs="Arial"/>
        </w:rPr>
        <w:t xml:space="preserve"> η επιστροφή ενοικίου με διευρυμένα εισοδηματικά όρια (</w:t>
      </w:r>
      <w:r>
        <w:rPr>
          <w:rFonts w:cs="Arial"/>
        </w:rPr>
        <w:t xml:space="preserve">ετήσιο φορολογητέο εισόδημα </w:t>
      </w:r>
      <w:r w:rsidRPr="007F2390">
        <w:rPr>
          <w:rFonts w:cs="Arial"/>
        </w:rPr>
        <w:t xml:space="preserve">έως 25.000 ευρώ για άγαμους και </w:t>
      </w:r>
      <w:r>
        <w:rPr>
          <w:rFonts w:cs="Arial"/>
        </w:rPr>
        <w:t xml:space="preserve">έως </w:t>
      </w:r>
      <w:r w:rsidRPr="007F2390">
        <w:rPr>
          <w:rFonts w:cs="Arial"/>
        </w:rPr>
        <w:t>35.000 ευρώ για έγγαμους</w:t>
      </w:r>
      <w:r>
        <w:rPr>
          <w:rFonts w:cs="Arial"/>
        </w:rPr>
        <w:t>,</w:t>
      </w:r>
      <w:r w:rsidRPr="007F2390">
        <w:rPr>
          <w:rFonts w:cs="Arial"/>
        </w:rPr>
        <w:t xml:space="preserve"> προσαυξ</w:t>
      </w:r>
      <w:r w:rsidR="005E1758">
        <w:rPr>
          <w:rFonts w:cs="Arial"/>
        </w:rPr>
        <w:t xml:space="preserve">ανόμενο </w:t>
      </w:r>
      <w:r w:rsidRPr="007F2390">
        <w:rPr>
          <w:rFonts w:cs="Arial"/>
        </w:rPr>
        <w:t>κατά 5.000 ευρώ για κάθε τέκνο)</w:t>
      </w:r>
      <w:r w:rsidR="00973B61">
        <w:rPr>
          <w:rFonts w:cs="Arial"/>
        </w:rPr>
        <w:t>,</w:t>
      </w:r>
      <w:r w:rsidRPr="007F2390">
        <w:rPr>
          <w:rFonts w:cs="Arial"/>
        </w:rPr>
        <w:t xml:space="preserve"> καλύπτοντας το 85% των ενοικιαστών, δηλαδή 1 εκατ. νοικοκυριά</w:t>
      </w:r>
      <w:r>
        <w:rPr>
          <w:rFonts w:cs="Arial"/>
        </w:rPr>
        <w:t xml:space="preserve">. Το </w:t>
      </w:r>
      <w:r w:rsidRPr="007F2390">
        <w:rPr>
          <w:rFonts w:cs="Arial"/>
        </w:rPr>
        <w:t xml:space="preserve">δημοσιονομικό κόστος </w:t>
      </w:r>
      <w:r>
        <w:rPr>
          <w:rFonts w:cs="Arial"/>
        </w:rPr>
        <w:t xml:space="preserve">εκτιμάται σε </w:t>
      </w:r>
      <w:r w:rsidRPr="007F2390">
        <w:rPr>
          <w:rFonts w:cs="Arial"/>
        </w:rPr>
        <w:t>2</w:t>
      </w:r>
      <w:r>
        <w:rPr>
          <w:rFonts w:cs="Arial"/>
        </w:rPr>
        <w:t>33</w:t>
      </w:r>
      <w:r w:rsidRPr="007F2390">
        <w:rPr>
          <w:rFonts w:cs="Arial"/>
        </w:rPr>
        <w:t xml:space="preserve"> εκατ. ευρώ</w:t>
      </w:r>
      <w:r>
        <w:rPr>
          <w:rFonts w:cs="Arial"/>
        </w:rPr>
        <w:t>. Συγχρόνως</w:t>
      </w:r>
      <w:r w:rsidRPr="007F2390">
        <w:rPr>
          <w:rFonts w:cs="Arial"/>
        </w:rPr>
        <w:t xml:space="preserve">, </w:t>
      </w:r>
      <w:r>
        <w:rPr>
          <w:rFonts w:cs="Arial"/>
        </w:rPr>
        <w:t>παρέχεται ετήσια οικονομική ενίσχυση με τη μορφή επιστροφής δύο ενοικίων σε</w:t>
      </w:r>
      <w:r w:rsidRPr="007F2390">
        <w:rPr>
          <w:rFonts w:cs="Arial"/>
        </w:rPr>
        <w:t xml:space="preserve"> </w:t>
      </w:r>
      <w:r>
        <w:rPr>
          <w:rFonts w:cs="Arial"/>
        </w:rPr>
        <w:t xml:space="preserve">εκπαιδευτικούς, </w:t>
      </w:r>
      <w:r w:rsidRPr="007F2390">
        <w:rPr>
          <w:rFonts w:cs="Arial"/>
        </w:rPr>
        <w:t>ιατρούς</w:t>
      </w:r>
      <w:r>
        <w:rPr>
          <w:rFonts w:cs="Arial"/>
        </w:rPr>
        <w:t xml:space="preserve"> και</w:t>
      </w:r>
      <w:r w:rsidRPr="007F2390">
        <w:rPr>
          <w:rFonts w:cs="Arial"/>
        </w:rPr>
        <w:t xml:space="preserve"> νοσηλευτές </w:t>
      </w:r>
      <w:r>
        <w:rPr>
          <w:rFonts w:cs="Arial"/>
        </w:rPr>
        <w:t xml:space="preserve">που υπηρετούν στην ελληνική </w:t>
      </w:r>
      <w:r w:rsidRPr="007F2390">
        <w:rPr>
          <w:rFonts w:cs="Arial"/>
        </w:rPr>
        <w:t>περιφέρεια.</w:t>
      </w:r>
    </w:p>
    <w:p w14:paraId="1C461980" w14:textId="5D605370" w:rsidR="00E66E82" w:rsidRPr="007F2390" w:rsidRDefault="00E66E82" w:rsidP="00E66E82">
      <w:pPr>
        <w:numPr>
          <w:ilvl w:val="0"/>
          <w:numId w:val="2"/>
        </w:numPr>
        <w:tabs>
          <w:tab w:val="left" w:pos="397"/>
        </w:tabs>
        <w:spacing w:before="60"/>
        <w:ind w:left="397" w:hanging="397"/>
        <w:rPr>
          <w:rFonts w:cs="Arial"/>
        </w:rPr>
      </w:pPr>
      <w:r>
        <w:rPr>
          <w:rFonts w:cs="Arial"/>
        </w:rPr>
        <w:t>Κατάργηση ΕΝΦΙΑ για οικισμούς έως 2.000 κατοίκ</w:t>
      </w:r>
      <w:r w:rsidR="00B36E75">
        <w:rPr>
          <w:rFonts w:cs="Arial"/>
        </w:rPr>
        <w:t>ων</w:t>
      </w:r>
      <w:r>
        <w:rPr>
          <w:rFonts w:cs="Arial"/>
        </w:rPr>
        <w:t xml:space="preserve"> και έως 2.200</w:t>
      </w:r>
      <w:r w:rsidR="00B36E75">
        <w:rPr>
          <w:rFonts w:cs="Arial"/>
        </w:rPr>
        <w:t xml:space="preserve"> κατοίκων</w:t>
      </w:r>
      <w:r>
        <w:rPr>
          <w:rFonts w:cs="Arial"/>
        </w:rPr>
        <w:t xml:space="preserve"> στη Δυτική Μακεδονία</w:t>
      </w:r>
      <w:r w:rsidRPr="001E65C1">
        <w:rPr>
          <w:rFonts w:cs="Arial"/>
        </w:rPr>
        <w:t>: Από το έτος 2027 απαλλάσσονται από την καταβολή του ΕΝΦΙΑ φυσικά πρόσωπα, φορολογικοί κάτοικοι Ελλάδας, των οποίων η κύρια κατοικία βρίσκεται σε οικισμούς με πληθυσμό έως 2.000 κατοίκους, σύμφωνα με την εκάστοτε πλέον πρόσφατη απογραφή πληθυσμού, εξαιρουμένων των οικισμών της Περιφέρειας Αττικής (πλην της Περιφερειακής Ενότητας Νήσων). Ειδικά για την Περιφέρεια Δυτικής Μακεδονίας το όριο ορίζεται σε 2.200 κατοίκους.</w:t>
      </w:r>
      <w:r w:rsidRPr="001E65C1">
        <w:t xml:space="preserve"> </w:t>
      </w:r>
      <w:r w:rsidRPr="001E65C1">
        <w:rPr>
          <w:rFonts w:cs="Arial"/>
        </w:rPr>
        <w:t xml:space="preserve">Το μέτρο αφορά </w:t>
      </w:r>
      <w:r w:rsidR="0046174E">
        <w:rPr>
          <w:rFonts w:cs="Arial"/>
        </w:rPr>
        <w:t xml:space="preserve">σε </w:t>
      </w:r>
      <w:r w:rsidRPr="001E65C1">
        <w:rPr>
          <w:rFonts w:cs="Arial"/>
        </w:rPr>
        <w:t xml:space="preserve">131 επιπλέον οικισμούς και </w:t>
      </w:r>
      <w:r w:rsidR="0046174E">
        <w:rPr>
          <w:rFonts w:cs="Arial"/>
        </w:rPr>
        <w:t xml:space="preserve">σε </w:t>
      </w:r>
      <w:r w:rsidRPr="001E65C1">
        <w:rPr>
          <w:rFonts w:cs="Arial"/>
        </w:rPr>
        <w:t>περίπου 62.000 ιδιοκτήτες ακινήτων</w:t>
      </w:r>
      <w:r w:rsidR="0046174E">
        <w:rPr>
          <w:rFonts w:cs="Arial"/>
        </w:rPr>
        <w:t>,</w:t>
      </w:r>
      <w:r w:rsidRPr="001E65C1">
        <w:rPr>
          <w:rFonts w:cs="Arial"/>
        </w:rPr>
        <w:t xml:space="preserve"> με</w:t>
      </w:r>
      <w:r w:rsidR="0046174E">
        <w:rPr>
          <w:rFonts w:cs="Arial"/>
        </w:rPr>
        <w:t xml:space="preserve"> το</w:t>
      </w:r>
      <w:r w:rsidRPr="001E65C1">
        <w:rPr>
          <w:rFonts w:cs="Arial"/>
        </w:rPr>
        <w:t xml:space="preserve"> επιπ</w:t>
      </w:r>
      <w:r w:rsidR="0046174E">
        <w:rPr>
          <w:rFonts w:cs="Arial"/>
        </w:rPr>
        <w:t xml:space="preserve">ρόσθετο </w:t>
      </w:r>
      <w:r w:rsidRPr="001E65C1">
        <w:rPr>
          <w:rFonts w:cs="Arial"/>
        </w:rPr>
        <w:t>δημοσιονομικό κόστος</w:t>
      </w:r>
      <w:r w:rsidR="0046174E">
        <w:rPr>
          <w:rFonts w:cs="Arial"/>
        </w:rPr>
        <w:t xml:space="preserve"> να ανέρχεται σε</w:t>
      </w:r>
      <w:r w:rsidRPr="001E65C1">
        <w:rPr>
          <w:rFonts w:cs="Arial"/>
        </w:rPr>
        <w:t xml:space="preserve"> 8 εκατ. ευρώ ετησίως. Το δημοσιονομικό κόστος της συνολικής απαλλαγής που αφορά</w:t>
      </w:r>
      <w:r w:rsidR="0046174E">
        <w:rPr>
          <w:rFonts w:cs="Arial"/>
        </w:rPr>
        <w:t xml:space="preserve"> σε</w:t>
      </w:r>
      <w:r w:rsidRPr="001E65C1">
        <w:rPr>
          <w:rFonts w:cs="Arial"/>
        </w:rPr>
        <w:t xml:space="preserve"> 12.855 οικισμούς</w:t>
      </w:r>
      <w:r w:rsidR="0046174E">
        <w:rPr>
          <w:rFonts w:cs="Arial"/>
        </w:rPr>
        <w:t>,</w:t>
      </w:r>
      <w:r w:rsidRPr="001E65C1">
        <w:rPr>
          <w:rFonts w:cs="Arial"/>
        </w:rPr>
        <w:t xml:space="preserve"> εκτιμάται σε 86 εκατ. ευρώ ετησίως.</w:t>
      </w:r>
    </w:p>
    <w:p w14:paraId="484CFC38" w14:textId="77777777" w:rsidR="00E66E82" w:rsidRPr="0051281F" w:rsidRDefault="00E66E82" w:rsidP="00E66E82">
      <w:pPr>
        <w:pStyle w:val="5"/>
        <w:keepNext w:val="0"/>
        <w:numPr>
          <w:ilvl w:val="0"/>
          <w:numId w:val="0"/>
        </w:numPr>
        <w:tabs>
          <w:tab w:val="left" w:pos="397"/>
        </w:tabs>
        <w:spacing w:before="360" w:after="240"/>
      </w:pPr>
      <w:bookmarkStart w:id="337" w:name="_Toc241772632"/>
      <w:bookmarkStart w:id="338" w:name="_Toc241832253"/>
      <w:bookmarkStart w:id="339" w:name="_Toc241953634"/>
      <w:bookmarkStart w:id="340" w:name="_Toc242015552"/>
      <w:bookmarkStart w:id="341" w:name="_Toc242019564"/>
      <w:r w:rsidRPr="00BD443C">
        <w:t>Μέτρα</w:t>
      </w:r>
      <w:r w:rsidRPr="00BD443C">
        <w:rPr>
          <w:lang w:val="el-GR"/>
        </w:rPr>
        <w:t xml:space="preserve"> κοινωνικής πολιτικής, παιδείας και υγείας</w:t>
      </w:r>
      <w:bookmarkEnd w:id="337"/>
      <w:bookmarkEnd w:id="338"/>
      <w:bookmarkEnd w:id="339"/>
      <w:bookmarkEnd w:id="340"/>
      <w:bookmarkEnd w:id="341"/>
    </w:p>
    <w:p w14:paraId="4C74DD70" w14:textId="6CEE5C18" w:rsidR="00E66E82" w:rsidRPr="00622016" w:rsidRDefault="00E66E82" w:rsidP="00E66E82">
      <w:pPr>
        <w:numPr>
          <w:ilvl w:val="0"/>
          <w:numId w:val="2"/>
        </w:numPr>
        <w:tabs>
          <w:tab w:val="left" w:pos="397"/>
        </w:tabs>
        <w:spacing w:before="120" w:after="60"/>
        <w:ind w:left="397" w:hanging="397"/>
        <w:rPr>
          <w:rFonts w:cs="Arial"/>
        </w:rPr>
      </w:pPr>
      <w:r w:rsidRPr="00622016">
        <w:rPr>
          <w:rFonts w:cs="Arial"/>
        </w:rPr>
        <w:t xml:space="preserve">Επενδυτικός </w:t>
      </w:r>
      <w:r>
        <w:rPr>
          <w:rFonts w:cs="Arial"/>
        </w:rPr>
        <w:t>Λ</w:t>
      </w:r>
      <w:r w:rsidRPr="00622016">
        <w:rPr>
          <w:rFonts w:cs="Arial"/>
        </w:rPr>
        <w:t xml:space="preserve">ογαριασμός </w:t>
      </w:r>
      <w:r w:rsidRPr="00BD443C">
        <w:rPr>
          <w:rFonts w:cs="Arial"/>
        </w:rPr>
        <w:t>Νέας Γενιάς: Από</w:t>
      </w:r>
      <w:r w:rsidRPr="00622016">
        <w:rPr>
          <w:rFonts w:cs="Arial"/>
        </w:rPr>
        <w:t xml:space="preserve"> το 2027 για βρέφη </w:t>
      </w:r>
      <w:r w:rsidR="001823F3">
        <w:rPr>
          <w:rFonts w:cs="Arial"/>
        </w:rPr>
        <w:t xml:space="preserve">ηλικίας </w:t>
      </w:r>
      <w:r w:rsidRPr="00622016">
        <w:rPr>
          <w:rFonts w:cs="Arial"/>
        </w:rPr>
        <w:t>έως 2 ετών καθιερώνεται επενδυτικός λογαριασμός με ισόποση κρατική συνεισφορά έως 1.200 ευρώ ετησίως</w:t>
      </w:r>
      <w:r>
        <w:rPr>
          <w:rFonts w:cs="Arial"/>
        </w:rPr>
        <w:t xml:space="preserve">, </w:t>
      </w:r>
      <w:r w:rsidRPr="00622016">
        <w:rPr>
          <w:rFonts w:cs="Arial"/>
        </w:rPr>
        <w:t xml:space="preserve">αυξανόμενη κατά 10% ανά </w:t>
      </w:r>
      <w:r>
        <w:rPr>
          <w:rFonts w:cs="Arial"/>
        </w:rPr>
        <w:t>πεντα</w:t>
      </w:r>
      <w:r w:rsidRPr="00622016">
        <w:rPr>
          <w:rFonts w:cs="Arial"/>
        </w:rPr>
        <w:t>ετία</w:t>
      </w:r>
      <w:r>
        <w:rPr>
          <w:rFonts w:cs="Arial"/>
        </w:rPr>
        <w:t>,</w:t>
      </w:r>
      <w:r w:rsidRPr="00622016">
        <w:rPr>
          <w:rFonts w:cs="Arial"/>
        </w:rPr>
        <w:t xml:space="preserve"> </w:t>
      </w:r>
      <w:r>
        <w:rPr>
          <w:rFonts w:cs="Arial"/>
        </w:rPr>
        <w:t xml:space="preserve">μέχρι </w:t>
      </w:r>
      <w:r w:rsidRPr="00622016">
        <w:rPr>
          <w:rFonts w:cs="Arial"/>
        </w:rPr>
        <w:t>την ενηλικίωση. Με απόδοση 3%</w:t>
      </w:r>
      <w:r>
        <w:rPr>
          <w:rFonts w:cs="Arial"/>
        </w:rPr>
        <w:t xml:space="preserve"> </w:t>
      </w:r>
      <w:r w:rsidRPr="00622016">
        <w:rPr>
          <w:rFonts w:cs="Arial"/>
        </w:rPr>
        <w:t>-</w:t>
      </w:r>
      <w:r>
        <w:rPr>
          <w:rFonts w:cs="Arial"/>
        </w:rPr>
        <w:t xml:space="preserve"> </w:t>
      </w:r>
      <w:r w:rsidRPr="00622016">
        <w:rPr>
          <w:rFonts w:cs="Arial"/>
        </w:rPr>
        <w:t>5% το σωρευμένο κεφάλαιο θα ανέρχεται σε 64.000 - 77.000 ευρώ</w:t>
      </w:r>
      <w:r>
        <w:rPr>
          <w:rFonts w:cs="Arial"/>
        </w:rPr>
        <w:t>,</w:t>
      </w:r>
      <w:r w:rsidRPr="00622016">
        <w:rPr>
          <w:rFonts w:cs="Arial"/>
        </w:rPr>
        <w:t xml:space="preserve"> ενώ ο γονέας θα έχει καταβάλει μόλις 24.600 ευρώ</w:t>
      </w:r>
      <w:r>
        <w:rPr>
          <w:rFonts w:cs="Arial"/>
        </w:rPr>
        <w:t>. Το</w:t>
      </w:r>
      <w:r w:rsidRPr="00622016">
        <w:rPr>
          <w:rFonts w:cs="Arial"/>
        </w:rPr>
        <w:t xml:space="preserve"> δημοσιονομικό κόστος</w:t>
      </w:r>
      <w:r>
        <w:rPr>
          <w:rFonts w:cs="Arial"/>
        </w:rPr>
        <w:t xml:space="preserve"> ανέρχεται σε</w:t>
      </w:r>
      <w:r w:rsidRPr="00622016">
        <w:rPr>
          <w:rFonts w:cs="Arial"/>
        </w:rPr>
        <w:t xml:space="preserve"> 55 εκατ. ευρώ το 2027</w:t>
      </w:r>
      <w:r>
        <w:rPr>
          <w:rFonts w:cs="Arial"/>
        </w:rPr>
        <w:t xml:space="preserve">, αυξανόμενο κατά 27 εκατ. ευρώ </w:t>
      </w:r>
      <w:r w:rsidR="004A4DE6">
        <w:rPr>
          <w:rFonts w:cs="Arial"/>
        </w:rPr>
        <w:t xml:space="preserve">περίπου </w:t>
      </w:r>
      <w:r>
        <w:rPr>
          <w:rFonts w:cs="Arial"/>
        </w:rPr>
        <w:t>ετησίως</w:t>
      </w:r>
      <w:r w:rsidRPr="00622016">
        <w:rPr>
          <w:rFonts w:cs="Arial"/>
        </w:rPr>
        <w:t>.</w:t>
      </w:r>
    </w:p>
    <w:p w14:paraId="3A5FFD83" w14:textId="3DD1091E" w:rsidR="00E66E82" w:rsidRPr="00C3305C" w:rsidRDefault="00E66E82" w:rsidP="00362061">
      <w:pPr>
        <w:numPr>
          <w:ilvl w:val="0"/>
          <w:numId w:val="2"/>
        </w:numPr>
        <w:tabs>
          <w:tab w:val="left" w:pos="397"/>
        </w:tabs>
        <w:spacing w:before="60" w:after="60"/>
        <w:ind w:left="397" w:hanging="397"/>
        <w:rPr>
          <w:rFonts w:cs="Arial"/>
        </w:rPr>
      </w:pPr>
      <w:r w:rsidRPr="007F2390">
        <w:rPr>
          <w:rFonts w:cs="Arial"/>
        </w:rPr>
        <w:t xml:space="preserve">Τιμαριθμοποίηση επιδομάτων αναπηρίας: Από </w:t>
      </w:r>
      <w:r>
        <w:rPr>
          <w:rFonts w:cs="Arial"/>
        </w:rPr>
        <w:t>τον Ιανουάριο 2027</w:t>
      </w:r>
      <w:r w:rsidRPr="007F2390">
        <w:rPr>
          <w:rFonts w:cs="Arial"/>
        </w:rPr>
        <w:t xml:space="preserve"> τα επιδόματα του ΟΠΕΚΑ και του e-ΕΦΚΑ για 218.000 δικαιούχους θα αναπροσαρμόζονται ετησίως βάσει της αύξησης του ΑΕΠ και του πληθωρισμού</w:t>
      </w:r>
      <w:r>
        <w:rPr>
          <w:rFonts w:cs="Arial"/>
        </w:rPr>
        <w:t xml:space="preserve">, με το </w:t>
      </w:r>
      <w:r w:rsidRPr="007F2390">
        <w:rPr>
          <w:rFonts w:cs="Arial"/>
        </w:rPr>
        <w:t xml:space="preserve">δημοσιονομικό κόστος </w:t>
      </w:r>
      <w:r>
        <w:rPr>
          <w:rFonts w:cs="Arial"/>
        </w:rPr>
        <w:t xml:space="preserve">να διαμορφώνεται σε </w:t>
      </w:r>
      <w:r w:rsidRPr="007F2390">
        <w:rPr>
          <w:rFonts w:cs="Arial"/>
        </w:rPr>
        <w:t>47 εκατ. ευρώ το 2027.</w:t>
      </w:r>
    </w:p>
    <w:p w14:paraId="0F8D4CAE" w14:textId="6C1FA70C" w:rsidR="00E66E82" w:rsidRPr="007F2390" w:rsidRDefault="00E66E82" w:rsidP="00E66E82">
      <w:pPr>
        <w:numPr>
          <w:ilvl w:val="0"/>
          <w:numId w:val="2"/>
        </w:numPr>
        <w:tabs>
          <w:tab w:val="left" w:pos="397"/>
        </w:tabs>
        <w:spacing w:before="60"/>
        <w:ind w:left="397" w:hanging="397"/>
        <w:rPr>
          <w:rFonts w:cs="Arial"/>
        </w:rPr>
      </w:pPr>
      <w:r>
        <w:rPr>
          <w:rFonts w:cs="Arial"/>
        </w:rPr>
        <w:t xml:space="preserve">Αυξάνεται η αποζημίωση των </w:t>
      </w:r>
      <w:r>
        <w:rPr>
          <w:rFonts w:cs="Arial"/>
          <w:lang w:val="en-US"/>
        </w:rPr>
        <w:t>voucher</w:t>
      </w:r>
      <w:r w:rsidRPr="00DB2EB5">
        <w:rPr>
          <w:rFonts w:cs="Arial"/>
        </w:rPr>
        <w:t xml:space="preserve"> </w:t>
      </w:r>
      <w:r>
        <w:rPr>
          <w:rFonts w:cs="Arial"/>
        </w:rPr>
        <w:t>για βρεφονηπιακούς σταθμούς και διευρύνονται τα εισοδηματικά κριτήρια</w:t>
      </w:r>
      <w:r w:rsidR="00C11EDD">
        <w:rPr>
          <w:rFonts w:cs="Arial"/>
        </w:rPr>
        <w:t>,</w:t>
      </w:r>
      <w:r>
        <w:rPr>
          <w:rFonts w:cs="Arial"/>
        </w:rPr>
        <w:t xml:space="preserve"> με ετήσιο δημοσιονομικό κόστος 37 εκατ. ευρώ. Παράλληλα</w:t>
      </w:r>
      <w:r w:rsidR="004B3EA5" w:rsidRPr="00CF5C02">
        <w:rPr>
          <w:rFonts w:cs="Arial"/>
        </w:rPr>
        <w:t>,</w:t>
      </w:r>
      <w:r>
        <w:rPr>
          <w:rFonts w:cs="Arial"/>
        </w:rPr>
        <w:t xml:space="preserve"> αυξάνεται η αποζημίωση σίτισης φοιτητών</w:t>
      </w:r>
      <w:r w:rsidR="00C11EDD">
        <w:rPr>
          <w:rFonts w:cs="Arial"/>
        </w:rPr>
        <w:t>,</w:t>
      </w:r>
      <w:r>
        <w:rPr>
          <w:rFonts w:cs="Arial"/>
        </w:rPr>
        <w:t xml:space="preserve"> με ετήσιο δημοσιονομικό κόστος 27 εκατ. ευρώ.</w:t>
      </w:r>
    </w:p>
    <w:p w14:paraId="3AC36AA1" w14:textId="77777777" w:rsidR="00E66E82" w:rsidRPr="0051281F" w:rsidRDefault="00E66E82" w:rsidP="00E66E82">
      <w:pPr>
        <w:pStyle w:val="5"/>
        <w:keepNext w:val="0"/>
        <w:numPr>
          <w:ilvl w:val="0"/>
          <w:numId w:val="0"/>
        </w:numPr>
        <w:tabs>
          <w:tab w:val="left" w:pos="397"/>
        </w:tabs>
        <w:spacing w:before="360" w:after="240"/>
      </w:pPr>
      <w:bookmarkStart w:id="342" w:name="_Toc241772633"/>
      <w:bookmarkStart w:id="343" w:name="_Toc241832254"/>
      <w:bookmarkStart w:id="344" w:name="_Toc241953635"/>
      <w:bookmarkStart w:id="345" w:name="_Toc242015553"/>
      <w:bookmarkStart w:id="346" w:name="_Toc242019565"/>
      <w:r w:rsidRPr="0051281F">
        <w:t>Ενίσχυση της ενεργειακής αυτονομίας και μείωση του κόστους ηλεκτρικής ενέργειας</w:t>
      </w:r>
      <w:bookmarkEnd w:id="342"/>
      <w:bookmarkEnd w:id="343"/>
      <w:bookmarkEnd w:id="344"/>
      <w:bookmarkEnd w:id="345"/>
      <w:bookmarkEnd w:id="346"/>
    </w:p>
    <w:p w14:paraId="75DE7DE6" w14:textId="77777777" w:rsidR="00E66E82" w:rsidRPr="008B20D6" w:rsidRDefault="00E66E82" w:rsidP="00E66E82">
      <w:r w:rsidRPr="008B20D6">
        <w:t>Η ενίσχυση της ενεργειακής αυτονομίας της χώρας αποσκοπεί στη σταδιακή μείωση του κόστους ηλεκτρικής ενέργειας για νοικοκυριά και επιχειρήσεις, μέσω επενδύσεων σε δίκτυα, αποθήκευση</w:t>
      </w:r>
      <w:r>
        <w:t>ς</w:t>
      </w:r>
      <w:r w:rsidRPr="008B20D6">
        <w:t xml:space="preserve"> ενέργειας, ανανεώσιμ</w:t>
      </w:r>
      <w:r>
        <w:t>ων</w:t>
      </w:r>
      <w:r w:rsidRPr="008B20D6">
        <w:t xml:space="preserve"> πηγ</w:t>
      </w:r>
      <w:r>
        <w:t>ών</w:t>
      </w:r>
      <w:r w:rsidRPr="008B20D6">
        <w:t xml:space="preserve"> ενέργειας και προγρ</w:t>
      </w:r>
      <w:r>
        <w:t>α</w:t>
      </w:r>
      <w:r w:rsidRPr="008B20D6">
        <w:t>μμ</w:t>
      </w:r>
      <w:r>
        <w:t>ά</w:t>
      </w:r>
      <w:r w:rsidRPr="008B20D6">
        <w:t>τ</w:t>
      </w:r>
      <w:r>
        <w:t>ων</w:t>
      </w:r>
      <w:r w:rsidRPr="008B20D6">
        <w:t xml:space="preserve"> εξοικονόμησης. </w:t>
      </w:r>
      <w:r>
        <w:t xml:space="preserve">Ο </w:t>
      </w:r>
      <w:r w:rsidRPr="008B20D6">
        <w:t xml:space="preserve">συνδυασμός των παρεμβάσεων αναμένεται να </w:t>
      </w:r>
      <w:r>
        <w:t xml:space="preserve">επιφέρει </w:t>
      </w:r>
      <w:r w:rsidRPr="008B20D6">
        <w:t>σταδιακή μείωση της λιανικής τιμής ηλεκτρικής ενέργειας έως και κατά 30% την περίοδο 2027</w:t>
      </w:r>
      <w:r w:rsidRPr="003833C1">
        <w:t xml:space="preserve"> </w:t>
      </w:r>
      <w:r w:rsidRPr="008B20D6">
        <w:t>-</w:t>
      </w:r>
      <w:r w:rsidRPr="003833C1">
        <w:t xml:space="preserve"> </w:t>
      </w:r>
      <w:r w:rsidRPr="008B20D6">
        <w:t>2029.</w:t>
      </w:r>
    </w:p>
    <w:p w14:paraId="7390D178" w14:textId="7A515611" w:rsidR="00E66E82" w:rsidRPr="008B20D6" w:rsidRDefault="00E66E82" w:rsidP="00E66E82">
      <w:r w:rsidRPr="008B20D6">
        <w:t>Οι κυριότερες παρεμβάσεις</w:t>
      </w:r>
      <w:r>
        <w:t xml:space="preserve"> για τη μείωση των τιμών ρεύματος</w:t>
      </w:r>
      <w:r w:rsidRPr="008B20D6">
        <w:t xml:space="preserve"> περιλαμβάνουν:</w:t>
      </w:r>
    </w:p>
    <w:p w14:paraId="15C0DE9C" w14:textId="77777777" w:rsidR="00E66E82" w:rsidRPr="00622016" w:rsidRDefault="00E66E82" w:rsidP="00E66E82">
      <w:pPr>
        <w:numPr>
          <w:ilvl w:val="0"/>
          <w:numId w:val="2"/>
        </w:numPr>
        <w:spacing w:before="120" w:after="60"/>
        <w:ind w:left="568" w:hanging="284"/>
      </w:pPr>
      <w:r w:rsidRPr="00622016">
        <w:t>νέο πρόγραμμα επιχορήγησης συστημάτων αποθήκευσης ενέργειας (μπαταριών), με στόχο τη</w:t>
      </w:r>
      <w:r>
        <w:t xml:space="preserve"> βέλτιστη</w:t>
      </w:r>
      <w:r w:rsidRPr="00622016">
        <w:t xml:space="preserve"> αξιοποίηση της παραγωγής από ανανεώσιμες πηγές</w:t>
      </w:r>
      <w:r>
        <w:t xml:space="preserve"> ενέργειας</w:t>
      </w:r>
      <w:r w:rsidRPr="00622016">
        <w:t xml:space="preserve"> και τη μείωση της μεταβλητότητας των χονδρικών τιμών ηλεκτρικής ενέργειας,</w:t>
      </w:r>
    </w:p>
    <w:p w14:paraId="2328BD72" w14:textId="77777777" w:rsidR="00E66E82" w:rsidRPr="00622016" w:rsidRDefault="00E66E82" w:rsidP="00E66E82">
      <w:pPr>
        <w:numPr>
          <w:ilvl w:val="0"/>
          <w:numId w:val="1"/>
        </w:numPr>
        <w:spacing w:before="60" w:after="60"/>
        <w:ind w:left="568" w:hanging="284"/>
        <w:rPr>
          <w:rFonts w:cs="Arial"/>
        </w:rPr>
      </w:pPr>
      <w:r w:rsidRPr="00622016">
        <w:rPr>
          <w:rFonts w:cs="Arial"/>
        </w:rPr>
        <w:t xml:space="preserve">μείωση κατά 50% της πρώτης κλίμακας χρεώσεων </w:t>
      </w:r>
      <w:r>
        <w:rPr>
          <w:rFonts w:cs="Arial"/>
        </w:rPr>
        <w:t>Υπηρεσιών Κοινής Ωφελείας (</w:t>
      </w:r>
      <w:r w:rsidRPr="00622016">
        <w:rPr>
          <w:rFonts w:cs="Arial"/>
        </w:rPr>
        <w:t>ΥΚΩ</w:t>
      </w:r>
      <w:r>
        <w:rPr>
          <w:rFonts w:cs="Arial"/>
        </w:rPr>
        <w:t>)</w:t>
      </w:r>
      <w:r w:rsidRPr="00622016">
        <w:rPr>
          <w:rFonts w:cs="Arial"/>
        </w:rPr>
        <w:t xml:space="preserve"> για τις οικιακές παροχές από</w:t>
      </w:r>
      <w:r>
        <w:rPr>
          <w:rFonts w:cs="Arial"/>
        </w:rPr>
        <w:t xml:space="preserve"> την</w:t>
      </w:r>
      <w:r w:rsidRPr="00622016">
        <w:rPr>
          <w:rFonts w:cs="Arial"/>
        </w:rPr>
        <w:t xml:space="preserve"> 01</w:t>
      </w:r>
      <w:r>
        <w:rPr>
          <w:rFonts w:cs="Arial"/>
        </w:rPr>
        <w:t>η</w:t>
      </w:r>
      <w:r w:rsidRPr="00622016">
        <w:rPr>
          <w:rFonts w:cs="Arial"/>
        </w:rPr>
        <w:t>.01.2027</w:t>
      </w:r>
      <w:r>
        <w:rPr>
          <w:rFonts w:cs="Arial"/>
        </w:rPr>
        <w:t xml:space="preserve"> και την ως εκ τούτου άμεση ενίσχυση του </w:t>
      </w:r>
      <w:r w:rsidRPr="00622016">
        <w:rPr>
          <w:rFonts w:cs="Arial"/>
        </w:rPr>
        <w:t>διαθέσιμο</w:t>
      </w:r>
      <w:r>
        <w:rPr>
          <w:rFonts w:cs="Arial"/>
        </w:rPr>
        <w:t>υ</w:t>
      </w:r>
      <w:r w:rsidRPr="00622016">
        <w:rPr>
          <w:rFonts w:cs="Arial"/>
        </w:rPr>
        <w:t xml:space="preserve"> εισ</w:t>
      </w:r>
      <w:r>
        <w:rPr>
          <w:rFonts w:cs="Arial"/>
        </w:rPr>
        <w:t xml:space="preserve">οδήματος </w:t>
      </w:r>
      <w:r w:rsidRPr="00622016">
        <w:rPr>
          <w:rFonts w:cs="Arial"/>
        </w:rPr>
        <w:t>των νοικοκυριών,</w:t>
      </w:r>
    </w:p>
    <w:p w14:paraId="6CF88FC9" w14:textId="3140C656" w:rsidR="00E66E82" w:rsidRPr="00622016" w:rsidRDefault="00E66E82" w:rsidP="00E66E82">
      <w:pPr>
        <w:numPr>
          <w:ilvl w:val="0"/>
          <w:numId w:val="1"/>
        </w:numPr>
        <w:spacing w:before="60" w:after="60"/>
        <w:ind w:left="568" w:hanging="284"/>
        <w:rPr>
          <w:rFonts w:cs="Arial"/>
        </w:rPr>
      </w:pPr>
      <w:r w:rsidRPr="00622016">
        <w:rPr>
          <w:rFonts w:cs="Arial"/>
        </w:rPr>
        <w:t xml:space="preserve">σημαντική επέκταση των δικτύων μεταφοράς ηλεκτρικής ενέργειας μέσω των επενδυτικών προγραμμάτων του </w:t>
      </w:r>
      <w:r w:rsidR="00F36AF5">
        <w:t xml:space="preserve">Ανεξάρτητου Διαχειριστή </w:t>
      </w:r>
      <w:r w:rsidR="00F36AF5" w:rsidRPr="00A61DAA">
        <w:t xml:space="preserve">Μεταφοράς Ηλεκτρικής Ενέργειας </w:t>
      </w:r>
      <w:r w:rsidR="00F36AF5">
        <w:t>(</w:t>
      </w:r>
      <w:r w:rsidRPr="00622016">
        <w:rPr>
          <w:rFonts w:cs="Arial"/>
        </w:rPr>
        <w:t>ΑΔΜΗΕ</w:t>
      </w:r>
      <w:r w:rsidR="00F36AF5">
        <w:rPr>
          <w:rFonts w:cs="Arial"/>
        </w:rPr>
        <w:t>)</w:t>
      </w:r>
      <w:r w:rsidRPr="00622016">
        <w:rPr>
          <w:rFonts w:cs="Arial"/>
        </w:rPr>
        <w:t>, συμπεριλαμβανομένων των διασυνδέσεων Δωδεκανήσων και Βορείου Αιγαίου,</w:t>
      </w:r>
    </w:p>
    <w:p w14:paraId="16B0F5E7" w14:textId="77777777" w:rsidR="00E66E82" w:rsidRPr="00622016" w:rsidRDefault="00E66E82" w:rsidP="00E66E82">
      <w:pPr>
        <w:numPr>
          <w:ilvl w:val="0"/>
          <w:numId w:val="1"/>
        </w:numPr>
        <w:spacing w:before="60" w:after="60"/>
        <w:ind w:left="568" w:hanging="284"/>
        <w:rPr>
          <w:rFonts w:cs="Arial"/>
        </w:rPr>
      </w:pPr>
      <w:r w:rsidRPr="00622016">
        <w:rPr>
          <w:rFonts w:cs="Arial"/>
        </w:rPr>
        <w:t>νέα προγράμματα ενεργειακής αναβάθμισης κατοικιών και επιχειρήσεων μέσω πόρων του Κοινωνικού Κλιματικού Ταμείου,</w:t>
      </w:r>
    </w:p>
    <w:p w14:paraId="1DD65757" w14:textId="77777777" w:rsidR="00E66E82" w:rsidRPr="00622016" w:rsidRDefault="00E66E82" w:rsidP="00E66E82">
      <w:pPr>
        <w:numPr>
          <w:ilvl w:val="0"/>
          <w:numId w:val="1"/>
        </w:numPr>
        <w:spacing w:before="60" w:after="60"/>
        <w:ind w:left="568" w:hanging="284"/>
        <w:rPr>
          <w:rFonts w:cs="Arial"/>
        </w:rPr>
      </w:pPr>
      <w:r w:rsidRPr="00622016">
        <w:rPr>
          <w:rFonts w:cs="Arial"/>
        </w:rPr>
        <w:t>παρεμβάσεις για τη διεύρυνση της χρήσης αντλιών θερμότητας, φωτοβολταϊκών και ηλιακών θερμοσιφώνων</w:t>
      </w:r>
      <w:r>
        <w:rPr>
          <w:rFonts w:cs="Arial"/>
        </w:rPr>
        <w:t xml:space="preserve"> και</w:t>
      </w:r>
    </w:p>
    <w:p w14:paraId="42E175D4" w14:textId="77777777" w:rsidR="00E66E82" w:rsidRPr="00622016" w:rsidRDefault="00E66E82" w:rsidP="00E66E82">
      <w:pPr>
        <w:numPr>
          <w:ilvl w:val="0"/>
          <w:numId w:val="2"/>
        </w:numPr>
        <w:spacing w:before="60"/>
        <w:ind w:left="568" w:hanging="284"/>
      </w:pPr>
      <w:r w:rsidRPr="00622016">
        <w:t xml:space="preserve">ενεργοποίηση του Ταμείου </w:t>
      </w:r>
      <w:proofErr w:type="spellStart"/>
      <w:r w:rsidRPr="00622016">
        <w:t>Απανθρακοποίησης</w:t>
      </w:r>
      <w:proofErr w:type="spellEnd"/>
      <w:r w:rsidRPr="00622016">
        <w:t xml:space="preserve"> των Νησιών για έργα Ανανεώσιμων Πηγών Ενέργειας και για αποθήκευση καθώς και υλοποίηση των προγραμμάτων </w:t>
      </w:r>
      <w:r>
        <w:t>«</w:t>
      </w:r>
      <w:r w:rsidRPr="00622016">
        <w:t>ΗΛΕΚΤΡΑ</w:t>
      </w:r>
      <w:r>
        <w:t>»</w:t>
      </w:r>
      <w:r w:rsidRPr="00622016">
        <w:t xml:space="preserve"> και </w:t>
      </w:r>
      <w:r>
        <w:t>«</w:t>
      </w:r>
      <w:r w:rsidRPr="00622016">
        <w:t>ΦΟΙΒΟΣ - ΑΘΗΝΑ</w:t>
      </w:r>
      <w:r>
        <w:t>»</w:t>
      </w:r>
      <w:r w:rsidRPr="00622016">
        <w:t xml:space="preserve"> για</w:t>
      </w:r>
      <w:r>
        <w:t xml:space="preserve"> την</w:t>
      </w:r>
      <w:r w:rsidRPr="00622016">
        <w:t xml:space="preserve"> ενεργειακή αναβάθμιση 109 κτ</w:t>
      </w:r>
      <w:r>
        <w:t>η</w:t>
      </w:r>
      <w:r w:rsidRPr="00622016">
        <w:t xml:space="preserve">ρίων του </w:t>
      </w:r>
      <w:r>
        <w:t>Δ</w:t>
      </w:r>
      <w:r w:rsidRPr="00622016">
        <w:t>ημοσίου, πανεπιστημίων και 246 σχολείων.</w:t>
      </w:r>
    </w:p>
    <w:p w14:paraId="5E721BF5" w14:textId="4A506B0F" w:rsidR="00E66E82" w:rsidRDefault="00E66E82" w:rsidP="00717CD2">
      <w:r w:rsidRPr="008B20D6">
        <w:t xml:space="preserve">Οι </w:t>
      </w:r>
      <w:r>
        <w:t xml:space="preserve">ανωτέρω </w:t>
      </w:r>
      <w:r w:rsidRPr="008B20D6">
        <w:t xml:space="preserve">παρεμβάσεις </w:t>
      </w:r>
      <w:r w:rsidRPr="00DB2EB5">
        <w:t>εντάσσονται στη συνολική προσπάθεια ενίσχυσης της ενεργειακής ανθεκτικότητας της οικονομίας, περιορισμού της εξάρτησης από εισαγόμενα καύσιμα και δημιουργίας μόνιμων προϋποθέσεων για χαμηλότερο ενεργειακό κόστος</w:t>
      </w:r>
      <w:r>
        <w:t>. Προς την</w:t>
      </w:r>
      <w:r w:rsidR="00657E62">
        <w:t xml:space="preserve"> εν λόγω </w:t>
      </w:r>
      <w:r>
        <w:t>κατεύθυνση κινείται και η</w:t>
      </w:r>
      <w:r w:rsidRPr="008B20D6">
        <w:t xml:space="preserve"> </w:t>
      </w:r>
      <w:r w:rsidR="00657E62">
        <w:t>ενίσχυση</w:t>
      </w:r>
      <w:r w:rsidRPr="008B20D6">
        <w:t xml:space="preserve"> του </w:t>
      </w:r>
      <w:r>
        <w:t>ε</w:t>
      </w:r>
      <w:r w:rsidRPr="008B20D6">
        <w:t>θνικού</w:t>
      </w:r>
      <w:r>
        <w:t xml:space="preserve"> σκέλους του προϋπολογισμού δ</w:t>
      </w:r>
      <w:r w:rsidRPr="008B20D6">
        <w:t xml:space="preserve">ημοσίων </w:t>
      </w:r>
      <w:r>
        <w:t>ε</w:t>
      </w:r>
      <w:r w:rsidRPr="008B20D6">
        <w:t>πενδύσεων</w:t>
      </w:r>
      <w:r>
        <w:t xml:space="preserve">, </w:t>
      </w:r>
      <w:r w:rsidRPr="00DB2EB5">
        <w:t xml:space="preserve">όπου </w:t>
      </w:r>
      <w:r>
        <w:t>προβλέπονται πρόσθετοι πόροι</w:t>
      </w:r>
      <w:r w:rsidRPr="00DB2EB5">
        <w:t xml:space="preserve"> ύψους 300 εκατ. ευρώ το 2026</w:t>
      </w:r>
      <w:r>
        <w:t>,</w:t>
      </w:r>
      <w:r w:rsidRPr="00DB2EB5">
        <w:t xml:space="preserve"> 400 εκατ. ευρώ το 2027, 300 εκατ. ευρώ το 2028 και 200 εκατ. ευρώ το 2029</w:t>
      </w:r>
      <w:r w:rsidR="00F9438D">
        <w:t>,</w:t>
      </w:r>
      <w:r w:rsidRPr="00DB2EB5">
        <w:t xml:space="preserve"> για την υλοποίηση νέων ενεργειακών έργων και κρίσιμων υποδομών</w:t>
      </w:r>
      <w:r>
        <w:t>.</w:t>
      </w:r>
    </w:p>
    <w:p w14:paraId="58CD1B12" w14:textId="3F67652F" w:rsidR="00151443" w:rsidRDefault="00151443" w:rsidP="00151443">
      <w:pPr>
        <w:pStyle w:val="5"/>
        <w:keepNext w:val="0"/>
        <w:numPr>
          <w:ilvl w:val="0"/>
          <w:numId w:val="0"/>
        </w:numPr>
        <w:tabs>
          <w:tab w:val="left" w:pos="0"/>
        </w:tabs>
        <w:spacing w:before="360" w:after="240"/>
        <w:rPr>
          <w:lang w:val="el-GR"/>
        </w:rPr>
      </w:pPr>
      <w:bookmarkStart w:id="347" w:name="_Toc241772634"/>
      <w:bookmarkStart w:id="348" w:name="_Toc241832255"/>
      <w:bookmarkStart w:id="349" w:name="_Toc241953636"/>
      <w:bookmarkStart w:id="350" w:name="_Toc242015554"/>
      <w:bookmarkStart w:id="351" w:name="_Toc242019566"/>
      <w:r>
        <w:rPr>
          <w:lang w:val="el-GR"/>
        </w:rPr>
        <w:t xml:space="preserve">Παρεμβάσεις αντιμετώπισης της </w:t>
      </w:r>
      <w:r w:rsidR="00BA67EA">
        <w:rPr>
          <w:lang w:val="el-GR"/>
        </w:rPr>
        <w:t>ε</w:t>
      </w:r>
      <w:r>
        <w:rPr>
          <w:lang w:val="el-GR"/>
        </w:rPr>
        <w:t xml:space="preserve">νεργειακής </w:t>
      </w:r>
      <w:r w:rsidR="00BA67EA">
        <w:rPr>
          <w:lang w:val="el-GR"/>
        </w:rPr>
        <w:t>κ</w:t>
      </w:r>
      <w:r>
        <w:rPr>
          <w:lang w:val="el-GR"/>
        </w:rPr>
        <w:t>ρίσης</w:t>
      </w:r>
      <w:bookmarkEnd w:id="347"/>
      <w:bookmarkEnd w:id="348"/>
      <w:bookmarkEnd w:id="349"/>
      <w:bookmarkEnd w:id="350"/>
      <w:bookmarkEnd w:id="351"/>
    </w:p>
    <w:p w14:paraId="4F9476E0" w14:textId="64E61BE4" w:rsidR="00151443" w:rsidRPr="00B65202" w:rsidRDefault="00151443" w:rsidP="00717CD2">
      <w:r w:rsidRPr="00FE39DD">
        <w:t>Από τον Μάρτιο 2026 τέθηκε σε</w:t>
      </w:r>
      <w:r>
        <w:t xml:space="preserve"> εφαρμογή </w:t>
      </w:r>
      <w:r w:rsidR="00F24865">
        <w:t xml:space="preserve">ένα </w:t>
      </w:r>
      <w:r>
        <w:t>ευρύ πλέγμα μέτρων στήριξης νοικοκυριών και επιχειρήσεων έναντι των αυξήσεων του ενεργειακού κόστους</w:t>
      </w:r>
      <w:r w:rsidR="00F24865">
        <w:t>,</w:t>
      </w:r>
      <w:r>
        <w:t xml:space="preserve"> και ιδιαίτερα των καυσίμων, εξαιτίας των γεωπολιτικών εξελίξεων στη Μέση Ανατολή. Το πλαίσιο διευρύνεται μηνιαίως αν</w:t>
      </w:r>
      <w:r w:rsidR="00F24865">
        <w:t>άλογα</w:t>
      </w:r>
      <w:r>
        <w:t xml:space="preserve"> </w:t>
      </w:r>
      <w:r w:rsidR="00F24865">
        <w:t xml:space="preserve">με τις </w:t>
      </w:r>
      <w:r>
        <w:t>εξελίξε</w:t>
      </w:r>
      <w:r w:rsidR="00F24865">
        <w:t>ις</w:t>
      </w:r>
      <w:r>
        <w:t xml:space="preserve"> στις τιμές των καυσίμων. Έως τα τέλη Σεπτεμβρίου </w:t>
      </w:r>
      <w:r w:rsidRPr="00B65202">
        <w:t xml:space="preserve">2026 </w:t>
      </w:r>
      <w:r>
        <w:t>έχουν υιοθετηθεί τα ακόλουθα μέτρα</w:t>
      </w:r>
      <w:r w:rsidRPr="00B65202">
        <w:t>:</w:t>
      </w:r>
    </w:p>
    <w:p w14:paraId="0DA15A73" w14:textId="68D69792" w:rsidR="00151443" w:rsidRPr="00717CD2" w:rsidRDefault="00E87055" w:rsidP="00717CD2">
      <w:pPr>
        <w:numPr>
          <w:ilvl w:val="0"/>
          <w:numId w:val="1"/>
        </w:numPr>
        <w:spacing w:before="120" w:after="60"/>
        <w:ind w:left="568" w:hanging="284"/>
      </w:pPr>
      <w:r>
        <w:t>ε</w:t>
      </w:r>
      <w:r w:rsidR="00151443" w:rsidRPr="00717CD2">
        <w:t xml:space="preserve">πιδότηση του πετρελαίου κίνησης στο δίκτυο με 20 λεπτά (συμπεριλαμβανομένου ΦΠΑ) για τον Απρίλιο και </w:t>
      </w:r>
      <w:r w:rsidR="00CF69F6">
        <w:t xml:space="preserve">τον </w:t>
      </w:r>
      <w:r w:rsidR="00151443" w:rsidRPr="00717CD2">
        <w:t xml:space="preserve">Μάϊο, 15 λεπτά για τον Ιούνιο, 10 λεπτά για τον Αύγουστο και </w:t>
      </w:r>
      <w:r w:rsidR="00CF69F6">
        <w:t xml:space="preserve">τον </w:t>
      </w:r>
      <w:r w:rsidR="00151443" w:rsidRPr="00717CD2">
        <w:t>Σεπτέμβριο και 15 λεπτά για το πρώτο δεκαπενθήμερο</w:t>
      </w:r>
      <w:r w:rsidR="00CF69F6">
        <w:t xml:space="preserve"> του</w:t>
      </w:r>
      <w:r w:rsidR="00151443" w:rsidRPr="00717CD2">
        <w:t xml:space="preserve"> Οκτωβρίου, </w:t>
      </w:r>
      <w:r w:rsidR="00CF69F6">
        <w:t xml:space="preserve">το δε </w:t>
      </w:r>
      <w:r w:rsidR="00151443" w:rsidRPr="00717CD2">
        <w:t>εκτιμώμενο δημοσιονομικό κόστος</w:t>
      </w:r>
      <w:r w:rsidR="00CF69F6">
        <w:t xml:space="preserve"> διαμορφώνεται σε</w:t>
      </w:r>
      <w:r w:rsidR="00151443" w:rsidRPr="00717CD2">
        <w:t xml:space="preserve"> 216 εκατ. ευρώ</w:t>
      </w:r>
      <w:r>
        <w:t>,</w:t>
      </w:r>
    </w:p>
    <w:p w14:paraId="0217B6E9" w14:textId="12FD97D5" w:rsidR="00151443" w:rsidRPr="00B47AF6" w:rsidRDefault="00CF69F6" w:rsidP="00151443">
      <w:pPr>
        <w:numPr>
          <w:ilvl w:val="0"/>
          <w:numId w:val="1"/>
        </w:numPr>
        <w:spacing w:before="60" w:after="60"/>
        <w:ind w:left="568" w:hanging="284"/>
        <w:rPr>
          <w:rFonts w:cs="Arial"/>
        </w:rPr>
      </w:pPr>
      <w:r>
        <w:rPr>
          <w:rFonts w:cs="Arial"/>
        </w:rPr>
        <w:t>έ</w:t>
      </w:r>
      <w:r w:rsidR="00151443" w:rsidRPr="00B47AF6">
        <w:rPr>
          <w:rFonts w:cs="Arial"/>
        </w:rPr>
        <w:t xml:space="preserve">κτακτη ενίσχυση ύψους 150 ευρώ ανά </w:t>
      </w:r>
      <w:r>
        <w:rPr>
          <w:rFonts w:cs="Arial"/>
        </w:rPr>
        <w:t>τέκνο</w:t>
      </w:r>
      <w:r w:rsidR="00151443" w:rsidRPr="00B47AF6">
        <w:rPr>
          <w:rFonts w:cs="Arial"/>
        </w:rPr>
        <w:t xml:space="preserve"> τον Ιούνιο 2026</w:t>
      </w:r>
      <w:r w:rsidR="002675E5">
        <w:rPr>
          <w:rFonts w:cs="Arial"/>
        </w:rPr>
        <w:t>,</w:t>
      </w:r>
      <w:r w:rsidR="00151443" w:rsidRPr="00B47AF6">
        <w:rPr>
          <w:rFonts w:cs="Arial"/>
        </w:rPr>
        <w:t xml:space="preserve"> </w:t>
      </w:r>
      <w:r w:rsidR="00AE0B5F">
        <w:rPr>
          <w:rFonts w:cs="Arial"/>
        </w:rPr>
        <w:t>η οποία</w:t>
      </w:r>
      <w:r w:rsidR="00151443" w:rsidRPr="00B47AF6">
        <w:rPr>
          <w:rFonts w:cs="Arial"/>
        </w:rPr>
        <w:t xml:space="preserve"> καταλαμβάνει το 80% των οικογενειών με </w:t>
      </w:r>
      <w:r>
        <w:rPr>
          <w:rFonts w:cs="Arial"/>
        </w:rPr>
        <w:t xml:space="preserve">τέκνα </w:t>
      </w:r>
      <w:r w:rsidR="00151443" w:rsidRPr="00B47AF6">
        <w:rPr>
          <w:rFonts w:cs="Arial"/>
        </w:rPr>
        <w:t>(1 εκατ. νοικοκυριά), με κόστος 232 εκατ. ευρώ</w:t>
      </w:r>
      <w:r>
        <w:rPr>
          <w:rFonts w:cs="Arial"/>
        </w:rPr>
        <w:t>,</w:t>
      </w:r>
    </w:p>
    <w:p w14:paraId="62D0C6E8" w14:textId="1CB71CEB" w:rsidR="00151443" w:rsidRPr="00FE39DD" w:rsidRDefault="00CF69F6" w:rsidP="00151443">
      <w:pPr>
        <w:numPr>
          <w:ilvl w:val="0"/>
          <w:numId w:val="1"/>
        </w:numPr>
        <w:spacing w:before="60" w:after="60"/>
        <w:ind w:left="568" w:hanging="284"/>
        <w:rPr>
          <w:rFonts w:cs="Arial"/>
        </w:rPr>
      </w:pPr>
      <w:r>
        <w:rPr>
          <w:rFonts w:cs="Arial"/>
        </w:rPr>
        <w:t>κ</w:t>
      </w:r>
      <w:r w:rsidR="00151443" w:rsidRPr="00FE39DD">
        <w:rPr>
          <w:rFonts w:cs="Arial"/>
        </w:rPr>
        <w:t>άρτα καυσίμων (</w:t>
      </w:r>
      <w:proofErr w:type="spellStart"/>
      <w:r w:rsidR="00151443" w:rsidRPr="00FE39DD">
        <w:rPr>
          <w:rFonts w:cs="Arial"/>
        </w:rPr>
        <w:t>fuel</w:t>
      </w:r>
      <w:proofErr w:type="spellEnd"/>
      <w:r w:rsidR="00151443" w:rsidRPr="00FE39DD">
        <w:rPr>
          <w:rFonts w:cs="Arial"/>
        </w:rPr>
        <w:t xml:space="preserve"> </w:t>
      </w:r>
      <w:proofErr w:type="spellStart"/>
      <w:r w:rsidR="00151443" w:rsidRPr="00FE39DD">
        <w:rPr>
          <w:rFonts w:cs="Arial"/>
        </w:rPr>
        <w:t>pass</w:t>
      </w:r>
      <w:proofErr w:type="spellEnd"/>
      <w:r w:rsidR="00151443" w:rsidRPr="00FE39DD">
        <w:rPr>
          <w:rFonts w:cs="Arial"/>
        </w:rPr>
        <w:t>) για την περίοδο Απριλίου</w:t>
      </w:r>
      <w:r>
        <w:rPr>
          <w:rFonts w:cs="Arial"/>
        </w:rPr>
        <w:t xml:space="preserve"> </w:t>
      </w:r>
      <w:r w:rsidR="00151443" w:rsidRPr="00FE39DD">
        <w:rPr>
          <w:rFonts w:cs="Arial"/>
        </w:rPr>
        <w:t>-</w:t>
      </w:r>
      <w:r>
        <w:rPr>
          <w:rFonts w:cs="Arial"/>
        </w:rPr>
        <w:t xml:space="preserve"> </w:t>
      </w:r>
      <w:r w:rsidR="00151443" w:rsidRPr="00FE39DD">
        <w:rPr>
          <w:rFonts w:cs="Arial"/>
        </w:rPr>
        <w:t>Μαΐου 2026 ύψους 60 ευρώ στις νησιωτικές περιοχές και 50</w:t>
      </w:r>
      <w:r>
        <w:rPr>
          <w:rFonts w:cs="Arial"/>
        </w:rPr>
        <w:t xml:space="preserve"> ευρώ</w:t>
      </w:r>
      <w:r w:rsidR="00151443" w:rsidRPr="00FE39DD">
        <w:rPr>
          <w:rFonts w:cs="Arial"/>
        </w:rPr>
        <w:t xml:space="preserve"> στην υπόλοιπη Ελλάδα</w:t>
      </w:r>
      <w:r>
        <w:rPr>
          <w:rFonts w:cs="Arial"/>
        </w:rPr>
        <w:t>,</w:t>
      </w:r>
      <w:r w:rsidR="00151443" w:rsidRPr="00FE39DD">
        <w:rPr>
          <w:rFonts w:cs="Arial"/>
        </w:rPr>
        <w:t xml:space="preserve"> με κόστος 113 εκατ. ευρώ</w:t>
      </w:r>
      <w:r>
        <w:rPr>
          <w:rFonts w:cs="Arial"/>
        </w:rPr>
        <w:t>,</w:t>
      </w:r>
    </w:p>
    <w:p w14:paraId="7E6BB04F" w14:textId="52E2D0F6" w:rsidR="00151443" w:rsidRPr="007D1BC0" w:rsidRDefault="00CF69F6" w:rsidP="00151443">
      <w:pPr>
        <w:numPr>
          <w:ilvl w:val="0"/>
          <w:numId w:val="1"/>
        </w:numPr>
        <w:spacing w:before="60" w:after="60"/>
        <w:ind w:left="568" w:hanging="284"/>
        <w:rPr>
          <w:rFonts w:cs="Arial"/>
        </w:rPr>
      </w:pPr>
      <w:r>
        <w:rPr>
          <w:rFonts w:cs="Arial"/>
        </w:rPr>
        <w:t>ε</w:t>
      </w:r>
      <w:r w:rsidR="00151443" w:rsidRPr="00FE39DD">
        <w:rPr>
          <w:rFonts w:cs="Arial"/>
        </w:rPr>
        <w:t>πιδότηση λιπασμάτων σ</w:t>
      </w:r>
      <w:r w:rsidR="0028766C">
        <w:rPr>
          <w:rFonts w:cs="Arial"/>
        </w:rPr>
        <w:t xml:space="preserve">ε </w:t>
      </w:r>
      <w:r w:rsidR="00151443" w:rsidRPr="00FE39DD">
        <w:rPr>
          <w:rFonts w:cs="Arial"/>
        </w:rPr>
        <w:t xml:space="preserve">ύψος 15% των τιμολογίων για τους κατά κύριο επάγγελμα αγρότες </w:t>
      </w:r>
      <w:r w:rsidR="00151443" w:rsidRPr="007D1BC0">
        <w:rPr>
          <w:rFonts w:cs="Arial"/>
        </w:rPr>
        <w:t xml:space="preserve">για την περίοδο </w:t>
      </w:r>
      <w:r w:rsidRPr="007D1BC0">
        <w:rPr>
          <w:rFonts w:cs="Arial"/>
        </w:rPr>
        <w:t xml:space="preserve">από τις </w:t>
      </w:r>
      <w:r w:rsidR="00151443" w:rsidRPr="007D1BC0">
        <w:rPr>
          <w:rFonts w:cs="Arial"/>
        </w:rPr>
        <w:t>15 Μαρτίου</w:t>
      </w:r>
      <w:r w:rsidRPr="007D1BC0">
        <w:rPr>
          <w:rFonts w:cs="Arial"/>
        </w:rPr>
        <w:t xml:space="preserve"> έως και τις 3</w:t>
      </w:r>
      <w:r w:rsidR="00151443" w:rsidRPr="007D1BC0">
        <w:rPr>
          <w:rFonts w:cs="Arial"/>
        </w:rPr>
        <w:t>1 Αυγούστου 2026, με κόστος 48 εκατ. ευρώ</w:t>
      </w:r>
      <w:r w:rsidRPr="007D1BC0">
        <w:rPr>
          <w:rFonts w:cs="Arial"/>
        </w:rPr>
        <w:t>,</w:t>
      </w:r>
    </w:p>
    <w:p w14:paraId="0457CB7A" w14:textId="4AB5A99E" w:rsidR="00151443" w:rsidRPr="007917D0" w:rsidRDefault="00CF69F6" w:rsidP="00151443">
      <w:pPr>
        <w:numPr>
          <w:ilvl w:val="0"/>
          <w:numId w:val="1"/>
        </w:numPr>
        <w:spacing w:before="60" w:after="60"/>
        <w:ind w:left="568" w:hanging="284"/>
        <w:rPr>
          <w:rFonts w:cs="Arial"/>
        </w:rPr>
      </w:pPr>
      <w:r w:rsidRPr="007917D0">
        <w:rPr>
          <w:rFonts w:cs="Arial"/>
        </w:rPr>
        <w:t>α</w:t>
      </w:r>
      <w:r w:rsidR="00151443" w:rsidRPr="007917D0">
        <w:rPr>
          <w:rFonts w:cs="Arial"/>
        </w:rPr>
        <w:t xml:space="preserve">ποζημίωση ακτοπλοϊκών </w:t>
      </w:r>
      <w:r w:rsidR="007D1BC0" w:rsidRPr="007917D0">
        <w:rPr>
          <w:rFonts w:cs="Arial"/>
        </w:rPr>
        <w:t xml:space="preserve">εταιρειών </w:t>
      </w:r>
      <w:r w:rsidR="00151443" w:rsidRPr="007917D0">
        <w:rPr>
          <w:rFonts w:cs="Arial"/>
        </w:rPr>
        <w:t xml:space="preserve">για </w:t>
      </w:r>
      <w:r w:rsidR="00151443" w:rsidRPr="0052535A">
        <w:rPr>
          <w:rFonts w:cs="Arial"/>
        </w:rPr>
        <w:t xml:space="preserve">υποχρεωτικές </w:t>
      </w:r>
      <w:r w:rsidR="007917D0" w:rsidRPr="0052535A">
        <w:rPr>
          <w:rFonts w:cs="Arial"/>
        </w:rPr>
        <w:t>εκπτώσεις</w:t>
      </w:r>
      <w:r w:rsidR="00151443" w:rsidRPr="0052535A">
        <w:rPr>
          <w:rFonts w:cs="Arial"/>
        </w:rPr>
        <w:t xml:space="preserve"> εισιτηρίων</w:t>
      </w:r>
      <w:r w:rsidR="008F41C8" w:rsidRPr="007917D0">
        <w:rPr>
          <w:rFonts w:cs="Arial"/>
        </w:rPr>
        <w:t>,</w:t>
      </w:r>
      <w:r w:rsidR="00151443" w:rsidRPr="007917D0">
        <w:rPr>
          <w:rFonts w:cs="Arial"/>
        </w:rPr>
        <w:t xml:space="preserve"> με ετήσιο κόστος 60 εκατ. ευρώ</w:t>
      </w:r>
      <w:r w:rsidR="007D1BC0" w:rsidRPr="007917D0">
        <w:rPr>
          <w:rFonts w:cs="Arial"/>
        </w:rPr>
        <w:t>,</w:t>
      </w:r>
    </w:p>
    <w:p w14:paraId="3725B5B4" w14:textId="7407608D" w:rsidR="00151443" w:rsidRPr="00FE39DD" w:rsidRDefault="008F41C8" w:rsidP="00151443">
      <w:pPr>
        <w:numPr>
          <w:ilvl w:val="0"/>
          <w:numId w:val="1"/>
        </w:numPr>
        <w:spacing w:before="60" w:after="60"/>
        <w:ind w:left="568" w:hanging="284"/>
        <w:rPr>
          <w:rFonts w:cs="Arial"/>
        </w:rPr>
      </w:pPr>
      <w:r>
        <w:rPr>
          <w:rFonts w:cs="Arial"/>
        </w:rPr>
        <w:t>α</w:t>
      </w:r>
      <w:r w:rsidR="00151443" w:rsidRPr="00FE39DD">
        <w:rPr>
          <w:rFonts w:cs="Arial"/>
        </w:rPr>
        <w:t xml:space="preserve">ύξηση των ορίων </w:t>
      </w:r>
      <w:r>
        <w:rPr>
          <w:rFonts w:cs="Arial"/>
        </w:rPr>
        <w:t xml:space="preserve">του ετήσιου φορολογητέου </w:t>
      </w:r>
      <w:r w:rsidR="00151443" w:rsidRPr="00FE39DD">
        <w:rPr>
          <w:rFonts w:cs="Arial"/>
        </w:rPr>
        <w:t xml:space="preserve">εισοδήματος για επιστροφή ενοικίου (από 20.000 </w:t>
      </w:r>
      <w:r>
        <w:rPr>
          <w:rFonts w:cs="Arial"/>
        </w:rPr>
        <w:t xml:space="preserve">ευρώ </w:t>
      </w:r>
      <w:r w:rsidR="00151443" w:rsidRPr="00FE39DD">
        <w:rPr>
          <w:rFonts w:cs="Arial"/>
        </w:rPr>
        <w:t>σ</w:t>
      </w:r>
      <w:r>
        <w:rPr>
          <w:rFonts w:cs="Arial"/>
        </w:rPr>
        <w:t>ε</w:t>
      </w:r>
      <w:r w:rsidR="00151443" w:rsidRPr="00FE39DD">
        <w:rPr>
          <w:rFonts w:cs="Arial"/>
        </w:rPr>
        <w:t xml:space="preserve"> 25.000 ευρώ </w:t>
      </w:r>
      <w:r>
        <w:rPr>
          <w:rFonts w:cs="Arial"/>
        </w:rPr>
        <w:t>για άγαμους</w:t>
      </w:r>
      <w:r w:rsidR="004651F1">
        <w:rPr>
          <w:rFonts w:cs="Arial"/>
        </w:rPr>
        <w:t xml:space="preserve">, </w:t>
      </w:r>
      <w:r w:rsidR="00151443" w:rsidRPr="00FE39DD">
        <w:rPr>
          <w:rFonts w:cs="Arial"/>
        </w:rPr>
        <w:t>από 28.000</w:t>
      </w:r>
      <w:r w:rsidR="004651F1">
        <w:rPr>
          <w:rFonts w:cs="Arial"/>
        </w:rPr>
        <w:t xml:space="preserve"> ευρώ</w:t>
      </w:r>
      <w:r w:rsidR="00151443" w:rsidRPr="00FE39DD">
        <w:rPr>
          <w:rFonts w:cs="Arial"/>
        </w:rPr>
        <w:t xml:space="preserve"> σ</w:t>
      </w:r>
      <w:r>
        <w:rPr>
          <w:rFonts w:cs="Arial"/>
        </w:rPr>
        <w:t xml:space="preserve">ε </w:t>
      </w:r>
      <w:r w:rsidR="00151443" w:rsidRPr="00FE39DD">
        <w:rPr>
          <w:rFonts w:cs="Arial"/>
        </w:rPr>
        <w:t xml:space="preserve">35.000 </w:t>
      </w:r>
      <w:r w:rsidR="004651F1">
        <w:rPr>
          <w:rFonts w:cs="Arial"/>
        </w:rPr>
        <w:t>ευρώ για έγγαμους</w:t>
      </w:r>
      <w:r w:rsidR="004E428F">
        <w:rPr>
          <w:rFonts w:cs="Arial"/>
        </w:rPr>
        <w:t>,</w:t>
      </w:r>
      <w:r w:rsidR="004651F1">
        <w:rPr>
          <w:rFonts w:cs="Arial"/>
        </w:rPr>
        <w:t xml:space="preserve"> προσαυξανόμενο κατά </w:t>
      </w:r>
      <w:r w:rsidR="00151443" w:rsidRPr="00FE39DD">
        <w:rPr>
          <w:rFonts w:cs="Arial"/>
        </w:rPr>
        <w:t xml:space="preserve">5.000 ευρώ το κάθε </w:t>
      </w:r>
      <w:r w:rsidR="004651F1">
        <w:rPr>
          <w:rFonts w:cs="Arial"/>
        </w:rPr>
        <w:t xml:space="preserve">τέκνο, ενώ </w:t>
      </w:r>
      <w:r w:rsidR="00151443" w:rsidRPr="00FE39DD">
        <w:rPr>
          <w:rFonts w:cs="Arial"/>
        </w:rPr>
        <w:t>για μονογονεϊκές</w:t>
      </w:r>
      <w:r w:rsidR="004651F1">
        <w:rPr>
          <w:rFonts w:cs="Arial"/>
        </w:rPr>
        <w:t xml:space="preserve"> οικογένειες σε</w:t>
      </w:r>
      <w:r w:rsidR="00151443" w:rsidRPr="00FE39DD">
        <w:rPr>
          <w:rFonts w:cs="Arial"/>
        </w:rPr>
        <w:t xml:space="preserve"> 39.000</w:t>
      </w:r>
      <w:r w:rsidR="004651F1">
        <w:rPr>
          <w:rFonts w:cs="Arial"/>
        </w:rPr>
        <w:t xml:space="preserve"> ευρώ</w:t>
      </w:r>
      <w:r w:rsidR="004E428F">
        <w:rPr>
          <w:rFonts w:cs="Arial"/>
        </w:rPr>
        <w:t>,</w:t>
      </w:r>
      <w:r w:rsidR="00151443" w:rsidRPr="00FE39DD">
        <w:rPr>
          <w:rFonts w:cs="Arial"/>
        </w:rPr>
        <w:t xml:space="preserve"> </w:t>
      </w:r>
      <w:r w:rsidR="004651F1">
        <w:rPr>
          <w:rFonts w:cs="Arial"/>
        </w:rPr>
        <w:t xml:space="preserve">προσαυξανόμενο κατά </w:t>
      </w:r>
      <w:r w:rsidR="00151443" w:rsidRPr="00FE39DD">
        <w:rPr>
          <w:rFonts w:cs="Arial"/>
        </w:rPr>
        <w:t xml:space="preserve">5.000 ευρώ για κάθε </w:t>
      </w:r>
      <w:r w:rsidR="004651F1">
        <w:rPr>
          <w:rFonts w:cs="Arial"/>
        </w:rPr>
        <w:t xml:space="preserve">τέκνο </w:t>
      </w:r>
      <w:r w:rsidR="00151443" w:rsidRPr="00FE39DD">
        <w:rPr>
          <w:rFonts w:cs="Arial"/>
        </w:rPr>
        <w:t>μετά το πρώτο)</w:t>
      </w:r>
      <w:r w:rsidR="007132AF">
        <w:rPr>
          <w:rFonts w:cs="Arial"/>
        </w:rPr>
        <w:t>, η οποία</w:t>
      </w:r>
      <w:r w:rsidR="00151443" w:rsidRPr="00FE39DD">
        <w:rPr>
          <w:rFonts w:cs="Arial"/>
        </w:rPr>
        <w:t xml:space="preserve"> καταλαμβάνει το 85% των ενοικιαστών (περίπου 70.000 ενοικιαστές επιπλέον, σ</w:t>
      </w:r>
      <w:r w:rsidR="007132AF">
        <w:rPr>
          <w:rFonts w:cs="Arial"/>
        </w:rPr>
        <w:t xml:space="preserve">ύνολο </w:t>
      </w:r>
      <w:r w:rsidR="00151443" w:rsidRPr="00FE39DD">
        <w:rPr>
          <w:rFonts w:cs="Arial"/>
        </w:rPr>
        <w:t xml:space="preserve">1 εκατ. ενοικιαστές), </w:t>
      </w:r>
      <w:r w:rsidR="007132AF">
        <w:rPr>
          <w:rFonts w:cs="Arial"/>
        </w:rPr>
        <w:t xml:space="preserve">το δε </w:t>
      </w:r>
      <w:r w:rsidR="00151443" w:rsidRPr="00FE39DD">
        <w:rPr>
          <w:rFonts w:cs="Arial"/>
        </w:rPr>
        <w:t>ετήσιο κόστος</w:t>
      </w:r>
      <w:r w:rsidR="007132AF">
        <w:rPr>
          <w:rFonts w:cs="Arial"/>
        </w:rPr>
        <w:t xml:space="preserve"> εκτιμάται σε</w:t>
      </w:r>
      <w:r w:rsidR="00151443" w:rsidRPr="00FE39DD">
        <w:rPr>
          <w:rFonts w:cs="Arial"/>
        </w:rPr>
        <w:t xml:space="preserve"> 25 εκατ. ευρώ</w:t>
      </w:r>
      <w:r w:rsidR="005A5D7C">
        <w:rPr>
          <w:rFonts w:cs="Arial"/>
        </w:rPr>
        <w:t xml:space="preserve"> και</w:t>
      </w:r>
    </w:p>
    <w:p w14:paraId="3CB87E93" w14:textId="5055EAA8" w:rsidR="00151443" w:rsidRPr="00717CD2" w:rsidRDefault="005A5D7C" w:rsidP="00717CD2">
      <w:pPr>
        <w:numPr>
          <w:ilvl w:val="0"/>
          <w:numId w:val="2"/>
        </w:numPr>
        <w:spacing w:before="60"/>
        <w:ind w:left="568" w:hanging="284"/>
      </w:pPr>
      <w:r>
        <w:t>τ</w:t>
      </w:r>
      <w:r w:rsidR="00151443" w:rsidRPr="00717CD2">
        <w:t>ο</w:t>
      </w:r>
      <w:r>
        <w:t>ν</w:t>
      </w:r>
      <w:r w:rsidR="00151443" w:rsidRPr="00717CD2">
        <w:t xml:space="preserve"> Απρίλιο ανακοινώθηκε διεύρυνση των εισοδηματικών ορίων των συνταξιούχων που λαμβάνουν </w:t>
      </w:r>
      <w:r>
        <w:t>το ποσό των</w:t>
      </w:r>
      <w:r w:rsidR="00151443" w:rsidRPr="00717CD2">
        <w:t xml:space="preserve"> 250 ευρώ (ώστε να καταλαμβάνει το 85% των συνταξιούχων). </w:t>
      </w:r>
      <w:r>
        <w:t>Επίσης,</w:t>
      </w:r>
      <w:r w:rsidR="00151443" w:rsidRPr="00717CD2">
        <w:t xml:space="preserve"> ανακοινώθηκε η αύξηση της επιδότησης στ</w:t>
      </w:r>
      <w:r>
        <w:t xml:space="preserve">ο ποσό των </w:t>
      </w:r>
      <w:r w:rsidR="00151443" w:rsidRPr="00717CD2">
        <w:t xml:space="preserve">300 ευρώ, με επιπλέον ετήσιο κόστος 215 εκατ. ευρώ. Με την </w:t>
      </w:r>
      <w:r>
        <w:t xml:space="preserve">επέκταση </w:t>
      </w:r>
      <w:r w:rsidR="00151443" w:rsidRPr="00717CD2">
        <w:t>στο σύνολο των συνταξιούχων</w:t>
      </w:r>
      <w:r>
        <w:t xml:space="preserve"> ηλικίας </w:t>
      </w:r>
      <w:r w:rsidR="00151443" w:rsidRPr="00717CD2">
        <w:t xml:space="preserve">άνω των 65 ετών (2,2 εκατ. δικαιούχοι συνολικά) και </w:t>
      </w:r>
      <w:r>
        <w:t xml:space="preserve">με </w:t>
      </w:r>
      <w:r w:rsidR="00151443" w:rsidRPr="00717CD2">
        <w:t>την αύξηση σε 400 ευρώ που ανακοινώθηκε στη ΔΕΘ, το επιπ</w:t>
      </w:r>
      <w:r>
        <w:t xml:space="preserve">ρόσθετο </w:t>
      </w:r>
      <w:r w:rsidR="00151443" w:rsidRPr="00717CD2">
        <w:t>κόστος σε σ</w:t>
      </w:r>
      <w:r w:rsidR="005C1058">
        <w:t xml:space="preserve">ύγκριση </w:t>
      </w:r>
      <w:r w:rsidR="00151443" w:rsidRPr="00717CD2">
        <w:t>με το 2025 ανέρχεται σε 516 εκατ. ευρώ.</w:t>
      </w:r>
    </w:p>
    <w:p w14:paraId="0CDCB27C" w14:textId="2CE7CB40" w:rsidR="00151443" w:rsidRDefault="008D6543" w:rsidP="007F2D2E">
      <w:r>
        <w:t>Το σ</w:t>
      </w:r>
      <w:r w:rsidR="00151443" w:rsidRPr="00FE39DD">
        <w:t>υνολικό κόστος</w:t>
      </w:r>
      <w:r>
        <w:t xml:space="preserve"> των εν λόγω δημοσιονομικών παρεμβάσεων ανέρχεται σε </w:t>
      </w:r>
      <w:r w:rsidR="00151443" w:rsidRPr="00FE39DD">
        <w:t>1,21 δισ. ευρώ</w:t>
      </w:r>
      <w:r>
        <w:t>,</w:t>
      </w:r>
      <w:r w:rsidR="00151443" w:rsidRPr="00FE39DD">
        <w:t xml:space="preserve"> εκ των οποίων </w:t>
      </w:r>
      <w:r>
        <w:t xml:space="preserve">ποσό ύψους </w:t>
      </w:r>
      <w:r w:rsidR="00151443" w:rsidRPr="00FE39DD">
        <w:t xml:space="preserve">669 εκατ. </w:t>
      </w:r>
      <w:r w:rsidR="00275DF1">
        <w:t xml:space="preserve">ευρώ </w:t>
      </w:r>
      <w:r>
        <w:t xml:space="preserve">αφορά σε </w:t>
      </w:r>
      <w:r w:rsidR="00151443" w:rsidRPr="00FE39DD">
        <w:t>έκτακτα μέτρα αντιμετώπισης του ενεργειακού κόστους και</w:t>
      </w:r>
      <w:r>
        <w:t xml:space="preserve"> ποσό ύψους</w:t>
      </w:r>
      <w:r w:rsidR="00151443" w:rsidRPr="00FE39DD">
        <w:t xml:space="preserve"> 541 εκατ.</w:t>
      </w:r>
      <w:r w:rsidR="00275DF1">
        <w:t xml:space="preserve"> ευρώ</w:t>
      </w:r>
      <w:r>
        <w:t xml:space="preserve"> αφορά στ</w:t>
      </w:r>
      <w:r w:rsidR="00151443" w:rsidRPr="00FE39DD">
        <w:t xml:space="preserve">η μόνιμη αύξηση της ενίσχυσης </w:t>
      </w:r>
      <w:r w:rsidR="00C40C5B">
        <w:t xml:space="preserve">των </w:t>
      </w:r>
      <w:r w:rsidR="00151443" w:rsidRPr="00FE39DD">
        <w:t xml:space="preserve">συνταξιούχων και </w:t>
      </w:r>
      <w:r>
        <w:t>στη</w:t>
      </w:r>
      <w:r w:rsidR="00151443" w:rsidRPr="00FE39DD">
        <w:t xml:space="preserve"> διεύρυνση της επιστροφής ενοικίου.</w:t>
      </w:r>
    </w:p>
    <w:p w14:paraId="4B14096A" w14:textId="5C8D5BA0" w:rsidR="007F2D2E" w:rsidRDefault="007F2D2E" w:rsidP="007F2D2E">
      <w:pPr>
        <w:pStyle w:val="5"/>
        <w:keepNext w:val="0"/>
        <w:numPr>
          <w:ilvl w:val="0"/>
          <w:numId w:val="0"/>
        </w:numPr>
        <w:tabs>
          <w:tab w:val="left" w:pos="0"/>
        </w:tabs>
        <w:spacing w:before="360" w:after="240"/>
        <w:rPr>
          <w:lang w:val="el-GR"/>
        </w:rPr>
      </w:pPr>
      <w:bookmarkStart w:id="352" w:name="_Toc241772635"/>
      <w:bookmarkStart w:id="353" w:name="_Toc241832256"/>
      <w:bookmarkStart w:id="354" w:name="_Toc241953637"/>
      <w:bookmarkStart w:id="355" w:name="_Toc242015555"/>
      <w:bookmarkStart w:id="356" w:name="_Toc242019567"/>
      <w:r w:rsidRPr="00B8023D">
        <w:rPr>
          <w:lang w:val="el-GR"/>
        </w:rPr>
        <w:t xml:space="preserve">Κυριότερα έργα για την ενεργειακή ανθεκτικότητα με βάση τη ρήτρα διαφυγής για την </w:t>
      </w:r>
      <w:r>
        <w:rPr>
          <w:lang w:val="el-GR"/>
        </w:rPr>
        <w:t>ε</w:t>
      </w:r>
      <w:r w:rsidRPr="00B8023D">
        <w:rPr>
          <w:lang w:val="el-GR"/>
        </w:rPr>
        <w:t>νέργεια</w:t>
      </w:r>
      <w:bookmarkEnd w:id="352"/>
      <w:bookmarkEnd w:id="353"/>
      <w:bookmarkEnd w:id="354"/>
      <w:bookmarkEnd w:id="355"/>
      <w:bookmarkEnd w:id="356"/>
    </w:p>
    <w:p w14:paraId="5ABA01B8" w14:textId="03AD7B68" w:rsidR="007F2D2E" w:rsidRPr="00F74CAE" w:rsidRDefault="001F05BC" w:rsidP="007F2D2E">
      <w:pPr>
        <w:rPr>
          <w:rFonts w:eastAsia="Calibri"/>
          <w:lang w:eastAsia="en-US"/>
        </w:rPr>
      </w:pPr>
      <w:r>
        <w:rPr>
          <w:rFonts w:eastAsia="Calibri"/>
          <w:lang w:eastAsia="en-US"/>
        </w:rPr>
        <w:t>Η</w:t>
      </w:r>
      <w:r w:rsidR="007F2D2E" w:rsidRPr="00B8023D">
        <w:rPr>
          <w:rFonts w:eastAsia="Calibri"/>
          <w:lang w:eastAsia="en-US"/>
        </w:rPr>
        <w:t xml:space="preserve"> </w:t>
      </w:r>
      <w:r w:rsidR="007F2D2E">
        <w:rPr>
          <w:rFonts w:eastAsia="Calibri"/>
          <w:lang w:eastAsia="en-US"/>
        </w:rPr>
        <w:t xml:space="preserve">χώρα μας υπέβαλε </w:t>
      </w:r>
      <w:r>
        <w:rPr>
          <w:rFonts w:eastAsia="Calibri"/>
          <w:lang w:eastAsia="en-US"/>
        </w:rPr>
        <w:t>την</w:t>
      </w:r>
      <w:r w:rsidR="007F2D2E">
        <w:rPr>
          <w:rFonts w:eastAsia="Calibri"/>
          <w:lang w:eastAsia="en-US"/>
        </w:rPr>
        <w:t xml:space="preserve"> 06</w:t>
      </w:r>
      <w:r>
        <w:rPr>
          <w:rFonts w:eastAsia="Calibri"/>
          <w:lang w:eastAsia="en-US"/>
        </w:rPr>
        <w:t>η.8.2026</w:t>
      </w:r>
      <w:r w:rsidR="007F2D2E">
        <w:rPr>
          <w:rFonts w:eastAsia="Calibri"/>
          <w:lang w:eastAsia="en-US"/>
        </w:rPr>
        <w:t xml:space="preserve"> </w:t>
      </w:r>
      <w:r w:rsidR="007F2D2E" w:rsidRPr="00B8023D">
        <w:rPr>
          <w:rFonts w:eastAsia="Calibri"/>
          <w:lang w:eastAsia="en-US"/>
        </w:rPr>
        <w:t xml:space="preserve">αίτημα </w:t>
      </w:r>
      <w:r w:rsidR="007F2D2E">
        <w:rPr>
          <w:rFonts w:eastAsia="Calibri"/>
          <w:lang w:eastAsia="en-US"/>
        </w:rPr>
        <w:t xml:space="preserve">στην Ευρωπαϊκή Επιτροπή </w:t>
      </w:r>
      <w:r w:rsidR="007F2D2E" w:rsidRPr="00B8023D">
        <w:rPr>
          <w:rFonts w:eastAsia="Calibri"/>
          <w:lang w:eastAsia="en-US"/>
        </w:rPr>
        <w:t xml:space="preserve">για την </w:t>
      </w:r>
      <w:r w:rsidR="007F2D2E" w:rsidRPr="00F74CAE">
        <w:rPr>
          <w:rFonts w:eastAsia="Calibri"/>
          <w:lang w:eastAsia="en-US"/>
        </w:rPr>
        <w:t xml:space="preserve">επέκταση του πεδίου εφαρμογής της υφιστάμενης </w:t>
      </w:r>
      <w:r w:rsidR="005C6047">
        <w:rPr>
          <w:rFonts w:eastAsia="Calibri"/>
          <w:lang w:eastAsia="en-US"/>
        </w:rPr>
        <w:t>ε</w:t>
      </w:r>
      <w:r w:rsidR="007F2D2E" w:rsidRPr="00F74CAE">
        <w:rPr>
          <w:rFonts w:eastAsia="Calibri"/>
          <w:lang w:eastAsia="en-US"/>
        </w:rPr>
        <w:t xml:space="preserve">θνικής </w:t>
      </w:r>
      <w:r w:rsidR="005C6047">
        <w:rPr>
          <w:rFonts w:eastAsia="Calibri"/>
          <w:lang w:eastAsia="en-US"/>
        </w:rPr>
        <w:t>ρ</w:t>
      </w:r>
      <w:r w:rsidR="007F2D2E" w:rsidRPr="00F74CAE">
        <w:rPr>
          <w:rFonts w:eastAsia="Calibri"/>
          <w:lang w:eastAsia="en-US"/>
        </w:rPr>
        <w:t xml:space="preserve">ήτρας </w:t>
      </w:r>
      <w:r w:rsidR="005C6047">
        <w:rPr>
          <w:rFonts w:eastAsia="Calibri"/>
          <w:lang w:eastAsia="en-US"/>
        </w:rPr>
        <w:t>δ</w:t>
      </w:r>
      <w:r w:rsidR="007F2D2E" w:rsidRPr="00F74CAE">
        <w:rPr>
          <w:rFonts w:eastAsia="Calibri"/>
          <w:lang w:eastAsia="en-US"/>
        </w:rPr>
        <w:t>ιαφυγής, ώστε να συμπεριληφθούν μέτρα που ενισχύουν την ενεργειακή ανθεκτικότητα της χώρας.</w:t>
      </w:r>
    </w:p>
    <w:p w14:paraId="2CE0E45C" w14:textId="3E9BBD8D" w:rsidR="007F2D2E" w:rsidRPr="00F74CAE" w:rsidRDefault="007F2D2E" w:rsidP="007F2D2E">
      <w:pPr>
        <w:rPr>
          <w:rFonts w:eastAsia="Calibri"/>
          <w:lang w:eastAsia="en-US"/>
        </w:rPr>
      </w:pPr>
      <w:r w:rsidRPr="00F74CAE">
        <w:rPr>
          <w:rFonts w:eastAsia="Calibri"/>
          <w:lang w:eastAsia="en-US"/>
        </w:rPr>
        <w:t xml:space="preserve">Οι νέες επενδύσεις αναμένεται να </w:t>
      </w:r>
      <w:r w:rsidR="00D12185">
        <w:rPr>
          <w:rFonts w:eastAsia="Calibri"/>
          <w:lang w:eastAsia="en-US"/>
        </w:rPr>
        <w:t>προσεγγίσουν</w:t>
      </w:r>
      <w:r w:rsidRPr="00F74CAE">
        <w:rPr>
          <w:rFonts w:eastAsia="Calibri"/>
          <w:lang w:eastAsia="en-US"/>
        </w:rPr>
        <w:t xml:space="preserve"> το 1 δισ. </w:t>
      </w:r>
      <w:r w:rsidRPr="00257950">
        <w:rPr>
          <w:rFonts w:eastAsia="Calibri"/>
          <w:lang w:eastAsia="en-US"/>
        </w:rPr>
        <w:t>ευρώ έως το 20</w:t>
      </w:r>
      <w:r w:rsidR="00257950" w:rsidRPr="00257950">
        <w:rPr>
          <w:rFonts w:eastAsia="Calibri"/>
          <w:lang w:eastAsia="en-US"/>
        </w:rPr>
        <w:t>28</w:t>
      </w:r>
      <w:r w:rsidR="001E6E84" w:rsidRPr="00257950">
        <w:rPr>
          <w:rFonts w:eastAsia="Calibri"/>
          <w:lang w:eastAsia="en-US"/>
        </w:rPr>
        <w:t xml:space="preserve"> </w:t>
      </w:r>
      <w:r w:rsidR="00F51CE9" w:rsidRPr="00257950">
        <w:rPr>
          <w:rFonts w:eastAsia="Calibri"/>
          <w:lang w:eastAsia="en-US"/>
        </w:rPr>
        <w:t>και θ</w:t>
      </w:r>
      <w:r w:rsidRPr="00257950">
        <w:rPr>
          <w:rFonts w:eastAsia="Calibri"/>
          <w:lang w:eastAsia="en-US"/>
        </w:rPr>
        <w:t>α καλυφθούν</w:t>
      </w:r>
      <w:r w:rsidRPr="00F74CAE">
        <w:rPr>
          <w:rFonts w:eastAsia="Calibri"/>
          <w:lang w:eastAsia="en-US"/>
        </w:rPr>
        <w:t xml:space="preserve"> από εθνικούς πόρους</w:t>
      </w:r>
      <w:r w:rsidR="00F51CE9">
        <w:rPr>
          <w:rFonts w:eastAsia="Calibri"/>
          <w:lang w:eastAsia="en-US"/>
        </w:rPr>
        <w:t xml:space="preserve">, ενώ </w:t>
      </w:r>
      <w:r w:rsidRPr="00F74CAE">
        <w:rPr>
          <w:rFonts w:eastAsia="Calibri"/>
          <w:lang w:eastAsia="en-US"/>
        </w:rPr>
        <w:t xml:space="preserve">εξαιρούνται από το όριο αύξησης των καθαρών πρωτογενών δαπανών του ευρωπαϊκού πλαισίου οικονομικής διακυβέρνησης έως το 0,3% του ΑΕΠ ετησίως και έως 0,6% σωρευτικά </w:t>
      </w:r>
      <w:r w:rsidR="00F51CE9">
        <w:rPr>
          <w:rFonts w:eastAsia="Calibri"/>
          <w:lang w:eastAsia="en-US"/>
        </w:rPr>
        <w:t>μέχρι</w:t>
      </w:r>
      <w:r w:rsidRPr="00F74CAE">
        <w:rPr>
          <w:rFonts w:eastAsia="Calibri"/>
          <w:lang w:eastAsia="en-US"/>
        </w:rPr>
        <w:t xml:space="preserve"> το 2028. Σημειώνεται ότι οι σχετικές δαπάνες </w:t>
      </w:r>
      <w:proofErr w:type="spellStart"/>
      <w:r w:rsidRPr="00F74CAE">
        <w:rPr>
          <w:rFonts w:eastAsia="Calibri"/>
          <w:lang w:eastAsia="en-US"/>
        </w:rPr>
        <w:t>προσμετρώνται</w:t>
      </w:r>
      <w:proofErr w:type="spellEnd"/>
      <w:r w:rsidRPr="00F74CAE">
        <w:rPr>
          <w:rFonts w:eastAsia="Calibri"/>
          <w:lang w:eastAsia="en-US"/>
        </w:rPr>
        <w:t xml:space="preserve"> στο πρωτογενές αποτέλεσμα και στο δημόσιο χρέος.</w:t>
      </w:r>
    </w:p>
    <w:p w14:paraId="4AA56235" w14:textId="11FF34CF" w:rsidR="007F2D2E" w:rsidRDefault="007F2D2E" w:rsidP="007F2D2E">
      <w:pPr>
        <w:rPr>
          <w:rFonts w:eastAsia="Calibri"/>
          <w:lang w:eastAsia="en-US"/>
        </w:rPr>
      </w:pPr>
      <w:r w:rsidRPr="00F74CAE">
        <w:rPr>
          <w:rFonts w:eastAsia="Calibri"/>
          <w:lang w:eastAsia="en-US"/>
        </w:rPr>
        <w:t xml:space="preserve">Η </w:t>
      </w:r>
      <w:r w:rsidR="00F450F0">
        <w:rPr>
          <w:rFonts w:eastAsia="Calibri"/>
          <w:lang w:eastAsia="en-US"/>
        </w:rPr>
        <w:t xml:space="preserve">παρεχόμενη </w:t>
      </w:r>
      <w:r w:rsidRPr="00F74CAE">
        <w:rPr>
          <w:rFonts w:eastAsia="Calibri"/>
          <w:lang w:eastAsia="en-US"/>
        </w:rPr>
        <w:t xml:space="preserve">δυνατότητα </w:t>
      </w:r>
      <w:r w:rsidR="00F450F0">
        <w:rPr>
          <w:rFonts w:eastAsia="Calibri"/>
          <w:lang w:eastAsia="en-US"/>
        </w:rPr>
        <w:t>αποβλέπει</w:t>
      </w:r>
      <w:r w:rsidRPr="00F74CAE">
        <w:rPr>
          <w:rFonts w:eastAsia="Calibri"/>
          <w:lang w:eastAsia="en-US"/>
        </w:rPr>
        <w:t xml:space="preserve">, σύμφωνα με σχετική ανακοίνωση της Ευρωπαϊκής Επιτροπής, </w:t>
      </w:r>
      <w:r w:rsidR="00F450F0">
        <w:rPr>
          <w:rFonts w:eastAsia="Calibri"/>
          <w:lang w:eastAsia="en-US"/>
        </w:rPr>
        <w:t xml:space="preserve">στην κάλυψη </w:t>
      </w:r>
      <w:r w:rsidRPr="00F74CAE">
        <w:rPr>
          <w:rFonts w:eastAsia="Calibri"/>
          <w:lang w:eastAsia="en-US"/>
        </w:rPr>
        <w:t>μέτρ</w:t>
      </w:r>
      <w:r w:rsidR="00F450F0">
        <w:rPr>
          <w:rFonts w:eastAsia="Calibri"/>
          <w:lang w:eastAsia="en-US"/>
        </w:rPr>
        <w:t>ων τα οποία εν</w:t>
      </w:r>
      <w:r w:rsidRPr="00F74CAE">
        <w:rPr>
          <w:rFonts w:eastAsia="Calibri"/>
          <w:lang w:eastAsia="en-US"/>
        </w:rPr>
        <w:t>ισχύουν την ανθεκτικότητα του ευρωπαϊκού ενεργειακού συστήματος και επιταχύνουν τη μετάβαση από τα ορυκτά καύσιμα.</w:t>
      </w:r>
    </w:p>
    <w:p w14:paraId="45B55B5A" w14:textId="77777777" w:rsidR="007F2D2E" w:rsidRPr="00F74CAE" w:rsidRDefault="007F2D2E" w:rsidP="007F2D2E">
      <w:pPr>
        <w:rPr>
          <w:rFonts w:eastAsia="Calibri"/>
          <w:lang w:eastAsia="en-US"/>
        </w:rPr>
      </w:pPr>
      <w:r>
        <w:rPr>
          <w:rFonts w:eastAsia="Calibri"/>
          <w:lang w:eastAsia="en-US"/>
        </w:rPr>
        <w:t>Τα κυριότερα έργα που προγραμματίζεται να ενταχθούν στο εν λόγω πλαίσιο παρουσιάζονται στη συνέχεια</w:t>
      </w:r>
      <w:r w:rsidRPr="00F74CAE">
        <w:rPr>
          <w:rFonts w:eastAsia="Calibri"/>
          <w:lang w:eastAsia="en-US"/>
        </w:rPr>
        <w:t>:</w:t>
      </w:r>
    </w:p>
    <w:p w14:paraId="597E6C34" w14:textId="64F9ABF1" w:rsidR="007F2D2E" w:rsidRPr="00B8023D" w:rsidRDefault="00F450F0" w:rsidP="00401315">
      <w:pPr>
        <w:numPr>
          <w:ilvl w:val="0"/>
          <w:numId w:val="1"/>
        </w:numPr>
        <w:spacing w:before="120" w:after="60"/>
        <w:ind w:left="568" w:hanging="284"/>
        <w:rPr>
          <w:rFonts w:cs="Arial"/>
        </w:rPr>
      </w:pPr>
      <w:r>
        <w:rPr>
          <w:rFonts w:cs="Arial"/>
        </w:rPr>
        <w:t>ν</w:t>
      </w:r>
      <w:r w:rsidR="007F2D2E" w:rsidRPr="00B8023D">
        <w:rPr>
          <w:rFonts w:cs="Arial"/>
        </w:rPr>
        <w:t>έο πρόγραμμα επιχορήγησης μπαταριών για ανανεώσιμες πηγές ενέργειας</w:t>
      </w:r>
      <w:r>
        <w:rPr>
          <w:rFonts w:cs="Arial"/>
        </w:rPr>
        <w:t xml:space="preserve"> ύψους </w:t>
      </w:r>
      <w:r w:rsidR="007F2D2E" w:rsidRPr="00B8023D">
        <w:rPr>
          <w:rFonts w:cs="Arial"/>
        </w:rPr>
        <w:t>200 εκατ. ευρώ</w:t>
      </w:r>
      <w:r>
        <w:rPr>
          <w:rFonts w:cs="Arial"/>
        </w:rPr>
        <w:t>,</w:t>
      </w:r>
    </w:p>
    <w:p w14:paraId="6209DEEE" w14:textId="17DDD8E6" w:rsidR="007F2D2E" w:rsidRPr="00B8023D" w:rsidRDefault="00F450F0" w:rsidP="00401315">
      <w:pPr>
        <w:numPr>
          <w:ilvl w:val="0"/>
          <w:numId w:val="1"/>
        </w:numPr>
        <w:spacing w:before="60" w:after="60"/>
        <w:ind w:left="568" w:hanging="284"/>
        <w:rPr>
          <w:rFonts w:cs="Arial"/>
        </w:rPr>
      </w:pPr>
      <w:r>
        <w:rPr>
          <w:rFonts w:cs="Arial"/>
        </w:rPr>
        <w:t>ν</w:t>
      </w:r>
      <w:r w:rsidR="007F2D2E" w:rsidRPr="00B8023D">
        <w:rPr>
          <w:rFonts w:cs="Arial"/>
        </w:rPr>
        <w:t xml:space="preserve">έο πανελλαδικό </w:t>
      </w:r>
      <w:r w:rsidR="00401315">
        <w:rPr>
          <w:rFonts w:cs="Arial"/>
        </w:rPr>
        <w:t>π</w:t>
      </w:r>
      <w:r w:rsidR="007F2D2E" w:rsidRPr="00B8023D">
        <w:rPr>
          <w:rFonts w:cs="Arial"/>
        </w:rPr>
        <w:t>ρόγραμμα για αντλίες θερμότητας και ηλιακούς θερμοσίφωνες (100.000 δικαιούχοι)</w:t>
      </w:r>
      <w:r>
        <w:rPr>
          <w:rFonts w:cs="Arial"/>
        </w:rPr>
        <w:t xml:space="preserve"> ύψους</w:t>
      </w:r>
      <w:r w:rsidR="007F2D2E" w:rsidRPr="00B8023D">
        <w:rPr>
          <w:rFonts w:cs="Arial"/>
        </w:rPr>
        <w:t xml:space="preserve"> 200 εκατ. ευρώ</w:t>
      </w:r>
      <w:r>
        <w:rPr>
          <w:rFonts w:cs="Arial"/>
        </w:rPr>
        <w:t>,</w:t>
      </w:r>
    </w:p>
    <w:p w14:paraId="2FBA3AB6" w14:textId="137452F0" w:rsidR="007F2D2E" w:rsidRPr="00B8023D" w:rsidRDefault="00F450F0" w:rsidP="00401315">
      <w:pPr>
        <w:numPr>
          <w:ilvl w:val="0"/>
          <w:numId w:val="1"/>
        </w:numPr>
        <w:spacing w:before="60" w:after="60"/>
        <w:ind w:left="568" w:hanging="284"/>
        <w:rPr>
          <w:rFonts w:cs="Arial"/>
        </w:rPr>
      </w:pPr>
      <w:r>
        <w:rPr>
          <w:rFonts w:cs="Arial"/>
        </w:rPr>
        <w:t>ν</w:t>
      </w:r>
      <w:r w:rsidR="007F2D2E" w:rsidRPr="00B8023D">
        <w:rPr>
          <w:rFonts w:cs="Arial"/>
        </w:rPr>
        <w:t>έο έργο Δίκαιης Αναπτυξιακής Μετάβασης (αντλίες θερμότητας, ηλιακ</w:t>
      </w:r>
      <w:r>
        <w:rPr>
          <w:rFonts w:cs="Arial"/>
        </w:rPr>
        <w:t>οί</w:t>
      </w:r>
      <w:r w:rsidR="007F2D2E" w:rsidRPr="00B8023D">
        <w:rPr>
          <w:rFonts w:cs="Arial"/>
        </w:rPr>
        <w:t xml:space="preserve"> θερμοσίφωνες, </w:t>
      </w:r>
      <w:proofErr w:type="spellStart"/>
      <w:r w:rsidR="007F2D2E" w:rsidRPr="00B8023D">
        <w:rPr>
          <w:rFonts w:cs="Arial"/>
        </w:rPr>
        <w:t>φωτοβολταϊκά</w:t>
      </w:r>
      <w:proofErr w:type="spellEnd"/>
      <w:r w:rsidR="007F2D2E" w:rsidRPr="00B8023D">
        <w:rPr>
          <w:rFonts w:cs="Arial"/>
        </w:rPr>
        <w:t xml:space="preserve"> στη στέγη με μπαταρία) για 10.000 δικαιούχους</w:t>
      </w:r>
      <w:r>
        <w:rPr>
          <w:rFonts w:cs="Arial"/>
        </w:rPr>
        <w:t xml:space="preserve"> στη</w:t>
      </w:r>
      <w:r w:rsidR="007F2D2E" w:rsidRPr="00B8023D">
        <w:rPr>
          <w:rFonts w:cs="Arial"/>
        </w:rPr>
        <w:t xml:space="preserve"> Δυτική Μακεδονία </w:t>
      </w:r>
      <w:r w:rsidR="00401315">
        <w:rPr>
          <w:rFonts w:cs="Arial"/>
        </w:rPr>
        <w:t>και</w:t>
      </w:r>
      <w:r w:rsidR="007F2D2E" w:rsidRPr="00B8023D">
        <w:rPr>
          <w:rFonts w:cs="Arial"/>
        </w:rPr>
        <w:t xml:space="preserve"> </w:t>
      </w:r>
      <w:r>
        <w:rPr>
          <w:rFonts w:cs="Arial"/>
        </w:rPr>
        <w:t xml:space="preserve">στη </w:t>
      </w:r>
      <w:r w:rsidR="007F2D2E" w:rsidRPr="00B8023D">
        <w:rPr>
          <w:rFonts w:cs="Arial"/>
        </w:rPr>
        <w:t>Μεγαλόπολη</w:t>
      </w:r>
      <w:r>
        <w:rPr>
          <w:rFonts w:cs="Arial"/>
        </w:rPr>
        <w:t>, ύψους</w:t>
      </w:r>
      <w:r w:rsidR="007F2D2E" w:rsidRPr="00B8023D">
        <w:rPr>
          <w:rFonts w:cs="Arial"/>
        </w:rPr>
        <w:t xml:space="preserve"> 50 εκατ. ευρώ</w:t>
      </w:r>
      <w:r>
        <w:rPr>
          <w:rFonts w:cs="Arial"/>
        </w:rPr>
        <w:t>,</w:t>
      </w:r>
    </w:p>
    <w:p w14:paraId="166B2153" w14:textId="30558FA9" w:rsidR="007F2D2E" w:rsidRPr="0052535A" w:rsidRDefault="001A5043" w:rsidP="00401315">
      <w:pPr>
        <w:numPr>
          <w:ilvl w:val="0"/>
          <w:numId w:val="1"/>
        </w:numPr>
        <w:spacing w:before="60" w:after="60"/>
        <w:ind w:left="568" w:hanging="284"/>
        <w:rPr>
          <w:rFonts w:cs="Arial"/>
        </w:rPr>
      </w:pPr>
      <w:r w:rsidRPr="0052535A">
        <w:rPr>
          <w:rFonts w:cs="Arial"/>
        </w:rPr>
        <w:t>πρόγραμμα «</w:t>
      </w:r>
      <w:r w:rsidR="007F2D2E" w:rsidRPr="0052535A">
        <w:rPr>
          <w:rFonts w:cs="Arial"/>
        </w:rPr>
        <w:t>ΗΛΕΚΤΡΑ</w:t>
      </w:r>
      <w:r w:rsidRPr="0052535A">
        <w:rPr>
          <w:rFonts w:cs="Arial"/>
        </w:rPr>
        <w:t>»</w:t>
      </w:r>
      <w:r w:rsidR="007F2D2E" w:rsidRPr="0052535A">
        <w:rPr>
          <w:rFonts w:cs="Arial"/>
        </w:rPr>
        <w:t xml:space="preserve"> </w:t>
      </w:r>
      <w:r w:rsidRPr="0052535A">
        <w:rPr>
          <w:rFonts w:cs="Arial"/>
        </w:rPr>
        <w:t xml:space="preserve">για την ενεργειακή αναβάθμιση </w:t>
      </w:r>
      <w:r w:rsidR="007F2D2E" w:rsidRPr="0052535A">
        <w:rPr>
          <w:rFonts w:cs="Arial"/>
        </w:rPr>
        <w:t>109 παλαι</w:t>
      </w:r>
      <w:r w:rsidRPr="0052535A">
        <w:rPr>
          <w:rFonts w:cs="Arial"/>
        </w:rPr>
        <w:t>ών</w:t>
      </w:r>
      <w:r w:rsidR="007F2D2E" w:rsidRPr="0052535A">
        <w:rPr>
          <w:rFonts w:cs="Arial"/>
        </w:rPr>
        <w:t xml:space="preserve"> κτ</w:t>
      </w:r>
      <w:r w:rsidRPr="0052535A">
        <w:rPr>
          <w:rFonts w:cs="Arial"/>
        </w:rPr>
        <w:t>ηρίων του</w:t>
      </w:r>
      <w:r w:rsidR="007F2D2E" w:rsidRPr="0052535A">
        <w:rPr>
          <w:rFonts w:cs="Arial"/>
        </w:rPr>
        <w:t xml:space="preserve"> </w:t>
      </w:r>
      <w:r w:rsidRPr="0052535A">
        <w:rPr>
          <w:rFonts w:cs="Arial"/>
        </w:rPr>
        <w:t>Δ</w:t>
      </w:r>
      <w:r w:rsidR="007F2D2E" w:rsidRPr="0052535A">
        <w:rPr>
          <w:rFonts w:cs="Arial"/>
        </w:rPr>
        <w:t>ημ</w:t>
      </w:r>
      <w:r w:rsidRPr="0052535A">
        <w:rPr>
          <w:rFonts w:cs="Arial"/>
        </w:rPr>
        <w:t>οσίου</w:t>
      </w:r>
      <w:r w:rsidR="007F2D2E" w:rsidRPr="0052535A">
        <w:rPr>
          <w:rFonts w:cs="Arial"/>
        </w:rPr>
        <w:t xml:space="preserve"> </w:t>
      </w:r>
      <w:r w:rsidRPr="0052535A">
        <w:rPr>
          <w:rFonts w:cs="Arial"/>
        </w:rPr>
        <w:t xml:space="preserve">και </w:t>
      </w:r>
      <w:r w:rsidR="007F2D2E" w:rsidRPr="0052535A">
        <w:rPr>
          <w:rFonts w:cs="Arial"/>
        </w:rPr>
        <w:t>πανεπιστ</w:t>
      </w:r>
      <w:r w:rsidRPr="0052535A">
        <w:rPr>
          <w:rFonts w:cs="Arial"/>
        </w:rPr>
        <w:t>ημίων, ύψους</w:t>
      </w:r>
      <w:r w:rsidR="007F2D2E" w:rsidRPr="0052535A">
        <w:rPr>
          <w:rFonts w:cs="Arial"/>
        </w:rPr>
        <w:t xml:space="preserve"> 117 εκατ. ευρώ</w:t>
      </w:r>
      <w:r w:rsidR="00F450F0" w:rsidRPr="0052535A">
        <w:rPr>
          <w:rFonts w:cs="Arial"/>
        </w:rPr>
        <w:t>,</w:t>
      </w:r>
    </w:p>
    <w:p w14:paraId="26EA3263" w14:textId="688A6D03" w:rsidR="007F2D2E" w:rsidRPr="00B8023D" w:rsidRDefault="001A5043" w:rsidP="00401315">
      <w:pPr>
        <w:numPr>
          <w:ilvl w:val="0"/>
          <w:numId w:val="1"/>
        </w:numPr>
        <w:spacing w:before="60" w:after="60"/>
        <w:ind w:left="568" w:hanging="284"/>
        <w:rPr>
          <w:rFonts w:cs="Arial"/>
        </w:rPr>
      </w:pPr>
      <w:r>
        <w:rPr>
          <w:rFonts w:cs="Arial"/>
        </w:rPr>
        <w:t>πρόγραμμα «</w:t>
      </w:r>
      <w:r w:rsidR="007F2D2E" w:rsidRPr="00B8023D">
        <w:rPr>
          <w:rFonts w:cs="Arial"/>
        </w:rPr>
        <w:t>ΦΟΙΒΟΣ</w:t>
      </w:r>
      <w:r w:rsidR="00401315">
        <w:rPr>
          <w:rFonts w:cs="Arial"/>
        </w:rPr>
        <w:t xml:space="preserve"> -</w:t>
      </w:r>
      <w:r w:rsidR="007F2D2E" w:rsidRPr="00B8023D">
        <w:rPr>
          <w:rFonts w:cs="Arial"/>
        </w:rPr>
        <w:t xml:space="preserve"> ΑΘΗΝΑ</w:t>
      </w:r>
      <w:r>
        <w:rPr>
          <w:rFonts w:cs="Arial"/>
        </w:rPr>
        <w:t xml:space="preserve">» για την ενεργειακή αναβάθμιση </w:t>
      </w:r>
      <w:r w:rsidR="007F2D2E" w:rsidRPr="00B8023D">
        <w:rPr>
          <w:rFonts w:cs="Arial"/>
        </w:rPr>
        <w:t>246 σχολεί</w:t>
      </w:r>
      <w:r w:rsidR="00293549">
        <w:rPr>
          <w:rFonts w:cs="Arial"/>
        </w:rPr>
        <w:t>ων (</w:t>
      </w:r>
      <w:r w:rsidR="007F2D2E" w:rsidRPr="00B8023D">
        <w:rPr>
          <w:rFonts w:cs="Arial"/>
        </w:rPr>
        <w:t>δημοτικά</w:t>
      </w:r>
      <w:r w:rsidR="00293549">
        <w:rPr>
          <w:rFonts w:cs="Arial"/>
        </w:rPr>
        <w:t>,</w:t>
      </w:r>
      <w:r w:rsidR="00A900D9">
        <w:rPr>
          <w:rFonts w:cs="Arial"/>
        </w:rPr>
        <w:t xml:space="preserve"> </w:t>
      </w:r>
      <w:r w:rsidR="007F2D2E" w:rsidRPr="00B8023D">
        <w:rPr>
          <w:rFonts w:cs="Arial"/>
        </w:rPr>
        <w:t>νηπιαγωγεία</w:t>
      </w:r>
      <w:r w:rsidR="00293549">
        <w:rPr>
          <w:rFonts w:cs="Arial"/>
        </w:rPr>
        <w:t xml:space="preserve"> και</w:t>
      </w:r>
      <w:r w:rsidR="00A900D9">
        <w:rPr>
          <w:rFonts w:cs="Arial"/>
        </w:rPr>
        <w:t xml:space="preserve"> </w:t>
      </w:r>
      <w:r w:rsidR="007F2D2E" w:rsidRPr="00B8023D">
        <w:rPr>
          <w:rFonts w:cs="Arial"/>
        </w:rPr>
        <w:t>βρεφονηπιακοί</w:t>
      </w:r>
      <w:r w:rsidR="00293549">
        <w:rPr>
          <w:rFonts w:cs="Arial"/>
        </w:rPr>
        <w:t xml:space="preserve"> σταθμοί</w:t>
      </w:r>
      <w:r w:rsidR="007F2D2E" w:rsidRPr="00B8023D">
        <w:rPr>
          <w:rFonts w:cs="Arial"/>
        </w:rPr>
        <w:t>)</w:t>
      </w:r>
      <w:r w:rsidR="00293549">
        <w:rPr>
          <w:rFonts w:cs="Arial"/>
        </w:rPr>
        <w:t xml:space="preserve"> ύψους</w:t>
      </w:r>
      <w:r w:rsidR="007F2D2E" w:rsidRPr="00B8023D">
        <w:rPr>
          <w:rFonts w:cs="Arial"/>
        </w:rPr>
        <w:t xml:space="preserve"> 45 εκατ. ευρώ</w:t>
      </w:r>
      <w:r w:rsidR="00F450F0">
        <w:rPr>
          <w:rFonts w:cs="Arial"/>
        </w:rPr>
        <w:t>,</w:t>
      </w:r>
    </w:p>
    <w:p w14:paraId="019BD384" w14:textId="58E0BE60" w:rsidR="007F2D2E" w:rsidRPr="00B8023D" w:rsidRDefault="00F450F0" w:rsidP="00401315">
      <w:pPr>
        <w:numPr>
          <w:ilvl w:val="0"/>
          <w:numId w:val="1"/>
        </w:numPr>
        <w:spacing w:before="60" w:after="60"/>
        <w:ind w:left="568" w:hanging="284"/>
        <w:rPr>
          <w:rFonts w:cs="Arial"/>
        </w:rPr>
      </w:pPr>
      <w:r>
        <w:rPr>
          <w:rFonts w:cs="Arial"/>
        </w:rPr>
        <w:t>δ</w:t>
      </w:r>
      <w:r w:rsidR="007F2D2E" w:rsidRPr="00B8023D">
        <w:rPr>
          <w:rFonts w:cs="Arial"/>
        </w:rPr>
        <w:t xml:space="preserve">ράση δέσμευσης και αποθήκευσης άνθρακα στη βιομηχανία </w:t>
      </w:r>
      <w:r w:rsidR="00C6099A">
        <w:rPr>
          <w:rFonts w:cs="Arial"/>
        </w:rPr>
        <w:t xml:space="preserve">ύψους </w:t>
      </w:r>
      <w:r w:rsidR="007F2D2E" w:rsidRPr="00B8023D">
        <w:rPr>
          <w:rFonts w:cs="Arial"/>
        </w:rPr>
        <w:t>50 εκατ. ευρώ</w:t>
      </w:r>
      <w:r>
        <w:rPr>
          <w:rFonts w:cs="Arial"/>
        </w:rPr>
        <w:t>,</w:t>
      </w:r>
    </w:p>
    <w:p w14:paraId="520E105F" w14:textId="01F96B68" w:rsidR="007F2D2E" w:rsidRPr="00B8023D" w:rsidRDefault="00F450F0" w:rsidP="00401315">
      <w:pPr>
        <w:numPr>
          <w:ilvl w:val="0"/>
          <w:numId w:val="1"/>
        </w:numPr>
        <w:spacing w:before="60" w:after="60"/>
        <w:ind w:left="568" w:hanging="284"/>
        <w:rPr>
          <w:rFonts w:cs="Arial"/>
        </w:rPr>
      </w:pPr>
      <w:r>
        <w:rPr>
          <w:rFonts w:cs="Arial"/>
        </w:rPr>
        <w:t>σ</w:t>
      </w:r>
      <w:r w:rsidR="007F2D2E" w:rsidRPr="00B8023D">
        <w:rPr>
          <w:rFonts w:cs="Arial"/>
        </w:rPr>
        <w:t>ιδηροδρομικά έργα ενίσχυσης της ασφάλειας και επεκτάσε</w:t>
      </w:r>
      <w:r w:rsidR="00C6099A">
        <w:rPr>
          <w:rFonts w:cs="Arial"/>
        </w:rPr>
        <w:t>ων ύψους</w:t>
      </w:r>
      <w:r w:rsidR="007F2D2E" w:rsidRPr="00B8023D">
        <w:rPr>
          <w:rFonts w:cs="Arial"/>
        </w:rPr>
        <w:t xml:space="preserve"> 320 εκατ. ευρώ</w:t>
      </w:r>
      <w:r>
        <w:rPr>
          <w:rFonts w:cs="Arial"/>
        </w:rPr>
        <w:t xml:space="preserve"> και</w:t>
      </w:r>
    </w:p>
    <w:p w14:paraId="536D103E" w14:textId="563186F0" w:rsidR="007F2D2E" w:rsidRDefault="00F450F0" w:rsidP="00401315">
      <w:pPr>
        <w:numPr>
          <w:ilvl w:val="0"/>
          <w:numId w:val="2"/>
        </w:numPr>
        <w:spacing w:before="60" w:after="240"/>
        <w:ind w:left="568" w:hanging="284"/>
        <w:rPr>
          <w:rFonts w:cs="Arial"/>
        </w:rPr>
      </w:pPr>
      <w:r>
        <w:rPr>
          <w:rFonts w:cs="Arial"/>
        </w:rPr>
        <w:t>σ</w:t>
      </w:r>
      <w:r w:rsidR="007F2D2E" w:rsidRPr="00B8023D">
        <w:rPr>
          <w:rFonts w:cs="Arial"/>
        </w:rPr>
        <w:t>ταθμοί φόρτισης λεωφορείων</w:t>
      </w:r>
      <w:r w:rsidR="00C6099A">
        <w:rPr>
          <w:rFonts w:cs="Arial"/>
        </w:rPr>
        <w:t xml:space="preserve"> ύψους</w:t>
      </w:r>
      <w:r w:rsidR="007F2D2E" w:rsidRPr="00B8023D">
        <w:rPr>
          <w:rFonts w:cs="Arial"/>
        </w:rPr>
        <w:t xml:space="preserve"> 20 εκατ. ευρώ.</w:t>
      </w:r>
    </w:p>
    <w:tbl>
      <w:tblPr>
        <w:tblW w:w="9072" w:type="dxa"/>
        <w:jc w:val="center"/>
        <w:tblLook w:val="04A0" w:firstRow="1" w:lastRow="0" w:firstColumn="1" w:lastColumn="0" w:noHBand="0" w:noVBand="1"/>
      </w:tblPr>
      <w:tblGrid>
        <w:gridCol w:w="7574"/>
        <w:gridCol w:w="703"/>
        <w:gridCol w:w="795"/>
      </w:tblGrid>
      <w:tr w:rsidR="00E846AB" w:rsidRPr="004812B8" w14:paraId="0C5D9E02" w14:textId="77777777" w:rsidTr="003230EF">
        <w:trPr>
          <w:cantSplit/>
          <w:trHeight w:val="567"/>
          <w:tblHeader/>
          <w:jc w:val="center"/>
        </w:trPr>
        <w:tc>
          <w:tcPr>
            <w:tcW w:w="9072" w:type="dxa"/>
            <w:gridSpan w:val="3"/>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000000" w:fill="D5DCE4"/>
            <w:vAlign w:val="center"/>
            <w:hideMark/>
          </w:tcPr>
          <w:p w14:paraId="4BC62A9D" w14:textId="6D39D35D" w:rsidR="00E846AB" w:rsidRPr="004812B8" w:rsidRDefault="00EB5608" w:rsidP="004302D8">
            <w:pPr>
              <w:spacing w:after="0" w:line="276" w:lineRule="auto"/>
              <w:jc w:val="center"/>
              <w:rPr>
                <w:rFonts w:cs="Arial"/>
                <w:b/>
                <w:bCs/>
                <w:color w:val="000000"/>
                <w:sz w:val="18"/>
                <w:szCs w:val="18"/>
                <w:lang w:eastAsia="en-US"/>
              </w:rPr>
            </w:pPr>
            <w:bookmarkStart w:id="357" w:name="_Ref241583439"/>
            <w:bookmarkStart w:id="358" w:name="_Toc241953652"/>
            <w:r w:rsidRPr="00EB5608">
              <w:rPr>
                <w:rFonts w:cs="Arial"/>
                <w:b/>
                <w:bCs/>
                <w:color w:val="000000"/>
                <w:sz w:val="18"/>
                <w:szCs w:val="18"/>
                <w:lang w:eastAsia="en-US"/>
              </w:rPr>
              <w:t>Πίνακας 2.</w:t>
            </w:r>
            <w:r w:rsidRPr="00EB5608">
              <w:rPr>
                <w:rFonts w:cs="Arial"/>
                <w:b/>
                <w:bCs/>
                <w:color w:val="000000"/>
                <w:sz w:val="18"/>
                <w:szCs w:val="18"/>
                <w:lang w:eastAsia="en-US"/>
              </w:rPr>
              <w:fldChar w:fldCharType="begin"/>
            </w:r>
            <w:r w:rsidRPr="00EB5608">
              <w:rPr>
                <w:rFonts w:cs="Arial"/>
                <w:b/>
                <w:bCs/>
                <w:color w:val="000000"/>
                <w:sz w:val="18"/>
                <w:szCs w:val="18"/>
                <w:lang w:eastAsia="en-US"/>
              </w:rPr>
              <w:instrText xml:space="preserve"> SEQ Πίνακας_2. \* ARABIC </w:instrText>
            </w:r>
            <w:r w:rsidRPr="00EB5608">
              <w:rPr>
                <w:rFonts w:cs="Arial"/>
                <w:b/>
                <w:bCs/>
                <w:color w:val="000000"/>
                <w:sz w:val="18"/>
                <w:szCs w:val="18"/>
                <w:lang w:eastAsia="en-US"/>
              </w:rPr>
              <w:fldChar w:fldCharType="separate"/>
            </w:r>
            <w:r w:rsidR="007F6D9C">
              <w:rPr>
                <w:rFonts w:cs="Arial"/>
                <w:b/>
                <w:bCs/>
                <w:noProof/>
                <w:color w:val="000000"/>
                <w:sz w:val="18"/>
                <w:szCs w:val="18"/>
                <w:lang w:eastAsia="en-US"/>
              </w:rPr>
              <w:t>5</w:t>
            </w:r>
            <w:r w:rsidRPr="00EB5608">
              <w:rPr>
                <w:rFonts w:cs="Arial"/>
                <w:b/>
                <w:bCs/>
                <w:color w:val="000000"/>
                <w:sz w:val="18"/>
                <w:szCs w:val="18"/>
                <w:lang w:eastAsia="en-US"/>
              </w:rPr>
              <w:fldChar w:fldCharType="end"/>
            </w:r>
            <w:bookmarkEnd w:id="357"/>
            <w:r w:rsidRPr="00EB5608">
              <w:rPr>
                <w:rFonts w:cs="Arial"/>
                <w:b/>
                <w:bCs/>
                <w:color w:val="000000"/>
                <w:sz w:val="18"/>
                <w:szCs w:val="18"/>
                <w:lang w:eastAsia="en-US"/>
              </w:rPr>
              <w:t>.:</w:t>
            </w:r>
            <w:r w:rsidR="00E846AB" w:rsidRPr="004812B8">
              <w:rPr>
                <w:rFonts w:cs="Arial"/>
                <w:b/>
                <w:bCs/>
                <w:color w:val="000000"/>
                <w:sz w:val="18"/>
                <w:szCs w:val="18"/>
                <w:lang w:eastAsia="en-US"/>
              </w:rPr>
              <w:t xml:space="preserve"> Κυριότερες μόνιμες δημοσιονομικές παρεμβάσεις 2026 - 2027</w:t>
            </w:r>
            <w:r w:rsidR="00B42F4E">
              <w:rPr>
                <w:rFonts w:cs="Arial"/>
                <w:b/>
                <w:bCs/>
                <w:color w:val="000000"/>
                <w:sz w:val="18"/>
                <w:szCs w:val="18"/>
                <w:lang w:eastAsia="en-US"/>
              </w:rPr>
              <w:br/>
            </w:r>
            <w:r w:rsidR="00E846AB" w:rsidRPr="004812B8">
              <w:rPr>
                <w:rFonts w:cs="Arial"/>
                <w:b/>
                <w:bCs/>
                <w:color w:val="000000"/>
                <w:sz w:val="18"/>
                <w:szCs w:val="18"/>
                <w:lang w:eastAsia="en-US"/>
              </w:rPr>
              <w:t>(σε εκατ. ευρώ)</w:t>
            </w:r>
            <w:bookmarkEnd w:id="358"/>
          </w:p>
        </w:tc>
      </w:tr>
      <w:tr w:rsidR="00E846AB" w:rsidRPr="004812B8" w14:paraId="0277B898" w14:textId="77777777" w:rsidTr="003230EF">
        <w:trPr>
          <w:cantSplit/>
          <w:trHeight w:val="340"/>
          <w:tblHeader/>
          <w:jc w:val="center"/>
        </w:trPr>
        <w:tc>
          <w:tcPr>
            <w:tcW w:w="7574" w:type="dxa"/>
            <w:tcBorders>
              <w:left w:val="single" w:sz="2" w:space="0" w:color="A6A6A6" w:themeColor="background1" w:themeShade="A6"/>
              <w:right w:val="single" w:sz="2" w:space="0" w:color="A6A6A6" w:themeColor="background1" w:themeShade="A6"/>
            </w:tcBorders>
            <w:shd w:val="clear" w:color="000000" w:fill="FFFFFF"/>
            <w:vAlign w:val="center"/>
            <w:hideMark/>
          </w:tcPr>
          <w:p w14:paraId="7E836573" w14:textId="5F19CF21" w:rsidR="00E846AB" w:rsidRPr="004812B8" w:rsidRDefault="00181BE3" w:rsidP="004302D8">
            <w:pPr>
              <w:spacing w:after="0" w:line="276" w:lineRule="auto"/>
              <w:jc w:val="center"/>
              <w:rPr>
                <w:rFonts w:cs="Arial"/>
                <w:b/>
                <w:bCs/>
                <w:color w:val="000000"/>
                <w:sz w:val="16"/>
                <w:szCs w:val="16"/>
                <w:lang w:val="en-US" w:eastAsia="en-US"/>
              </w:rPr>
            </w:pPr>
            <w:r>
              <w:rPr>
                <w:rFonts w:cs="Arial"/>
                <w:b/>
                <w:bCs/>
                <w:color w:val="000000"/>
                <w:sz w:val="16"/>
                <w:szCs w:val="16"/>
                <w:lang w:eastAsia="en-US"/>
              </w:rPr>
              <w:t>Περιγραφή</w:t>
            </w:r>
          </w:p>
        </w:tc>
        <w:tc>
          <w:tcPr>
            <w:tcW w:w="703" w:type="dxa"/>
            <w:tcBorders>
              <w:left w:val="single" w:sz="2" w:space="0" w:color="A6A6A6" w:themeColor="background1" w:themeShade="A6"/>
            </w:tcBorders>
            <w:shd w:val="clear" w:color="000000" w:fill="FFFFFF"/>
            <w:noWrap/>
            <w:vAlign w:val="center"/>
            <w:hideMark/>
          </w:tcPr>
          <w:p w14:paraId="11D7EBDC" w14:textId="77777777" w:rsidR="00E846AB" w:rsidRPr="004812B8" w:rsidRDefault="00E846AB" w:rsidP="004302D8">
            <w:pPr>
              <w:spacing w:after="0" w:line="276" w:lineRule="auto"/>
              <w:jc w:val="center"/>
              <w:rPr>
                <w:rFonts w:cs="Arial"/>
                <w:b/>
                <w:bCs/>
                <w:color w:val="000000"/>
                <w:sz w:val="16"/>
                <w:szCs w:val="16"/>
                <w:lang w:val="en-US" w:eastAsia="en-US"/>
              </w:rPr>
            </w:pPr>
            <w:r w:rsidRPr="004812B8">
              <w:rPr>
                <w:rFonts w:cs="Arial"/>
                <w:b/>
                <w:bCs/>
                <w:color w:val="000000"/>
                <w:sz w:val="16"/>
                <w:szCs w:val="16"/>
                <w:lang w:val="en-US" w:eastAsia="en-US"/>
              </w:rPr>
              <w:t>2026</w:t>
            </w:r>
          </w:p>
        </w:tc>
        <w:tc>
          <w:tcPr>
            <w:tcW w:w="795" w:type="dxa"/>
            <w:tcBorders>
              <w:right w:val="single" w:sz="2" w:space="0" w:color="A6A6A6" w:themeColor="background1" w:themeShade="A6"/>
            </w:tcBorders>
            <w:shd w:val="clear" w:color="000000" w:fill="FFFFFF"/>
            <w:noWrap/>
            <w:vAlign w:val="center"/>
            <w:hideMark/>
          </w:tcPr>
          <w:p w14:paraId="23800CCC" w14:textId="77777777" w:rsidR="00E846AB" w:rsidRPr="004812B8" w:rsidRDefault="00E846AB" w:rsidP="004302D8">
            <w:pPr>
              <w:spacing w:after="0" w:line="276" w:lineRule="auto"/>
              <w:jc w:val="center"/>
              <w:rPr>
                <w:rFonts w:cs="Arial"/>
                <w:b/>
                <w:bCs/>
                <w:color w:val="000000"/>
                <w:sz w:val="16"/>
                <w:szCs w:val="16"/>
                <w:lang w:val="en-US" w:eastAsia="en-US"/>
              </w:rPr>
            </w:pPr>
            <w:r w:rsidRPr="004812B8">
              <w:rPr>
                <w:rFonts w:cs="Arial"/>
                <w:b/>
                <w:bCs/>
                <w:color w:val="000000"/>
                <w:sz w:val="16"/>
                <w:szCs w:val="16"/>
                <w:lang w:val="en-US" w:eastAsia="en-US"/>
              </w:rPr>
              <w:t>2027</w:t>
            </w:r>
          </w:p>
        </w:tc>
      </w:tr>
      <w:tr w:rsidR="00E846AB" w:rsidRPr="004812B8" w14:paraId="4A1752BD" w14:textId="77777777" w:rsidTr="00226C76">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45F14176" w14:textId="41BC2641"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Α.</w:t>
            </w:r>
            <w:r w:rsidR="00977700">
              <w:rPr>
                <w:rFonts w:cs="Arial"/>
                <w:b/>
                <w:bCs/>
                <w:color w:val="000000"/>
                <w:sz w:val="16"/>
                <w:szCs w:val="16"/>
                <w:lang w:val="en-US" w:eastAsia="en-US"/>
              </w:rPr>
              <w:tab/>
            </w:r>
            <w:r w:rsidR="00977700">
              <w:rPr>
                <w:rFonts w:cs="Arial"/>
                <w:b/>
                <w:bCs/>
                <w:color w:val="000000"/>
                <w:sz w:val="16"/>
                <w:szCs w:val="16"/>
                <w:lang w:eastAsia="en-US"/>
              </w:rPr>
              <w:t xml:space="preserve">Νέες </w:t>
            </w:r>
            <w:r w:rsidRPr="004812B8">
              <w:rPr>
                <w:rFonts w:cs="Arial"/>
                <w:b/>
                <w:bCs/>
                <w:color w:val="000000"/>
                <w:sz w:val="16"/>
                <w:szCs w:val="16"/>
                <w:lang w:val="en-US" w:eastAsia="en-US"/>
              </w:rPr>
              <w:t>πα</w:t>
            </w:r>
            <w:r w:rsidR="00977700">
              <w:rPr>
                <w:rFonts w:cs="Arial"/>
                <w:b/>
                <w:bCs/>
                <w:color w:val="000000"/>
                <w:sz w:val="16"/>
                <w:szCs w:val="16"/>
                <w:lang w:eastAsia="en-US"/>
              </w:rPr>
              <w:t>ρεμβάσεις</w:t>
            </w:r>
            <w:r w:rsidRPr="004812B8">
              <w:rPr>
                <w:rFonts w:cs="Arial"/>
                <w:b/>
                <w:bCs/>
                <w:color w:val="000000"/>
                <w:sz w:val="18"/>
                <w:szCs w:val="18"/>
                <w:lang w:val="en-US" w:eastAsia="en-US"/>
              </w:rPr>
              <w:t>*</w:t>
            </w:r>
          </w:p>
        </w:tc>
        <w:tc>
          <w:tcPr>
            <w:tcW w:w="703" w:type="dxa"/>
            <w:tcBorders>
              <w:left w:val="single" w:sz="2" w:space="0" w:color="A6A6A6" w:themeColor="background1" w:themeShade="A6"/>
            </w:tcBorders>
            <w:shd w:val="clear" w:color="000000" w:fill="D5DCE4"/>
            <w:noWrap/>
            <w:vAlign w:val="center"/>
          </w:tcPr>
          <w:p w14:paraId="53692615" w14:textId="6265FD48"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D5DCE4"/>
            <w:noWrap/>
            <w:vAlign w:val="center"/>
          </w:tcPr>
          <w:p w14:paraId="03E6D8C9" w14:textId="3FF984BC"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4CD0A3D7"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BCDED94" w14:textId="018B93C4"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Ελεύθεροι</w:t>
            </w:r>
            <w:proofErr w:type="spellEnd"/>
            <w:r w:rsidR="00977700">
              <w:rPr>
                <w:rFonts w:cs="Arial"/>
                <w:b/>
                <w:bCs/>
                <w:color w:val="000000"/>
                <w:sz w:val="16"/>
                <w:szCs w:val="16"/>
                <w:lang w:eastAsia="en-US"/>
              </w:rPr>
              <w:t xml:space="preserve"> </w:t>
            </w:r>
            <w:r w:rsidRPr="004812B8">
              <w:rPr>
                <w:rFonts w:cs="Arial"/>
                <w:b/>
                <w:bCs/>
                <w:color w:val="000000"/>
                <w:sz w:val="16"/>
                <w:szCs w:val="16"/>
                <w:lang w:val="en-US" w:eastAsia="en-US"/>
              </w:rPr>
              <w:t>επα</w:t>
            </w:r>
            <w:proofErr w:type="spellStart"/>
            <w:r w:rsidR="00977700">
              <w:rPr>
                <w:rFonts w:cs="Arial"/>
                <w:b/>
                <w:bCs/>
                <w:color w:val="000000"/>
                <w:sz w:val="16"/>
                <w:szCs w:val="16"/>
                <w:lang w:eastAsia="en-US"/>
              </w:rPr>
              <w:t>γγελματίες</w:t>
            </w:r>
            <w:proofErr w:type="spellEnd"/>
          </w:p>
        </w:tc>
        <w:tc>
          <w:tcPr>
            <w:tcW w:w="703" w:type="dxa"/>
            <w:tcBorders>
              <w:left w:val="single" w:sz="2" w:space="0" w:color="A6A6A6" w:themeColor="background1" w:themeShade="A6"/>
            </w:tcBorders>
            <w:shd w:val="clear" w:color="000000" w:fill="F2F2F2"/>
            <w:noWrap/>
            <w:vAlign w:val="center"/>
          </w:tcPr>
          <w:p w14:paraId="26204D90" w14:textId="483C28C3"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04C5E76" w14:textId="7DB29CF4"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3503C6F7"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B2A5A2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Απαλλαγή από τις προσαυξήσεις ελάχιστου καθαρού εισοδήματος για συνεπείς ελεύθερους επαγγελματίες</w:t>
            </w:r>
          </w:p>
        </w:tc>
        <w:tc>
          <w:tcPr>
            <w:tcW w:w="703" w:type="dxa"/>
            <w:tcBorders>
              <w:left w:val="single" w:sz="2" w:space="0" w:color="A6A6A6" w:themeColor="background1" w:themeShade="A6"/>
            </w:tcBorders>
            <w:noWrap/>
            <w:vAlign w:val="center"/>
            <w:hideMark/>
          </w:tcPr>
          <w:p w14:paraId="22D25FD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BB39FB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-170</w:t>
            </w:r>
          </w:p>
        </w:tc>
      </w:tr>
      <w:tr w:rsidR="00E846AB" w:rsidRPr="004812B8" w14:paraId="329E93B8"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CF4B949"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προκαταβολής φόρου ατομικών επιχειρήσεων από 55% σε 50% από το φορολογικό έτος 2027 (επηρεάζει δημοσιονομικά το έτος 2028)</w:t>
            </w:r>
          </w:p>
        </w:tc>
        <w:tc>
          <w:tcPr>
            <w:tcW w:w="703" w:type="dxa"/>
            <w:tcBorders>
              <w:left w:val="single" w:sz="2" w:space="0" w:color="A6A6A6" w:themeColor="background1" w:themeShade="A6"/>
            </w:tcBorders>
            <w:noWrap/>
            <w:vAlign w:val="center"/>
            <w:hideMark/>
          </w:tcPr>
          <w:p w14:paraId="0375114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D243F56"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E846AB" w:rsidRPr="004812B8" w14:paraId="05B2A309"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895CCA5"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Αγρότες</w:t>
            </w:r>
            <w:proofErr w:type="spellEnd"/>
          </w:p>
        </w:tc>
        <w:tc>
          <w:tcPr>
            <w:tcW w:w="703" w:type="dxa"/>
            <w:tcBorders>
              <w:left w:val="single" w:sz="2" w:space="0" w:color="A6A6A6" w:themeColor="background1" w:themeShade="A6"/>
            </w:tcBorders>
            <w:shd w:val="clear" w:color="000000" w:fill="F2F2F2"/>
            <w:noWrap/>
            <w:vAlign w:val="center"/>
          </w:tcPr>
          <w:p w14:paraId="75D87E66" w14:textId="71A56FA4"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0D76128F" w14:textId="024A2621"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FECE45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12554C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συντελεστή φορολόγησης κατά κύριο επάγγελμα αγροτών σε 0% για εισοδήματα έως 20.000 ευρώ</w:t>
            </w:r>
          </w:p>
        </w:tc>
        <w:tc>
          <w:tcPr>
            <w:tcW w:w="703" w:type="dxa"/>
            <w:tcBorders>
              <w:left w:val="single" w:sz="2" w:space="0" w:color="A6A6A6" w:themeColor="background1" w:themeShade="A6"/>
            </w:tcBorders>
            <w:noWrap/>
            <w:vAlign w:val="center"/>
            <w:hideMark/>
          </w:tcPr>
          <w:p w14:paraId="00314AB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E0BA60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-87</w:t>
            </w:r>
          </w:p>
        </w:tc>
      </w:tr>
      <w:tr w:rsidR="00E846AB" w:rsidRPr="004812B8" w14:paraId="63D579D3"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5E017DDA"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Μισθωτοί</w:t>
            </w:r>
            <w:proofErr w:type="spellEnd"/>
            <w:r w:rsidRPr="004812B8">
              <w:rPr>
                <w:rFonts w:cs="Arial"/>
                <w:b/>
                <w:bCs/>
                <w:color w:val="000000"/>
                <w:sz w:val="16"/>
                <w:szCs w:val="16"/>
                <w:lang w:val="en-US" w:eastAsia="en-US"/>
              </w:rPr>
              <w:t xml:space="preserve"> </w:t>
            </w:r>
            <w:proofErr w:type="spellStart"/>
            <w:r w:rsidRPr="004812B8">
              <w:rPr>
                <w:rFonts w:cs="Arial"/>
                <w:b/>
                <w:bCs/>
                <w:color w:val="000000"/>
                <w:sz w:val="16"/>
                <w:szCs w:val="16"/>
                <w:lang w:val="en-US" w:eastAsia="en-US"/>
              </w:rPr>
              <w:t>ιδιωτικού</w:t>
            </w:r>
            <w:proofErr w:type="spellEnd"/>
            <w:r w:rsidRPr="004812B8">
              <w:rPr>
                <w:rFonts w:cs="Arial"/>
                <w:b/>
                <w:bCs/>
                <w:color w:val="000000"/>
                <w:sz w:val="16"/>
                <w:szCs w:val="16"/>
                <w:lang w:val="en-US" w:eastAsia="en-US"/>
              </w:rPr>
              <w:t xml:space="preserve"> </w:t>
            </w:r>
            <w:proofErr w:type="spellStart"/>
            <w:r w:rsidRPr="004812B8">
              <w:rPr>
                <w:rFonts w:cs="Arial"/>
                <w:b/>
                <w:bCs/>
                <w:color w:val="000000"/>
                <w:sz w:val="16"/>
                <w:szCs w:val="16"/>
                <w:lang w:val="en-US" w:eastAsia="en-US"/>
              </w:rPr>
              <w:t>τομέ</w:t>
            </w:r>
            <w:proofErr w:type="spellEnd"/>
            <w:r w:rsidRPr="004812B8">
              <w:rPr>
                <w:rFonts w:cs="Arial"/>
                <w:b/>
                <w:bCs/>
                <w:color w:val="000000"/>
                <w:sz w:val="16"/>
                <w:szCs w:val="16"/>
                <w:lang w:val="en-US" w:eastAsia="en-US"/>
              </w:rPr>
              <w:t>α</w:t>
            </w:r>
          </w:p>
        </w:tc>
        <w:tc>
          <w:tcPr>
            <w:tcW w:w="703" w:type="dxa"/>
            <w:tcBorders>
              <w:left w:val="single" w:sz="2" w:space="0" w:color="A6A6A6" w:themeColor="background1" w:themeShade="A6"/>
            </w:tcBorders>
            <w:shd w:val="clear" w:color="000000" w:fill="F2F2F2"/>
            <w:noWrap/>
            <w:vAlign w:val="center"/>
          </w:tcPr>
          <w:p w14:paraId="7A460BA1" w14:textId="37BD0EE3"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6C390DDB" w14:textId="72B8D47F"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37AD3BB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FAF89D1" w14:textId="502EBFE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ασφαλιστικών εισφορών του ιδιωτικού τομέα κατά 0,5% από τον Απρίλιο 2027 (από τις εισφορές του εργαζ</w:t>
            </w:r>
            <w:r w:rsidR="002A6765">
              <w:rPr>
                <w:rFonts w:cs="Arial"/>
                <w:color w:val="000000"/>
                <w:sz w:val="16"/>
                <w:szCs w:val="16"/>
                <w:lang w:eastAsia="en-US"/>
              </w:rPr>
              <w:t>ο</w:t>
            </w:r>
            <w:r w:rsidRPr="004812B8">
              <w:rPr>
                <w:rFonts w:cs="Arial"/>
                <w:color w:val="000000"/>
                <w:sz w:val="16"/>
                <w:szCs w:val="16"/>
                <w:lang w:eastAsia="en-US"/>
              </w:rPr>
              <w:t>μ</w:t>
            </w:r>
            <w:r w:rsidR="002A6765">
              <w:rPr>
                <w:rFonts w:cs="Arial"/>
                <w:color w:val="000000"/>
                <w:sz w:val="16"/>
                <w:szCs w:val="16"/>
                <w:lang w:eastAsia="en-US"/>
              </w:rPr>
              <w:t>έ</w:t>
            </w:r>
            <w:r w:rsidRPr="004812B8">
              <w:rPr>
                <w:rFonts w:cs="Arial"/>
                <w:color w:val="000000"/>
                <w:sz w:val="16"/>
                <w:szCs w:val="16"/>
                <w:lang w:eastAsia="en-US"/>
              </w:rPr>
              <w:t>νου)</w:t>
            </w:r>
          </w:p>
        </w:tc>
        <w:tc>
          <w:tcPr>
            <w:tcW w:w="703" w:type="dxa"/>
            <w:tcBorders>
              <w:left w:val="single" w:sz="2" w:space="0" w:color="A6A6A6" w:themeColor="background1" w:themeShade="A6"/>
            </w:tcBorders>
            <w:noWrap/>
            <w:vAlign w:val="center"/>
            <w:hideMark/>
          </w:tcPr>
          <w:p w14:paraId="5C46DB8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561E57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-163</w:t>
            </w:r>
          </w:p>
        </w:tc>
      </w:tr>
      <w:tr w:rsidR="00E846AB" w:rsidRPr="004812B8" w14:paraId="08435FA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BD8660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Μείωση συντελεστή φορολόγησης </w:t>
            </w:r>
            <w:proofErr w:type="spellStart"/>
            <w:r w:rsidRPr="004812B8">
              <w:rPr>
                <w:rFonts w:cs="Arial"/>
                <w:color w:val="000000"/>
                <w:sz w:val="16"/>
                <w:szCs w:val="16"/>
                <w:lang w:eastAsia="en-US"/>
              </w:rPr>
              <w:t>τριτέκνων</w:t>
            </w:r>
            <w:proofErr w:type="spellEnd"/>
            <w:r w:rsidRPr="004812B8">
              <w:rPr>
                <w:rFonts w:cs="Arial"/>
                <w:color w:val="000000"/>
                <w:sz w:val="16"/>
                <w:szCs w:val="16"/>
                <w:lang w:eastAsia="en-US"/>
              </w:rPr>
              <w:t xml:space="preserve"> σε 0% για εισοδήματα έως 20.000 ευρώ από το φορολογικό έτος 2027</w:t>
            </w:r>
          </w:p>
        </w:tc>
        <w:tc>
          <w:tcPr>
            <w:tcW w:w="703" w:type="dxa"/>
            <w:tcBorders>
              <w:left w:val="single" w:sz="2" w:space="0" w:color="A6A6A6" w:themeColor="background1" w:themeShade="A6"/>
            </w:tcBorders>
            <w:noWrap/>
            <w:vAlign w:val="center"/>
            <w:hideMark/>
          </w:tcPr>
          <w:p w14:paraId="07CFA54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404D3E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-55</w:t>
            </w:r>
          </w:p>
        </w:tc>
      </w:tr>
      <w:tr w:rsidR="00E846AB" w:rsidRPr="004812B8" w14:paraId="46E2B27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BBA4040" w14:textId="0BF4F3E0"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του κατώτατου μισθού σταδιακά σε 1.000 ευρώ (1.300 ευρώ </w:t>
            </w:r>
            <w:proofErr w:type="spellStart"/>
            <w:r w:rsidRPr="004812B8">
              <w:rPr>
                <w:rFonts w:cs="Arial"/>
                <w:color w:val="000000"/>
                <w:sz w:val="16"/>
                <w:szCs w:val="16"/>
                <w:lang w:eastAsia="en-US"/>
              </w:rPr>
              <w:t>συνυπολογιζομένων</w:t>
            </w:r>
            <w:proofErr w:type="spellEnd"/>
            <w:r w:rsidRPr="004812B8">
              <w:rPr>
                <w:rFonts w:cs="Arial"/>
                <w:color w:val="000000"/>
                <w:sz w:val="16"/>
                <w:szCs w:val="16"/>
                <w:lang w:eastAsia="en-US"/>
              </w:rPr>
              <w:t xml:space="preserve"> και των τριετιών) έως τον Ιανουάριο 2028</w:t>
            </w:r>
          </w:p>
        </w:tc>
        <w:tc>
          <w:tcPr>
            <w:tcW w:w="703" w:type="dxa"/>
            <w:tcBorders>
              <w:left w:val="single" w:sz="2" w:space="0" w:color="A6A6A6" w:themeColor="background1" w:themeShade="A6"/>
            </w:tcBorders>
            <w:noWrap/>
            <w:vAlign w:val="center"/>
          </w:tcPr>
          <w:p w14:paraId="533F86E7" w14:textId="38A56856"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72739D6" w14:textId="6AF0F2F4" w:rsidR="00E846AB" w:rsidRPr="004812B8" w:rsidRDefault="00E846AB" w:rsidP="004302D8">
            <w:pPr>
              <w:spacing w:after="0" w:line="276" w:lineRule="auto"/>
              <w:jc w:val="right"/>
              <w:rPr>
                <w:rFonts w:cs="Arial"/>
                <w:color w:val="000000"/>
                <w:sz w:val="16"/>
                <w:szCs w:val="16"/>
                <w:lang w:eastAsia="en-US"/>
              </w:rPr>
            </w:pPr>
          </w:p>
        </w:tc>
      </w:tr>
      <w:tr w:rsidR="00E846AB" w:rsidRPr="004812B8" w14:paraId="333E838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1E646E5" w14:textId="594CF637" w:rsidR="00E846AB" w:rsidRPr="004812B8" w:rsidRDefault="008119D1" w:rsidP="004302D8">
            <w:pPr>
              <w:spacing w:after="0" w:line="276" w:lineRule="auto"/>
              <w:jc w:val="left"/>
              <w:rPr>
                <w:rFonts w:cs="Arial"/>
                <w:color w:val="000000"/>
                <w:sz w:val="16"/>
                <w:szCs w:val="16"/>
                <w:lang w:eastAsia="en-US"/>
              </w:rPr>
            </w:pPr>
            <w:r>
              <w:rPr>
                <w:rFonts w:cs="Arial"/>
                <w:color w:val="000000"/>
                <w:sz w:val="16"/>
                <w:szCs w:val="16"/>
                <w:lang w:eastAsia="en-US"/>
              </w:rPr>
              <w:t>Α</w:t>
            </w:r>
            <w:r w:rsidR="00E846AB" w:rsidRPr="004812B8">
              <w:rPr>
                <w:rFonts w:cs="Arial"/>
                <w:color w:val="000000"/>
                <w:sz w:val="16"/>
                <w:szCs w:val="16"/>
                <w:lang w:eastAsia="en-US"/>
              </w:rPr>
              <w:t xml:space="preserve">παλλαγή από </w:t>
            </w:r>
            <w:r w:rsidR="003F6A10">
              <w:rPr>
                <w:rFonts w:cs="Arial"/>
                <w:color w:val="000000"/>
                <w:sz w:val="16"/>
                <w:szCs w:val="16"/>
                <w:lang w:eastAsia="en-US"/>
              </w:rPr>
              <w:t xml:space="preserve">τον </w:t>
            </w:r>
            <w:r w:rsidR="00E846AB" w:rsidRPr="004812B8">
              <w:rPr>
                <w:rFonts w:cs="Arial"/>
                <w:color w:val="000000"/>
                <w:sz w:val="16"/>
                <w:szCs w:val="16"/>
                <w:lang w:eastAsia="en-US"/>
              </w:rPr>
              <w:t>φόρο εισοδήματος για φιλοδωρήματα έως 6.000 ευρώ ετησίως (από 300 ευρώ μην</w:t>
            </w:r>
            <w:r w:rsidR="00977700">
              <w:rPr>
                <w:rFonts w:cs="Arial"/>
                <w:color w:val="000000"/>
                <w:sz w:val="16"/>
                <w:szCs w:val="16"/>
                <w:lang w:eastAsia="en-US"/>
              </w:rPr>
              <w:t>ι</w:t>
            </w:r>
            <w:r w:rsidR="00E846AB" w:rsidRPr="004812B8">
              <w:rPr>
                <w:rFonts w:cs="Arial"/>
                <w:color w:val="000000"/>
                <w:sz w:val="16"/>
                <w:szCs w:val="16"/>
                <w:lang w:eastAsia="en-US"/>
              </w:rPr>
              <w:t>α</w:t>
            </w:r>
            <w:r w:rsidR="00977700">
              <w:rPr>
                <w:rFonts w:cs="Arial"/>
                <w:color w:val="000000"/>
                <w:sz w:val="16"/>
                <w:szCs w:val="16"/>
                <w:lang w:eastAsia="en-US"/>
              </w:rPr>
              <w:t>ίως</w:t>
            </w:r>
            <w:r w:rsidR="00E846AB" w:rsidRPr="004812B8">
              <w:rPr>
                <w:rFonts w:cs="Arial"/>
                <w:color w:val="000000"/>
                <w:sz w:val="16"/>
                <w:szCs w:val="16"/>
                <w:lang w:eastAsia="en-US"/>
              </w:rPr>
              <w:t>)</w:t>
            </w:r>
            <w:r>
              <w:rPr>
                <w:rFonts w:cs="Arial"/>
                <w:color w:val="000000"/>
                <w:sz w:val="16"/>
                <w:szCs w:val="16"/>
                <w:lang w:eastAsia="en-US"/>
              </w:rPr>
              <w:t xml:space="preserve"> α</w:t>
            </w:r>
            <w:r w:rsidRPr="004812B8">
              <w:rPr>
                <w:rFonts w:cs="Arial"/>
                <w:color w:val="000000"/>
                <w:sz w:val="16"/>
                <w:szCs w:val="16"/>
                <w:lang w:eastAsia="en-US"/>
              </w:rPr>
              <w:t>πό το φορολογικό έτος 2026</w:t>
            </w:r>
          </w:p>
        </w:tc>
        <w:tc>
          <w:tcPr>
            <w:tcW w:w="703" w:type="dxa"/>
            <w:tcBorders>
              <w:left w:val="single" w:sz="2" w:space="0" w:color="A6A6A6" w:themeColor="background1" w:themeShade="A6"/>
            </w:tcBorders>
            <w:noWrap/>
            <w:vAlign w:val="center"/>
          </w:tcPr>
          <w:p w14:paraId="7A3A7EBA" w14:textId="74AB4D79"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311CA6FA" w14:textId="3CA08216" w:rsidR="00E846AB" w:rsidRPr="004812B8" w:rsidRDefault="00E846AB" w:rsidP="004302D8">
            <w:pPr>
              <w:spacing w:after="0" w:line="276" w:lineRule="auto"/>
              <w:jc w:val="right"/>
              <w:rPr>
                <w:rFonts w:cs="Arial"/>
                <w:color w:val="000000"/>
                <w:sz w:val="16"/>
                <w:szCs w:val="16"/>
                <w:lang w:eastAsia="en-US"/>
              </w:rPr>
            </w:pPr>
          </w:p>
        </w:tc>
      </w:tr>
      <w:tr w:rsidR="00E846AB" w:rsidRPr="004812B8" w14:paraId="4A795878"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048F9E3"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Δημόσιοι</w:t>
            </w:r>
            <w:proofErr w:type="spellEnd"/>
            <w:r w:rsidRPr="004812B8">
              <w:rPr>
                <w:rFonts w:cs="Arial"/>
                <w:b/>
                <w:bCs/>
                <w:color w:val="000000"/>
                <w:sz w:val="16"/>
                <w:szCs w:val="16"/>
                <w:lang w:val="en-US" w:eastAsia="en-US"/>
              </w:rPr>
              <w:t xml:space="preserve"> υπ</w:t>
            </w:r>
            <w:proofErr w:type="spellStart"/>
            <w:r w:rsidRPr="004812B8">
              <w:rPr>
                <w:rFonts w:cs="Arial"/>
                <w:b/>
                <w:bCs/>
                <w:color w:val="000000"/>
                <w:sz w:val="16"/>
                <w:szCs w:val="16"/>
                <w:lang w:val="en-US" w:eastAsia="en-US"/>
              </w:rPr>
              <w:t>άλληλοι</w:t>
            </w:r>
            <w:proofErr w:type="spellEnd"/>
          </w:p>
        </w:tc>
        <w:tc>
          <w:tcPr>
            <w:tcW w:w="703" w:type="dxa"/>
            <w:tcBorders>
              <w:left w:val="single" w:sz="2" w:space="0" w:color="A6A6A6" w:themeColor="background1" w:themeShade="A6"/>
            </w:tcBorders>
            <w:shd w:val="clear" w:color="000000" w:fill="F2F2F2"/>
            <w:noWrap/>
            <w:vAlign w:val="center"/>
          </w:tcPr>
          <w:p w14:paraId="0AA72826" w14:textId="15AAB4FA"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9BBF380" w14:textId="6AC7FFBC"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513FFFBF"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C43E27D" w14:textId="79BEF95D"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Οριζόντια αύξηση μισθών δημ</w:t>
            </w:r>
            <w:r w:rsidR="008119D1">
              <w:rPr>
                <w:rFonts w:cs="Arial"/>
                <w:color w:val="000000"/>
                <w:sz w:val="16"/>
                <w:szCs w:val="16"/>
                <w:lang w:eastAsia="en-US"/>
              </w:rPr>
              <w:t>ο</w:t>
            </w:r>
            <w:r w:rsidRPr="004812B8">
              <w:rPr>
                <w:rFonts w:cs="Arial"/>
                <w:color w:val="000000"/>
                <w:sz w:val="16"/>
                <w:szCs w:val="16"/>
                <w:lang w:eastAsia="en-US"/>
              </w:rPr>
              <w:t>σ</w:t>
            </w:r>
            <w:r w:rsidR="008119D1">
              <w:rPr>
                <w:rFonts w:cs="Arial"/>
                <w:color w:val="000000"/>
                <w:sz w:val="16"/>
                <w:szCs w:val="16"/>
                <w:lang w:eastAsia="en-US"/>
              </w:rPr>
              <w:t>ί</w:t>
            </w:r>
            <w:r w:rsidRPr="004812B8">
              <w:rPr>
                <w:rFonts w:cs="Arial"/>
                <w:color w:val="000000"/>
                <w:sz w:val="16"/>
                <w:szCs w:val="16"/>
                <w:lang w:eastAsia="en-US"/>
              </w:rPr>
              <w:t>ων υπαλλήλων βάσει αύξησης κατώτατου μισθού</w:t>
            </w:r>
          </w:p>
        </w:tc>
        <w:tc>
          <w:tcPr>
            <w:tcW w:w="703" w:type="dxa"/>
            <w:tcBorders>
              <w:left w:val="single" w:sz="2" w:space="0" w:color="A6A6A6" w:themeColor="background1" w:themeShade="A6"/>
            </w:tcBorders>
            <w:noWrap/>
            <w:vAlign w:val="center"/>
            <w:hideMark/>
          </w:tcPr>
          <w:p w14:paraId="4354A8A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1D7074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-382</w:t>
            </w:r>
          </w:p>
        </w:tc>
      </w:tr>
      <w:tr w:rsidR="00E846AB" w:rsidRPr="004812B8" w14:paraId="4A9A180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F431602" w14:textId="4CE8127B" w:rsidR="00E846AB" w:rsidRPr="004812B8" w:rsidRDefault="00E846AB" w:rsidP="004302D8">
            <w:pPr>
              <w:spacing w:after="0" w:line="276" w:lineRule="auto"/>
              <w:jc w:val="left"/>
              <w:rPr>
                <w:rFonts w:cs="Arial"/>
                <w:color w:val="000000"/>
                <w:sz w:val="16"/>
                <w:szCs w:val="16"/>
                <w:lang w:eastAsia="en-US"/>
              </w:rPr>
            </w:pPr>
            <w:r w:rsidRPr="00C62B22">
              <w:rPr>
                <w:rFonts w:cs="Arial"/>
                <w:color w:val="000000"/>
                <w:sz w:val="16"/>
                <w:szCs w:val="16"/>
                <w:lang w:eastAsia="en-US"/>
              </w:rPr>
              <w:t>Θέσπιση ε</w:t>
            </w:r>
            <w:r w:rsidRPr="004812B8">
              <w:rPr>
                <w:rFonts w:cs="Arial"/>
                <w:color w:val="000000"/>
                <w:sz w:val="16"/>
                <w:szCs w:val="16"/>
                <w:lang w:eastAsia="en-US"/>
              </w:rPr>
              <w:t>πιδόματος εορτών Χριστουγέννων (500 ευρώ μικτά) από τον Δεκέμβριο 2027</w:t>
            </w:r>
          </w:p>
        </w:tc>
        <w:tc>
          <w:tcPr>
            <w:tcW w:w="703" w:type="dxa"/>
            <w:tcBorders>
              <w:left w:val="single" w:sz="2" w:space="0" w:color="A6A6A6" w:themeColor="background1" w:themeShade="A6"/>
            </w:tcBorders>
            <w:noWrap/>
            <w:vAlign w:val="center"/>
            <w:hideMark/>
          </w:tcPr>
          <w:p w14:paraId="6BB0197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DCE337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-433</w:t>
            </w:r>
          </w:p>
        </w:tc>
      </w:tr>
      <w:tr w:rsidR="00E846AB" w:rsidRPr="004812B8" w14:paraId="3E540249"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4999C2B"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Συντ</w:t>
            </w:r>
            <w:proofErr w:type="spellEnd"/>
            <w:r w:rsidRPr="004812B8">
              <w:rPr>
                <w:rFonts w:cs="Arial"/>
                <w:b/>
                <w:bCs/>
                <w:color w:val="000000"/>
                <w:sz w:val="16"/>
                <w:szCs w:val="16"/>
                <w:lang w:val="en-US" w:eastAsia="en-US"/>
              </w:rPr>
              <w:t>αξιούχοι</w:t>
            </w:r>
          </w:p>
        </w:tc>
        <w:tc>
          <w:tcPr>
            <w:tcW w:w="703" w:type="dxa"/>
            <w:tcBorders>
              <w:left w:val="single" w:sz="2" w:space="0" w:color="A6A6A6" w:themeColor="background1" w:themeShade="A6"/>
            </w:tcBorders>
            <w:shd w:val="clear" w:color="000000" w:fill="F2F2F2"/>
            <w:noWrap/>
            <w:vAlign w:val="center"/>
          </w:tcPr>
          <w:p w14:paraId="6408D13F" w14:textId="47476AF3"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1503D7F" w14:textId="50EDA107"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EBA4400" w14:textId="77777777" w:rsidTr="007A4F62">
        <w:trPr>
          <w:cantSplit/>
          <w:trHeight w:val="283"/>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vAlign w:val="center"/>
            <w:hideMark/>
          </w:tcPr>
          <w:p w14:paraId="37E8797F" w14:textId="1D4768C0"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της ενίσχυσης στους συνταξιούχους σε 400 ευρώ καθαρά και επέκταση σε μόνιμη βάση από τον Νοέμβριο 2026 στο σύνολο των συνταξιούχων</w:t>
            </w:r>
            <w:r w:rsidR="008119D1">
              <w:rPr>
                <w:rFonts w:cs="Arial"/>
                <w:color w:val="000000"/>
                <w:sz w:val="16"/>
                <w:szCs w:val="16"/>
                <w:lang w:eastAsia="en-US"/>
              </w:rPr>
              <w:t xml:space="preserve"> ηλικίας </w:t>
            </w:r>
            <w:r w:rsidRPr="004812B8">
              <w:rPr>
                <w:rFonts w:cs="Arial"/>
                <w:color w:val="000000"/>
                <w:sz w:val="16"/>
                <w:szCs w:val="16"/>
                <w:lang w:eastAsia="en-US"/>
              </w:rPr>
              <w:t xml:space="preserve">άνω των 65 ετών. Το ίδιο ποσό θα λαμβάνουν οι συνταξιούχοι </w:t>
            </w:r>
            <w:r w:rsidR="008119D1">
              <w:rPr>
                <w:rFonts w:cs="Arial"/>
                <w:color w:val="000000"/>
                <w:sz w:val="16"/>
                <w:szCs w:val="16"/>
                <w:lang w:eastAsia="en-US"/>
              </w:rPr>
              <w:t xml:space="preserve">ηλικίας </w:t>
            </w:r>
            <w:r w:rsidRPr="004812B8">
              <w:rPr>
                <w:rFonts w:cs="Arial"/>
                <w:color w:val="000000"/>
                <w:sz w:val="16"/>
                <w:szCs w:val="16"/>
                <w:lang w:eastAsia="en-US"/>
              </w:rPr>
              <w:t>άνω των 60 ετών οι οποίοι λαμβάνουν μόνο σύνταξη λόγω θανάτου, τα άτομα με αναπηρία και οι ανασφάλιστοι υπερήλικες.</w:t>
            </w:r>
          </w:p>
        </w:tc>
        <w:tc>
          <w:tcPr>
            <w:tcW w:w="703" w:type="dxa"/>
            <w:tcBorders>
              <w:left w:val="single" w:sz="2" w:space="0" w:color="A6A6A6" w:themeColor="background1" w:themeShade="A6"/>
              <w:bottom w:val="single" w:sz="2" w:space="0" w:color="A6A6A6" w:themeColor="background1" w:themeShade="A6"/>
            </w:tcBorders>
            <w:noWrap/>
            <w:vAlign w:val="center"/>
            <w:hideMark/>
          </w:tcPr>
          <w:p w14:paraId="6C89C1D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-301</w:t>
            </w:r>
          </w:p>
        </w:tc>
        <w:tc>
          <w:tcPr>
            <w:tcW w:w="795" w:type="dxa"/>
            <w:tcBorders>
              <w:bottom w:val="single" w:sz="2" w:space="0" w:color="A6A6A6" w:themeColor="background1" w:themeShade="A6"/>
              <w:right w:val="single" w:sz="2" w:space="0" w:color="A6A6A6" w:themeColor="background1" w:themeShade="A6"/>
            </w:tcBorders>
            <w:noWrap/>
            <w:vAlign w:val="center"/>
            <w:hideMark/>
          </w:tcPr>
          <w:p w14:paraId="7BDE6AF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-301</w:t>
            </w:r>
          </w:p>
        </w:tc>
      </w:tr>
      <w:tr w:rsidR="00836498" w:rsidRPr="004812B8" w14:paraId="174956A3" w14:textId="77777777" w:rsidTr="007A4F62">
        <w:trPr>
          <w:cantSplit/>
          <w:trHeight w:val="283"/>
          <w:jc w:val="center"/>
        </w:trPr>
        <w:tc>
          <w:tcPr>
            <w:tcW w:w="7574" w:type="dxa"/>
            <w:tcBorders>
              <w:top w:val="single" w:sz="2" w:space="0" w:color="A6A6A6" w:themeColor="background1" w:themeShade="A6"/>
            </w:tcBorders>
            <w:vAlign w:val="center"/>
          </w:tcPr>
          <w:p w14:paraId="4D270A75" w14:textId="77777777" w:rsidR="00836498" w:rsidRPr="004812B8" w:rsidRDefault="00836498" w:rsidP="004302D8">
            <w:pPr>
              <w:spacing w:after="0" w:line="276" w:lineRule="auto"/>
              <w:jc w:val="left"/>
              <w:rPr>
                <w:rFonts w:cs="Arial"/>
                <w:color w:val="000000"/>
                <w:sz w:val="16"/>
                <w:szCs w:val="16"/>
                <w:lang w:eastAsia="en-US"/>
              </w:rPr>
            </w:pPr>
          </w:p>
        </w:tc>
        <w:tc>
          <w:tcPr>
            <w:tcW w:w="703" w:type="dxa"/>
            <w:tcBorders>
              <w:top w:val="single" w:sz="2" w:space="0" w:color="A6A6A6" w:themeColor="background1" w:themeShade="A6"/>
            </w:tcBorders>
            <w:noWrap/>
            <w:vAlign w:val="center"/>
          </w:tcPr>
          <w:p w14:paraId="6DC91713" w14:textId="77777777" w:rsidR="00836498" w:rsidRPr="004812B8" w:rsidRDefault="00836498" w:rsidP="004302D8">
            <w:pPr>
              <w:spacing w:after="0" w:line="276" w:lineRule="auto"/>
              <w:jc w:val="right"/>
              <w:rPr>
                <w:rFonts w:cs="Arial"/>
                <w:color w:val="000000"/>
                <w:sz w:val="16"/>
                <w:szCs w:val="16"/>
                <w:lang w:val="en-US" w:eastAsia="en-US"/>
              </w:rPr>
            </w:pPr>
          </w:p>
        </w:tc>
        <w:tc>
          <w:tcPr>
            <w:tcW w:w="795" w:type="dxa"/>
            <w:tcBorders>
              <w:top w:val="single" w:sz="2" w:space="0" w:color="A6A6A6" w:themeColor="background1" w:themeShade="A6"/>
            </w:tcBorders>
            <w:noWrap/>
            <w:vAlign w:val="center"/>
          </w:tcPr>
          <w:p w14:paraId="5687154F" w14:textId="77777777" w:rsidR="00836498" w:rsidRPr="004812B8" w:rsidRDefault="00836498" w:rsidP="004302D8">
            <w:pPr>
              <w:spacing w:after="0" w:line="276" w:lineRule="auto"/>
              <w:jc w:val="right"/>
              <w:rPr>
                <w:rFonts w:cs="Arial"/>
                <w:color w:val="000000"/>
                <w:sz w:val="16"/>
                <w:szCs w:val="16"/>
                <w:lang w:val="en-US" w:eastAsia="en-US"/>
              </w:rPr>
            </w:pPr>
          </w:p>
        </w:tc>
      </w:tr>
      <w:tr w:rsidR="00E846AB" w:rsidRPr="004812B8" w14:paraId="1A4C8B0D"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ACF6560" w14:textId="77777777" w:rsidR="00E846AB" w:rsidRPr="004812B8" w:rsidRDefault="00E846AB" w:rsidP="004302D8">
            <w:pPr>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Επ</w:t>
            </w:r>
            <w:proofErr w:type="spellStart"/>
            <w:r w:rsidRPr="004812B8">
              <w:rPr>
                <w:rFonts w:cs="Arial"/>
                <w:b/>
                <w:bCs/>
                <w:color w:val="000000"/>
                <w:sz w:val="16"/>
                <w:szCs w:val="16"/>
                <w:lang w:val="en-US" w:eastAsia="en-US"/>
              </w:rPr>
              <w:t>ιχειρήσεις</w:t>
            </w:r>
            <w:proofErr w:type="spellEnd"/>
          </w:p>
        </w:tc>
        <w:tc>
          <w:tcPr>
            <w:tcW w:w="703" w:type="dxa"/>
            <w:tcBorders>
              <w:left w:val="single" w:sz="2" w:space="0" w:color="A6A6A6" w:themeColor="background1" w:themeShade="A6"/>
            </w:tcBorders>
            <w:shd w:val="clear" w:color="000000" w:fill="F2F2F2"/>
            <w:noWrap/>
            <w:vAlign w:val="center"/>
          </w:tcPr>
          <w:p w14:paraId="3171089D" w14:textId="1326B5C7"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586448DF" w14:textId="19DECB37"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3FF7EC74"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57F24C1" w14:textId="03D4A1C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Σταδιακή κατάργηση του τέλους επιτηδεύματος </w:t>
            </w:r>
            <w:r w:rsidR="008119D1">
              <w:rPr>
                <w:rFonts w:cs="Arial"/>
                <w:color w:val="000000"/>
                <w:sz w:val="16"/>
                <w:szCs w:val="16"/>
                <w:lang w:eastAsia="en-US"/>
              </w:rPr>
              <w:t xml:space="preserve">με αφετηρία </w:t>
            </w:r>
            <w:r w:rsidRPr="004812B8">
              <w:rPr>
                <w:rFonts w:cs="Arial"/>
                <w:color w:val="000000"/>
                <w:sz w:val="16"/>
                <w:szCs w:val="16"/>
                <w:lang w:eastAsia="en-US"/>
              </w:rPr>
              <w:t xml:space="preserve">την </w:t>
            </w:r>
            <w:r w:rsidR="008119D1">
              <w:rPr>
                <w:rFonts w:cs="Arial"/>
                <w:color w:val="000000"/>
                <w:sz w:val="16"/>
                <w:szCs w:val="16"/>
                <w:lang w:eastAsia="en-US"/>
              </w:rPr>
              <w:t>ε</w:t>
            </w:r>
            <w:r w:rsidRPr="004812B8">
              <w:rPr>
                <w:rFonts w:cs="Arial"/>
                <w:color w:val="000000"/>
                <w:sz w:val="16"/>
                <w:szCs w:val="16"/>
                <w:lang w:eastAsia="en-US"/>
              </w:rPr>
              <w:t xml:space="preserve">λληνική </w:t>
            </w:r>
            <w:r w:rsidR="008119D1">
              <w:rPr>
                <w:rFonts w:cs="Arial"/>
                <w:color w:val="000000"/>
                <w:sz w:val="16"/>
                <w:szCs w:val="16"/>
                <w:lang w:eastAsia="en-US"/>
              </w:rPr>
              <w:t>π</w:t>
            </w:r>
            <w:r w:rsidRPr="004812B8">
              <w:rPr>
                <w:rFonts w:cs="Arial"/>
                <w:color w:val="000000"/>
                <w:sz w:val="16"/>
                <w:szCs w:val="16"/>
                <w:lang w:eastAsia="en-US"/>
              </w:rPr>
              <w:t>εριφέρεια και τη Θεσσαλονίκη</w:t>
            </w:r>
          </w:p>
        </w:tc>
        <w:tc>
          <w:tcPr>
            <w:tcW w:w="703" w:type="dxa"/>
            <w:tcBorders>
              <w:left w:val="single" w:sz="2" w:space="0" w:color="A6A6A6" w:themeColor="background1" w:themeShade="A6"/>
            </w:tcBorders>
            <w:noWrap/>
            <w:vAlign w:val="center"/>
            <w:hideMark/>
          </w:tcPr>
          <w:p w14:paraId="79B1A7F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F85ED9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-82</w:t>
            </w:r>
          </w:p>
        </w:tc>
      </w:tr>
      <w:tr w:rsidR="00E846AB" w:rsidRPr="004812B8" w14:paraId="129BC16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53705FE"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Θέσπιση επιταχυνόμενων αποσβέσεων σε μηχανολογικό εξοπλισμό (επηρεάζει δημοσιονομικά τα έτη 2030 και επόμενα)</w:t>
            </w:r>
          </w:p>
        </w:tc>
        <w:tc>
          <w:tcPr>
            <w:tcW w:w="703" w:type="dxa"/>
            <w:tcBorders>
              <w:left w:val="single" w:sz="2" w:space="0" w:color="A6A6A6" w:themeColor="background1" w:themeShade="A6"/>
            </w:tcBorders>
            <w:noWrap/>
            <w:vAlign w:val="center"/>
            <w:hideMark/>
          </w:tcPr>
          <w:p w14:paraId="4AEDB1AC"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BC5E98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E846AB" w:rsidRPr="004812B8" w14:paraId="62EF2A7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C58119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επιστροφής επενδυτικού </w:t>
            </w:r>
            <w:r w:rsidRPr="004812B8">
              <w:rPr>
                <w:rFonts w:cs="Arial"/>
                <w:color w:val="000000"/>
                <w:sz w:val="16"/>
                <w:szCs w:val="16"/>
                <w:lang w:val="en-US" w:eastAsia="en-US"/>
              </w:rPr>
              <w:t>R</w:t>
            </w:r>
            <w:r w:rsidRPr="004812B8">
              <w:rPr>
                <w:rFonts w:cs="Arial"/>
                <w:color w:val="000000"/>
                <w:sz w:val="16"/>
                <w:szCs w:val="16"/>
                <w:lang w:eastAsia="en-US"/>
              </w:rPr>
              <w:t>&amp;</w:t>
            </w:r>
            <w:r w:rsidRPr="004812B8">
              <w:rPr>
                <w:rFonts w:cs="Arial"/>
                <w:color w:val="000000"/>
                <w:sz w:val="16"/>
                <w:szCs w:val="16"/>
                <w:lang w:val="en-US" w:eastAsia="en-US"/>
              </w:rPr>
              <w:t>D</w:t>
            </w:r>
            <w:r w:rsidRPr="004812B8">
              <w:rPr>
                <w:rFonts w:cs="Arial"/>
                <w:color w:val="000000"/>
                <w:sz w:val="16"/>
                <w:szCs w:val="16"/>
                <w:lang w:eastAsia="en-US"/>
              </w:rPr>
              <w:t xml:space="preserve"> </w:t>
            </w:r>
            <w:r w:rsidRPr="004812B8">
              <w:rPr>
                <w:rFonts w:cs="Arial"/>
                <w:color w:val="000000"/>
                <w:sz w:val="16"/>
                <w:szCs w:val="16"/>
                <w:lang w:val="en-US" w:eastAsia="en-US"/>
              </w:rPr>
              <w:t>Clawback</w:t>
            </w:r>
          </w:p>
        </w:tc>
        <w:tc>
          <w:tcPr>
            <w:tcW w:w="703" w:type="dxa"/>
            <w:tcBorders>
              <w:left w:val="single" w:sz="2" w:space="0" w:color="A6A6A6" w:themeColor="background1" w:themeShade="A6"/>
            </w:tcBorders>
            <w:noWrap/>
            <w:vAlign w:val="center"/>
            <w:hideMark/>
          </w:tcPr>
          <w:p w14:paraId="59A8BBE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93C8CB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E846AB" w:rsidRPr="004812B8" w14:paraId="121A04D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C3DC75E" w14:textId="2F752674"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Νέο δανειοδοτικό και </w:t>
            </w:r>
            <w:proofErr w:type="spellStart"/>
            <w:r w:rsidRPr="004812B8">
              <w:rPr>
                <w:rFonts w:cs="Arial"/>
                <w:color w:val="000000"/>
                <w:sz w:val="16"/>
                <w:szCs w:val="16"/>
                <w:lang w:eastAsia="en-US"/>
              </w:rPr>
              <w:t>εγγυοδοτικό</w:t>
            </w:r>
            <w:proofErr w:type="spellEnd"/>
            <w:r w:rsidRPr="004812B8">
              <w:rPr>
                <w:rFonts w:cs="Arial"/>
                <w:color w:val="000000"/>
                <w:sz w:val="16"/>
                <w:szCs w:val="16"/>
                <w:lang w:eastAsia="en-US"/>
              </w:rPr>
              <w:t xml:space="preserve"> πρόγραμμα </w:t>
            </w:r>
            <w:r w:rsidR="0017038F" w:rsidRPr="004812B8">
              <w:rPr>
                <w:rFonts w:cs="Arial"/>
                <w:color w:val="000000"/>
                <w:sz w:val="16"/>
                <w:szCs w:val="16"/>
                <w:lang w:eastAsia="en-US"/>
              </w:rPr>
              <w:t xml:space="preserve">για μικρομεσαίες επιχειρήσεις </w:t>
            </w:r>
            <w:r w:rsidRPr="004812B8">
              <w:rPr>
                <w:rFonts w:cs="Arial"/>
                <w:color w:val="000000"/>
                <w:sz w:val="16"/>
                <w:szCs w:val="16"/>
                <w:lang w:eastAsia="en-US"/>
              </w:rPr>
              <w:t>ύψους 1,5 δισ. ευρώ μέσω της ΕΑΤ</w:t>
            </w:r>
          </w:p>
        </w:tc>
        <w:tc>
          <w:tcPr>
            <w:tcW w:w="703" w:type="dxa"/>
            <w:tcBorders>
              <w:left w:val="single" w:sz="2" w:space="0" w:color="A6A6A6" w:themeColor="background1" w:themeShade="A6"/>
            </w:tcBorders>
            <w:noWrap/>
            <w:vAlign w:val="center"/>
          </w:tcPr>
          <w:p w14:paraId="39161F57" w14:textId="754DD7F9"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20BD1D4E" w14:textId="4F1860FE"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77461F6"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B396FB9" w14:textId="6ED1F535" w:rsidR="00E846AB" w:rsidRPr="004812B8" w:rsidRDefault="00F8182D" w:rsidP="004302D8">
            <w:pPr>
              <w:spacing w:after="0" w:line="276" w:lineRule="auto"/>
              <w:jc w:val="left"/>
              <w:rPr>
                <w:rFonts w:cs="Arial"/>
                <w:b/>
                <w:bCs/>
                <w:color w:val="000000"/>
                <w:sz w:val="16"/>
                <w:szCs w:val="16"/>
                <w:lang w:val="en-US" w:eastAsia="en-US"/>
              </w:rPr>
            </w:pPr>
            <w:r>
              <w:rPr>
                <w:rFonts w:cs="Arial"/>
                <w:b/>
                <w:bCs/>
                <w:color w:val="000000"/>
                <w:sz w:val="16"/>
                <w:szCs w:val="16"/>
                <w:lang w:eastAsia="en-US"/>
              </w:rPr>
              <w:t>Νέες</w:t>
            </w:r>
            <w:r w:rsidR="00E846AB" w:rsidRPr="004812B8">
              <w:rPr>
                <w:rFonts w:cs="Arial"/>
                <w:b/>
                <w:bCs/>
                <w:color w:val="000000"/>
                <w:sz w:val="16"/>
                <w:szCs w:val="16"/>
                <w:lang w:val="en-US" w:eastAsia="en-US"/>
              </w:rPr>
              <w:t xml:space="preserve"> επ</w:t>
            </w:r>
            <w:proofErr w:type="spellStart"/>
            <w:r w:rsidR="00E846AB" w:rsidRPr="004812B8">
              <w:rPr>
                <w:rFonts w:cs="Arial"/>
                <w:b/>
                <w:bCs/>
                <w:color w:val="000000"/>
                <w:sz w:val="16"/>
                <w:szCs w:val="16"/>
                <w:lang w:val="en-US" w:eastAsia="en-US"/>
              </w:rPr>
              <w:t>ενδύσεις</w:t>
            </w:r>
            <w:proofErr w:type="spellEnd"/>
          </w:p>
        </w:tc>
        <w:tc>
          <w:tcPr>
            <w:tcW w:w="703" w:type="dxa"/>
            <w:tcBorders>
              <w:left w:val="single" w:sz="2" w:space="0" w:color="A6A6A6" w:themeColor="background1" w:themeShade="A6"/>
            </w:tcBorders>
            <w:shd w:val="clear" w:color="000000" w:fill="F2F2F2"/>
            <w:noWrap/>
            <w:vAlign w:val="center"/>
          </w:tcPr>
          <w:p w14:paraId="357FD317" w14:textId="6BA52C7D" w:rsidR="00E846AB" w:rsidRPr="004812B8" w:rsidRDefault="00E846AB" w:rsidP="004302D8">
            <w:pPr>
              <w:spacing w:after="0" w:line="276" w:lineRule="auto"/>
              <w:jc w:val="right"/>
              <w:rPr>
                <w:rFonts w:cs="Arial"/>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03D1ECC1" w14:textId="46635448" w:rsidR="00E846AB" w:rsidRPr="004812B8" w:rsidRDefault="00E846AB" w:rsidP="004302D8">
            <w:pPr>
              <w:spacing w:after="0" w:line="276" w:lineRule="auto"/>
              <w:jc w:val="right"/>
              <w:rPr>
                <w:rFonts w:cs="Arial"/>
                <w:color w:val="000000"/>
                <w:sz w:val="16"/>
                <w:szCs w:val="16"/>
                <w:lang w:val="en-US" w:eastAsia="en-US"/>
              </w:rPr>
            </w:pPr>
          </w:p>
        </w:tc>
      </w:tr>
      <w:tr w:rsidR="00E846AB" w:rsidRPr="004812B8" w14:paraId="40F45857"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6DED689"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εθνικού σκέλους προϋπολογισμού δημοσίων επενδύσεων</w:t>
            </w:r>
          </w:p>
        </w:tc>
        <w:tc>
          <w:tcPr>
            <w:tcW w:w="703" w:type="dxa"/>
            <w:tcBorders>
              <w:left w:val="single" w:sz="2" w:space="0" w:color="A6A6A6" w:themeColor="background1" w:themeShade="A6"/>
            </w:tcBorders>
            <w:noWrap/>
            <w:vAlign w:val="center"/>
            <w:hideMark/>
          </w:tcPr>
          <w:p w14:paraId="1DD91A2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-300</w:t>
            </w:r>
          </w:p>
        </w:tc>
        <w:tc>
          <w:tcPr>
            <w:tcW w:w="795" w:type="dxa"/>
            <w:tcBorders>
              <w:right w:val="single" w:sz="2" w:space="0" w:color="A6A6A6" w:themeColor="background1" w:themeShade="A6"/>
            </w:tcBorders>
            <w:noWrap/>
            <w:vAlign w:val="center"/>
            <w:hideMark/>
          </w:tcPr>
          <w:p w14:paraId="2CCC9EC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-400</w:t>
            </w:r>
          </w:p>
        </w:tc>
      </w:tr>
      <w:tr w:rsidR="00E846AB" w:rsidRPr="004812B8" w14:paraId="22DCD2F3"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8EDDAD8" w14:textId="77777777" w:rsidR="00E846AB" w:rsidRPr="004812B8" w:rsidRDefault="00E846AB" w:rsidP="004302D8">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Μέτρα για το στεγαστικό ζήτημα</w:t>
            </w:r>
          </w:p>
        </w:tc>
        <w:tc>
          <w:tcPr>
            <w:tcW w:w="703" w:type="dxa"/>
            <w:tcBorders>
              <w:left w:val="single" w:sz="2" w:space="0" w:color="A6A6A6" w:themeColor="background1" w:themeShade="A6"/>
            </w:tcBorders>
            <w:shd w:val="clear" w:color="000000" w:fill="F2F2F2"/>
            <w:noWrap/>
            <w:vAlign w:val="center"/>
          </w:tcPr>
          <w:p w14:paraId="57F1771F" w14:textId="73CA08AD"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shd w:val="clear" w:color="000000" w:fill="F2F2F2"/>
            <w:noWrap/>
            <w:vAlign w:val="center"/>
          </w:tcPr>
          <w:p w14:paraId="6573B467" w14:textId="3AA8AB8D" w:rsidR="00E846AB" w:rsidRPr="004812B8" w:rsidRDefault="00E846AB" w:rsidP="004302D8">
            <w:pPr>
              <w:spacing w:after="0" w:line="276" w:lineRule="auto"/>
              <w:jc w:val="right"/>
              <w:rPr>
                <w:rFonts w:cs="Arial"/>
                <w:color w:val="000000"/>
                <w:sz w:val="16"/>
                <w:szCs w:val="16"/>
                <w:lang w:eastAsia="en-US"/>
              </w:rPr>
            </w:pPr>
          </w:p>
        </w:tc>
      </w:tr>
      <w:tr w:rsidR="00E846AB" w:rsidRPr="004812B8" w14:paraId="5F7A7A2F"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C956D9A" w14:textId="606DDA43"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Νέο πρόγραμμα «Σπίτι μου ΙΙΙ» με συνολικά κεφάλαια ύψους 2 δισ. ευρώ μέσω της ΕΑΤ</w:t>
            </w:r>
          </w:p>
        </w:tc>
        <w:tc>
          <w:tcPr>
            <w:tcW w:w="703" w:type="dxa"/>
            <w:tcBorders>
              <w:left w:val="single" w:sz="2" w:space="0" w:color="A6A6A6" w:themeColor="background1" w:themeShade="A6"/>
            </w:tcBorders>
            <w:noWrap/>
            <w:vAlign w:val="center"/>
          </w:tcPr>
          <w:p w14:paraId="5B9A5EB2" w14:textId="46E0DCF4"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C2FC3E1" w14:textId="28BBC77D"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57CEF3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8AE490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από το 2027 του ΕΝΦΙΑ σε οικισμούς έως 2.000 κατοίκων και έως 2.200 κατοίκων στη Δυτική Μακεδονία</w:t>
            </w:r>
          </w:p>
        </w:tc>
        <w:tc>
          <w:tcPr>
            <w:tcW w:w="703" w:type="dxa"/>
            <w:tcBorders>
              <w:left w:val="single" w:sz="2" w:space="0" w:color="A6A6A6" w:themeColor="background1" w:themeShade="A6"/>
            </w:tcBorders>
            <w:noWrap/>
            <w:vAlign w:val="center"/>
            <w:hideMark/>
          </w:tcPr>
          <w:p w14:paraId="5135216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E4E862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w:t>
            </w:r>
          </w:p>
        </w:tc>
      </w:tr>
      <w:tr w:rsidR="00E846AB" w:rsidRPr="004812B8" w14:paraId="6D96FC6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4F2E12F" w14:textId="6E1338BF"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φόρου μεταβίβασης σε 15% για </w:t>
            </w:r>
            <w:r w:rsidR="004D7D14">
              <w:rPr>
                <w:rFonts w:cs="Arial"/>
                <w:color w:val="000000"/>
                <w:sz w:val="16"/>
                <w:szCs w:val="16"/>
                <w:lang w:eastAsia="en-US"/>
              </w:rPr>
              <w:t xml:space="preserve">αγορά κατοικίας από </w:t>
            </w:r>
            <w:r w:rsidR="004D7D14" w:rsidRPr="004D7D14">
              <w:rPr>
                <w:rFonts w:cs="Arial"/>
                <w:color w:val="000000"/>
                <w:sz w:val="16"/>
                <w:szCs w:val="16"/>
                <w:lang w:eastAsia="en-US"/>
              </w:rPr>
              <w:t>φορολογικούς κατοίκους</w:t>
            </w:r>
            <w:r w:rsidRPr="004812B8">
              <w:rPr>
                <w:rFonts w:cs="Arial"/>
                <w:color w:val="000000"/>
                <w:sz w:val="16"/>
                <w:szCs w:val="16"/>
                <w:lang w:eastAsia="en-US"/>
              </w:rPr>
              <w:t xml:space="preserve"> τρίτων χωρών</w:t>
            </w:r>
            <w:r w:rsidR="004D7D14">
              <w:rPr>
                <w:rFonts w:cs="Arial"/>
                <w:color w:val="000000"/>
                <w:sz w:val="16"/>
                <w:szCs w:val="16"/>
                <w:lang w:eastAsia="en-US"/>
              </w:rPr>
              <w:t xml:space="preserve"> (εκτός ΕΕ) </w:t>
            </w:r>
            <w:r w:rsidRPr="004812B8">
              <w:rPr>
                <w:rFonts w:cs="Arial"/>
                <w:color w:val="000000"/>
                <w:sz w:val="16"/>
                <w:szCs w:val="16"/>
                <w:lang w:eastAsia="en-US"/>
              </w:rPr>
              <w:t>από τον Ιούλιο 2027</w:t>
            </w:r>
          </w:p>
        </w:tc>
        <w:tc>
          <w:tcPr>
            <w:tcW w:w="703" w:type="dxa"/>
            <w:tcBorders>
              <w:left w:val="single" w:sz="2" w:space="0" w:color="A6A6A6" w:themeColor="background1" w:themeShade="A6"/>
            </w:tcBorders>
            <w:noWrap/>
            <w:vAlign w:val="center"/>
            <w:hideMark/>
          </w:tcPr>
          <w:p w14:paraId="34B5A2B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730FE4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41</w:t>
            </w:r>
          </w:p>
        </w:tc>
      </w:tr>
      <w:tr w:rsidR="00E846AB" w:rsidRPr="004812B8" w14:paraId="33DAA3B0"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45DA766" w14:textId="2DAB053F"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απαλλαγής από τον φόρο των κενών ακινήτων που ενοικιάζονται</w:t>
            </w:r>
            <w:r w:rsidR="00130EF9">
              <w:rPr>
                <w:rFonts w:cs="Arial"/>
                <w:color w:val="000000"/>
                <w:sz w:val="16"/>
                <w:szCs w:val="16"/>
                <w:lang w:eastAsia="en-US"/>
              </w:rPr>
              <w:t xml:space="preserve"> (επηρεάζει δημοσιονομικά το έτος 2028 και τα επόμενα έτη)</w:t>
            </w:r>
          </w:p>
        </w:tc>
        <w:tc>
          <w:tcPr>
            <w:tcW w:w="703" w:type="dxa"/>
            <w:tcBorders>
              <w:left w:val="single" w:sz="2" w:space="0" w:color="A6A6A6" w:themeColor="background1" w:themeShade="A6"/>
            </w:tcBorders>
            <w:noWrap/>
            <w:vAlign w:val="center"/>
            <w:hideMark/>
          </w:tcPr>
          <w:p w14:paraId="27EBE5D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FDE727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E846AB" w:rsidRPr="004812B8" w14:paraId="770D6508"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5C669F5"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Παράταση ισχύος της μείωσης του φόρου εισοδήματος για δαπάνες αναβάθμισης κτηρίων</w:t>
            </w:r>
          </w:p>
        </w:tc>
        <w:tc>
          <w:tcPr>
            <w:tcW w:w="703" w:type="dxa"/>
            <w:tcBorders>
              <w:left w:val="single" w:sz="2" w:space="0" w:color="A6A6A6" w:themeColor="background1" w:themeShade="A6"/>
            </w:tcBorders>
            <w:noWrap/>
            <w:vAlign w:val="center"/>
            <w:hideMark/>
          </w:tcPr>
          <w:p w14:paraId="07DBBFB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457601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w:t>
            </w:r>
          </w:p>
        </w:tc>
      </w:tr>
      <w:tr w:rsidR="00E846AB" w:rsidRPr="004812B8" w14:paraId="03F25EB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7E9E395"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της απαλλαγής ΦΠΑ στα νέα κτήρια</w:t>
            </w:r>
          </w:p>
        </w:tc>
        <w:tc>
          <w:tcPr>
            <w:tcW w:w="703" w:type="dxa"/>
            <w:tcBorders>
              <w:left w:val="single" w:sz="2" w:space="0" w:color="A6A6A6" w:themeColor="background1" w:themeShade="A6"/>
            </w:tcBorders>
            <w:noWrap/>
            <w:vAlign w:val="center"/>
            <w:hideMark/>
          </w:tcPr>
          <w:p w14:paraId="42CCB8C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2D86DA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-18</w:t>
            </w:r>
          </w:p>
        </w:tc>
      </w:tr>
      <w:tr w:rsidR="00E846AB" w:rsidRPr="004812B8" w14:paraId="3A16CD3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428E9FA"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Περιορισμός των νέων </w:t>
            </w:r>
            <w:r w:rsidRPr="004812B8">
              <w:rPr>
                <w:rFonts w:cs="Arial"/>
                <w:color w:val="000000"/>
                <w:sz w:val="16"/>
                <w:szCs w:val="16"/>
                <w:lang w:val="en-US" w:eastAsia="en-US"/>
              </w:rPr>
              <w:t>airbnb</w:t>
            </w:r>
            <w:r w:rsidRPr="004812B8">
              <w:rPr>
                <w:rFonts w:cs="Arial"/>
                <w:color w:val="000000"/>
                <w:sz w:val="16"/>
                <w:szCs w:val="16"/>
                <w:lang w:eastAsia="en-US"/>
              </w:rPr>
              <w:t xml:space="preserve"> στα τρία δημοτικά διαμερίσματα της Αθήνας και στο πρώτο διαμέρισμα Θεσσαλονίκης και για το έτος 2027</w:t>
            </w:r>
          </w:p>
        </w:tc>
        <w:tc>
          <w:tcPr>
            <w:tcW w:w="703" w:type="dxa"/>
            <w:tcBorders>
              <w:left w:val="single" w:sz="2" w:space="0" w:color="A6A6A6" w:themeColor="background1" w:themeShade="A6"/>
            </w:tcBorders>
            <w:noWrap/>
            <w:vAlign w:val="center"/>
          </w:tcPr>
          <w:p w14:paraId="30A4DE95" w14:textId="1D99ABF0"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3FFBCDE6" w14:textId="3B894E9D"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B5E262E"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7CC9174" w14:textId="6119730C" w:rsidR="00E846AB" w:rsidRPr="004812B8" w:rsidRDefault="001B35E6" w:rsidP="004302D8">
            <w:pPr>
              <w:spacing w:after="0" w:line="276" w:lineRule="auto"/>
              <w:jc w:val="left"/>
              <w:rPr>
                <w:rFonts w:cs="Arial"/>
                <w:b/>
                <w:bCs/>
                <w:color w:val="000000"/>
                <w:sz w:val="16"/>
                <w:szCs w:val="16"/>
                <w:lang w:val="en-US" w:eastAsia="en-US"/>
              </w:rPr>
            </w:pPr>
            <w:r>
              <w:rPr>
                <w:rFonts w:cs="Arial"/>
                <w:b/>
                <w:bCs/>
                <w:color w:val="000000"/>
                <w:sz w:val="16"/>
                <w:szCs w:val="16"/>
                <w:lang w:eastAsia="en-US"/>
              </w:rPr>
              <w:t>Μ</w:t>
            </w:r>
            <w:proofErr w:type="spellStart"/>
            <w:r w:rsidR="00E846AB" w:rsidRPr="004812B8">
              <w:rPr>
                <w:rFonts w:cs="Arial"/>
                <w:b/>
                <w:bCs/>
                <w:color w:val="000000"/>
                <w:sz w:val="16"/>
                <w:szCs w:val="16"/>
                <w:lang w:val="en-US" w:eastAsia="en-US"/>
              </w:rPr>
              <w:t>έτρ</w:t>
            </w:r>
            <w:proofErr w:type="spellEnd"/>
            <w:r w:rsidR="00E846AB" w:rsidRPr="004812B8">
              <w:rPr>
                <w:rFonts w:cs="Arial"/>
                <w:b/>
                <w:bCs/>
                <w:color w:val="000000"/>
                <w:sz w:val="16"/>
                <w:szCs w:val="16"/>
                <w:lang w:val="en-US" w:eastAsia="en-US"/>
              </w:rPr>
              <w:t>α</w:t>
            </w:r>
            <w:r>
              <w:rPr>
                <w:rFonts w:cs="Arial"/>
                <w:b/>
                <w:bCs/>
                <w:color w:val="000000"/>
                <w:sz w:val="16"/>
                <w:szCs w:val="16"/>
                <w:lang w:eastAsia="en-US"/>
              </w:rPr>
              <w:t xml:space="preserve"> </w:t>
            </w:r>
            <w:proofErr w:type="spellStart"/>
            <w:r w:rsidR="00E846AB" w:rsidRPr="004812B8">
              <w:rPr>
                <w:rFonts w:cs="Arial"/>
                <w:b/>
                <w:bCs/>
                <w:color w:val="000000"/>
                <w:sz w:val="16"/>
                <w:szCs w:val="16"/>
                <w:lang w:val="en-US" w:eastAsia="en-US"/>
              </w:rPr>
              <w:t>κοινωνικής</w:t>
            </w:r>
            <w:proofErr w:type="spellEnd"/>
            <w:r w:rsidR="00E846AB" w:rsidRPr="004812B8">
              <w:rPr>
                <w:rFonts w:cs="Arial"/>
                <w:b/>
                <w:bCs/>
                <w:color w:val="000000"/>
                <w:sz w:val="16"/>
                <w:szCs w:val="16"/>
                <w:lang w:val="en-US" w:eastAsia="en-US"/>
              </w:rPr>
              <w:t xml:space="preserve"> π</w:t>
            </w:r>
            <w:proofErr w:type="spellStart"/>
            <w:r w:rsidR="00E846AB" w:rsidRPr="004812B8">
              <w:rPr>
                <w:rFonts w:cs="Arial"/>
                <w:b/>
                <w:bCs/>
                <w:color w:val="000000"/>
                <w:sz w:val="16"/>
                <w:szCs w:val="16"/>
                <w:lang w:val="en-US" w:eastAsia="en-US"/>
              </w:rPr>
              <w:t>ολιτικής</w:t>
            </w:r>
            <w:proofErr w:type="spellEnd"/>
          </w:p>
        </w:tc>
        <w:tc>
          <w:tcPr>
            <w:tcW w:w="703" w:type="dxa"/>
            <w:tcBorders>
              <w:left w:val="single" w:sz="2" w:space="0" w:color="A6A6A6" w:themeColor="background1" w:themeShade="A6"/>
            </w:tcBorders>
            <w:shd w:val="clear" w:color="000000" w:fill="F2F2F2"/>
            <w:noWrap/>
            <w:vAlign w:val="center"/>
          </w:tcPr>
          <w:p w14:paraId="1DF4BF06" w14:textId="7C801EB5"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5150FF47" w14:textId="2B65D3EE"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670C6242"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5EB6EF4" w14:textId="23CDAC6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Ειδικός επενδυτικός λογαριασμός για βρέφη</w:t>
            </w:r>
            <w:r w:rsidR="0009752A">
              <w:rPr>
                <w:rFonts w:cs="Arial"/>
                <w:color w:val="000000"/>
                <w:sz w:val="16"/>
                <w:szCs w:val="16"/>
                <w:lang w:eastAsia="en-US"/>
              </w:rPr>
              <w:t xml:space="preserve"> (Κ</w:t>
            </w:r>
            <w:r w:rsidRPr="004812B8">
              <w:rPr>
                <w:rFonts w:cs="Arial"/>
                <w:color w:val="000000"/>
                <w:sz w:val="16"/>
                <w:szCs w:val="16"/>
                <w:lang w:eastAsia="en-US"/>
              </w:rPr>
              <w:t>ουμπαράς για τη Νέα Γενιά</w:t>
            </w:r>
            <w:r w:rsidR="0009752A">
              <w:rPr>
                <w:rFonts w:cs="Arial"/>
                <w:color w:val="000000"/>
                <w:sz w:val="16"/>
                <w:szCs w:val="16"/>
                <w:lang w:eastAsia="en-US"/>
              </w:rPr>
              <w:t xml:space="preserve">) με </w:t>
            </w:r>
            <w:r w:rsidRPr="004812B8">
              <w:rPr>
                <w:rFonts w:cs="Arial"/>
                <w:color w:val="000000"/>
                <w:sz w:val="16"/>
                <w:szCs w:val="16"/>
                <w:lang w:eastAsia="en-US"/>
              </w:rPr>
              <w:t>κρατική συνεισφορά έως 1.200 ευρώ ετησίως</w:t>
            </w:r>
          </w:p>
        </w:tc>
        <w:tc>
          <w:tcPr>
            <w:tcW w:w="703" w:type="dxa"/>
            <w:tcBorders>
              <w:left w:val="single" w:sz="2" w:space="0" w:color="A6A6A6" w:themeColor="background1" w:themeShade="A6"/>
            </w:tcBorders>
            <w:noWrap/>
            <w:vAlign w:val="center"/>
            <w:hideMark/>
          </w:tcPr>
          <w:p w14:paraId="440C61F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A179DC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-55</w:t>
            </w:r>
          </w:p>
        </w:tc>
      </w:tr>
      <w:tr w:rsidR="00E846AB" w:rsidRPr="004812B8" w14:paraId="20F2675A"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1227A0E"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Τιμαριθμοποίηση αναπηρικών επιδομάτων (ΟΠΕΚΑ και </w:t>
            </w:r>
            <w:r w:rsidRPr="004812B8">
              <w:rPr>
                <w:rFonts w:cs="Arial"/>
                <w:color w:val="000000"/>
                <w:sz w:val="16"/>
                <w:szCs w:val="16"/>
                <w:lang w:val="en-US" w:eastAsia="en-US"/>
              </w:rPr>
              <w:t>e</w:t>
            </w:r>
            <w:r w:rsidRPr="004812B8">
              <w:rPr>
                <w:rFonts w:cs="Arial"/>
                <w:color w:val="000000"/>
                <w:sz w:val="16"/>
                <w:szCs w:val="16"/>
                <w:lang w:eastAsia="en-US"/>
              </w:rPr>
              <w:t>-ΕΦΚΑ)</w:t>
            </w:r>
          </w:p>
        </w:tc>
        <w:tc>
          <w:tcPr>
            <w:tcW w:w="703" w:type="dxa"/>
            <w:tcBorders>
              <w:left w:val="single" w:sz="2" w:space="0" w:color="A6A6A6" w:themeColor="background1" w:themeShade="A6"/>
            </w:tcBorders>
            <w:noWrap/>
            <w:vAlign w:val="center"/>
            <w:hideMark/>
          </w:tcPr>
          <w:p w14:paraId="02B1638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A42D50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-47</w:t>
            </w:r>
          </w:p>
        </w:tc>
      </w:tr>
      <w:tr w:rsidR="00E846AB" w:rsidRPr="004812B8" w14:paraId="3FDAC0A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E73A5F7"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w:t>
            </w:r>
            <w:r w:rsidRPr="004812B8">
              <w:rPr>
                <w:rFonts w:cs="Arial"/>
                <w:color w:val="000000"/>
                <w:sz w:val="16"/>
                <w:szCs w:val="16"/>
                <w:lang w:val="en-US" w:eastAsia="en-US"/>
              </w:rPr>
              <w:t>voucher</w:t>
            </w:r>
            <w:r w:rsidRPr="004812B8">
              <w:rPr>
                <w:rFonts w:cs="Arial"/>
                <w:color w:val="000000"/>
                <w:sz w:val="16"/>
                <w:szCs w:val="16"/>
                <w:lang w:eastAsia="en-US"/>
              </w:rPr>
              <w:t xml:space="preserve"> βρεφονηπιακών σταθμών κατά 10% και αλλαγή εισοδηματικών ορίων</w:t>
            </w:r>
          </w:p>
        </w:tc>
        <w:tc>
          <w:tcPr>
            <w:tcW w:w="703" w:type="dxa"/>
            <w:tcBorders>
              <w:left w:val="single" w:sz="2" w:space="0" w:color="A6A6A6" w:themeColor="background1" w:themeShade="A6"/>
            </w:tcBorders>
            <w:noWrap/>
            <w:vAlign w:val="center"/>
            <w:hideMark/>
          </w:tcPr>
          <w:p w14:paraId="05B2A60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1986EA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-37</w:t>
            </w:r>
          </w:p>
        </w:tc>
      </w:tr>
      <w:tr w:rsidR="00E846AB" w:rsidRPr="004812B8" w14:paraId="111FC0F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61DD6C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επιδόματος γέννησης πολυτέκνων κατά 1.000 ευρώ ανά τέκνο</w:t>
            </w:r>
          </w:p>
        </w:tc>
        <w:tc>
          <w:tcPr>
            <w:tcW w:w="703" w:type="dxa"/>
            <w:tcBorders>
              <w:left w:val="single" w:sz="2" w:space="0" w:color="A6A6A6" w:themeColor="background1" w:themeShade="A6"/>
            </w:tcBorders>
            <w:noWrap/>
            <w:vAlign w:val="center"/>
            <w:hideMark/>
          </w:tcPr>
          <w:p w14:paraId="01C48F4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c>
          <w:tcPr>
            <w:tcW w:w="795" w:type="dxa"/>
            <w:tcBorders>
              <w:right w:val="single" w:sz="2" w:space="0" w:color="A6A6A6" w:themeColor="background1" w:themeShade="A6"/>
            </w:tcBorders>
            <w:noWrap/>
            <w:vAlign w:val="center"/>
            <w:hideMark/>
          </w:tcPr>
          <w:p w14:paraId="6CB905C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r>
      <w:tr w:rsidR="00E846AB" w:rsidRPr="004812B8" w14:paraId="120C00DA"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A39D51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Φορολογική προστασία </w:t>
            </w:r>
            <w:proofErr w:type="spellStart"/>
            <w:r w:rsidRPr="004812B8">
              <w:rPr>
                <w:rFonts w:cs="Arial"/>
                <w:color w:val="000000"/>
                <w:sz w:val="16"/>
                <w:szCs w:val="16"/>
                <w:lang w:eastAsia="en-US"/>
              </w:rPr>
              <w:t>μονογονεϊκότητας</w:t>
            </w:r>
            <w:proofErr w:type="spellEnd"/>
            <w:r w:rsidRPr="004812B8">
              <w:rPr>
                <w:rFonts w:cs="Arial"/>
                <w:color w:val="000000"/>
                <w:sz w:val="16"/>
                <w:szCs w:val="16"/>
                <w:lang w:eastAsia="en-US"/>
              </w:rPr>
              <w:t xml:space="preserve"> (για το εξαρτώμενο τέκνο δεν συνυπολογίζονται εισοδήματα από συντάξεις λόγω θανάτου)</w:t>
            </w:r>
          </w:p>
        </w:tc>
        <w:tc>
          <w:tcPr>
            <w:tcW w:w="703" w:type="dxa"/>
            <w:tcBorders>
              <w:left w:val="single" w:sz="2" w:space="0" w:color="A6A6A6" w:themeColor="background1" w:themeShade="A6"/>
            </w:tcBorders>
            <w:noWrap/>
            <w:vAlign w:val="center"/>
            <w:hideMark/>
          </w:tcPr>
          <w:p w14:paraId="67AF95C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6122B1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w:t>
            </w:r>
          </w:p>
        </w:tc>
      </w:tr>
      <w:tr w:rsidR="00E846AB" w:rsidRPr="004812B8" w14:paraId="528951E6" w14:textId="77777777" w:rsidTr="00A263D7">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1896975" w14:textId="77777777" w:rsidR="00E846AB" w:rsidRPr="004812B8" w:rsidRDefault="00E846AB" w:rsidP="004302D8">
            <w:pPr>
              <w:spacing w:after="0" w:line="276" w:lineRule="auto"/>
              <w:jc w:val="left"/>
              <w:rPr>
                <w:rFonts w:cs="Arial"/>
                <w:color w:val="000000"/>
                <w:sz w:val="16"/>
                <w:szCs w:val="16"/>
                <w:lang w:val="en-US" w:eastAsia="en-US"/>
              </w:rPr>
            </w:pPr>
            <w:proofErr w:type="spellStart"/>
            <w:r w:rsidRPr="004812B8">
              <w:rPr>
                <w:rFonts w:cs="Arial"/>
                <w:color w:val="000000"/>
                <w:sz w:val="16"/>
                <w:szCs w:val="16"/>
                <w:lang w:val="en-US" w:eastAsia="en-US"/>
              </w:rPr>
              <w:t>Αύξηση</w:t>
            </w:r>
            <w:proofErr w:type="spellEnd"/>
            <w:r w:rsidRPr="004812B8">
              <w:rPr>
                <w:rFonts w:cs="Arial"/>
                <w:color w:val="000000"/>
                <w:sz w:val="16"/>
                <w:szCs w:val="16"/>
                <w:lang w:val="en-US" w:eastAsia="en-US"/>
              </w:rPr>
              <w:t xml:space="preserve"> απ</w:t>
            </w:r>
            <w:proofErr w:type="spellStart"/>
            <w:r w:rsidRPr="004812B8">
              <w:rPr>
                <w:rFonts w:cs="Arial"/>
                <w:color w:val="000000"/>
                <w:sz w:val="16"/>
                <w:szCs w:val="16"/>
                <w:lang w:val="en-US" w:eastAsia="en-US"/>
              </w:rPr>
              <w:t>οζημίωσης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σίτισης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φοιτητών</w:t>
            </w:r>
            <w:proofErr w:type="spellEnd"/>
          </w:p>
        </w:tc>
        <w:tc>
          <w:tcPr>
            <w:tcW w:w="703" w:type="dxa"/>
            <w:tcBorders>
              <w:left w:val="single" w:sz="2" w:space="0" w:color="A6A6A6" w:themeColor="background1" w:themeShade="A6"/>
            </w:tcBorders>
            <w:noWrap/>
            <w:vAlign w:val="center"/>
            <w:hideMark/>
          </w:tcPr>
          <w:p w14:paraId="3F9FAB8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B846E5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-27</w:t>
            </w:r>
          </w:p>
        </w:tc>
      </w:tr>
      <w:tr w:rsidR="00E846AB" w:rsidRPr="004812B8" w14:paraId="40A83067" w14:textId="77777777" w:rsidTr="00A263D7">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7917C62F" w14:textId="0FD8EB78"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Α.</w:t>
            </w:r>
            <w:r w:rsidR="00977700">
              <w:rPr>
                <w:rFonts w:cs="Arial"/>
                <w:b/>
                <w:bCs/>
                <w:color w:val="000000"/>
                <w:sz w:val="16"/>
                <w:szCs w:val="16"/>
                <w:lang w:val="en-US" w:eastAsia="en-US"/>
              </w:rPr>
              <w:tab/>
            </w:r>
            <w:r w:rsidRPr="004812B8">
              <w:rPr>
                <w:rFonts w:cs="Arial"/>
                <w:b/>
                <w:bCs/>
                <w:color w:val="000000"/>
                <w:sz w:val="16"/>
                <w:szCs w:val="16"/>
                <w:lang w:val="en-US" w:eastAsia="en-US"/>
              </w:rPr>
              <w:t>Σύνολο</w:t>
            </w:r>
          </w:p>
        </w:tc>
        <w:tc>
          <w:tcPr>
            <w:tcW w:w="703" w:type="dxa"/>
            <w:tcBorders>
              <w:left w:val="single" w:sz="2" w:space="0" w:color="A6A6A6" w:themeColor="background1" w:themeShade="A6"/>
            </w:tcBorders>
            <w:shd w:val="clear" w:color="000000" w:fill="D9D9D9"/>
            <w:noWrap/>
            <w:vAlign w:val="center"/>
            <w:hideMark/>
          </w:tcPr>
          <w:p w14:paraId="201AECEA"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-605</w:t>
            </w:r>
          </w:p>
        </w:tc>
        <w:tc>
          <w:tcPr>
            <w:tcW w:w="795" w:type="dxa"/>
            <w:tcBorders>
              <w:right w:val="single" w:sz="2" w:space="0" w:color="A6A6A6" w:themeColor="background1" w:themeShade="A6"/>
            </w:tcBorders>
            <w:shd w:val="clear" w:color="000000" w:fill="D9D9D9"/>
            <w:noWrap/>
            <w:vAlign w:val="center"/>
            <w:hideMark/>
          </w:tcPr>
          <w:p w14:paraId="43FF9FF4"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-2.267</w:t>
            </w:r>
          </w:p>
        </w:tc>
      </w:tr>
      <w:tr w:rsidR="00E846AB" w:rsidRPr="004812B8" w14:paraId="0B4EBC83" w14:textId="77777777" w:rsidTr="00A263D7">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0F55B451" w14:textId="1D207A47" w:rsidR="00E846AB" w:rsidRPr="004812B8" w:rsidRDefault="00E846AB" w:rsidP="004302D8">
            <w:pPr>
              <w:tabs>
                <w:tab w:val="left" w:pos="284"/>
              </w:tabs>
              <w:spacing w:after="0" w:line="276" w:lineRule="auto"/>
              <w:jc w:val="left"/>
              <w:rPr>
                <w:rFonts w:cs="Arial"/>
                <w:b/>
                <w:bCs/>
                <w:color w:val="000000"/>
                <w:sz w:val="16"/>
                <w:szCs w:val="16"/>
                <w:lang w:eastAsia="en-US"/>
              </w:rPr>
            </w:pPr>
            <w:r w:rsidRPr="004812B8">
              <w:rPr>
                <w:rFonts w:cs="Arial"/>
                <w:b/>
                <w:bCs/>
                <w:color w:val="000000"/>
                <w:sz w:val="16"/>
                <w:szCs w:val="16"/>
                <w:lang w:eastAsia="en-US"/>
              </w:rPr>
              <w:t>Β.</w:t>
            </w:r>
            <w:r w:rsidR="00977700">
              <w:rPr>
                <w:rFonts w:cs="Arial"/>
                <w:b/>
                <w:bCs/>
                <w:color w:val="000000"/>
                <w:sz w:val="16"/>
                <w:szCs w:val="16"/>
                <w:lang w:eastAsia="en-US"/>
              </w:rPr>
              <w:tab/>
            </w:r>
            <w:r w:rsidRPr="004812B8">
              <w:rPr>
                <w:rFonts w:cs="Arial"/>
                <w:b/>
                <w:bCs/>
                <w:color w:val="000000"/>
                <w:sz w:val="16"/>
                <w:szCs w:val="16"/>
                <w:lang w:eastAsia="en-US"/>
              </w:rPr>
              <w:t>Παρεμβάσεις που έχουν θεσμοθετηθεί έως τον Σεπτέμβριο 2026</w:t>
            </w:r>
          </w:p>
        </w:tc>
        <w:tc>
          <w:tcPr>
            <w:tcW w:w="703" w:type="dxa"/>
            <w:tcBorders>
              <w:left w:val="single" w:sz="2" w:space="0" w:color="A6A6A6" w:themeColor="background1" w:themeShade="A6"/>
            </w:tcBorders>
            <w:shd w:val="clear" w:color="000000" w:fill="D5DCE4"/>
            <w:noWrap/>
            <w:vAlign w:val="center"/>
          </w:tcPr>
          <w:p w14:paraId="65F3332F" w14:textId="27ABE7DA" w:rsidR="00E846AB" w:rsidRPr="004812B8" w:rsidRDefault="00E846AB" w:rsidP="004302D8">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D5DCE4"/>
            <w:noWrap/>
            <w:vAlign w:val="center"/>
          </w:tcPr>
          <w:p w14:paraId="3DFF6EE9" w14:textId="5A27105F" w:rsidR="00E846AB" w:rsidRPr="004812B8" w:rsidRDefault="00E846AB" w:rsidP="004302D8">
            <w:pPr>
              <w:spacing w:after="0" w:line="276" w:lineRule="auto"/>
              <w:jc w:val="right"/>
              <w:rPr>
                <w:rFonts w:cs="Arial"/>
                <w:b/>
                <w:bCs/>
                <w:color w:val="000000"/>
                <w:sz w:val="16"/>
                <w:szCs w:val="16"/>
                <w:lang w:eastAsia="en-US"/>
              </w:rPr>
            </w:pPr>
          </w:p>
        </w:tc>
      </w:tr>
      <w:tr w:rsidR="00E846AB" w:rsidRPr="004812B8" w14:paraId="691928E5"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6A2953A"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Συντ</w:t>
            </w:r>
            <w:proofErr w:type="spellEnd"/>
            <w:r w:rsidRPr="004812B8">
              <w:rPr>
                <w:rFonts w:cs="Arial"/>
                <w:b/>
                <w:bCs/>
                <w:color w:val="000000"/>
                <w:sz w:val="16"/>
                <w:szCs w:val="16"/>
                <w:lang w:val="en-US" w:eastAsia="en-US"/>
              </w:rPr>
              <w:t>αξιούχοι</w:t>
            </w:r>
          </w:p>
        </w:tc>
        <w:tc>
          <w:tcPr>
            <w:tcW w:w="703" w:type="dxa"/>
            <w:tcBorders>
              <w:left w:val="single" w:sz="2" w:space="0" w:color="A6A6A6" w:themeColor="background1" w:themeShade="A6"/>
            </w:tcBorders>
            <w:shd w:val="clear" w:color="000000" w:fill="F2F2F2"/>
            <w:noWrap/>
            <w:vAlign w:val="center"/>
          </w:tcPr>
          <w:p w14:paraId="0643AF49" w14:textId="2183215A"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6DA8357F" w14:textId="08EA59C9"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6967896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542B86E" w14:textId="6EE3FEE6"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συντάξεων βάσει πληθωρισμού και ΑΕΠ χωρίς συμψηφισμό </w:t>
            </w:r>
            <w:r w:rsidR="00E9014E">
              <w:rPr>
                <w:rFonts w:cs="Arial"/>
                <w:color w:val="000000"/>
                <w:sz w:val="16"/>
                <w:szCs w:val="16"/>
                <w:lang w:eastAsia="en-US"/>
              </w:rPr>
              <w:t xml:space="preserve">της </w:t>
            </w:r>
            <w:r w:rsidRPr="004812B8">
              <w:rPr>
                <w:rFonts w:cs="Arial"/>
                <w:color w:val="000000"/>
                <w:sz w:val="16"/>
                <w:szCs w:val="16"/>
                <w:lang w:eastAsia="en-US"/>
              </w:rPr>
              <w:t>προσωπικής διαφοράς (με 50% συμψηφισμό το 2026)</w:t>
            </w:r>
          </w:p>
        </w:tc>
        <w:tc>
          <w:tcPr>
            <w:tcW w:w="703" w:type="dxa"/>
            <w:tcBorders>
              <w:left w:val="single" w:sz="2" w:space="0" w:color="A6A6A6" w:themeColor="background1" w:themeShade="A6"/>
            </w:tcBorders>
            <w:noWrap/>
            <w:vAlign w:val="center"/>
            <w:hideMark/>
          </w:tcPr>
          <w:p w14:paraId="6BAA024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-565</w:t>
            </w:r>
          </w:p>
        </w:tc>
        <w:tc>
          <w:tcPr>
            <w:tcW w:w="795" w:type="dxa"/>
            <w:tcBorders>
              <w:right w:val="single" w:sz="2" w:space="0" w:color="A6A6A6" w:themeColor="background1" w:themeShade="A6"/>
            </w:tcBorders>
            <w:noWrap/>
            <w:vAlign w:val="center"/>
            <w:hideMark/>
          </w:tcPr>
          <w:p w14:paraId="7425CE4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-1.372</w:t>
            </w:r>
          </w:p>
        </w:tc>
      </w:tr>
      <w:tr w:rsidR="00E846AB" w:rsidRPr="004812B8" w14:paraId="4FFE1F1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41022BE" w14:textId="11E3825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Ενίσχυση 300 ευρώ καθαρά σε συνταξιούχους</w:t>
            </w:r>
            <w:r w:rsidR="0009752A">
              <w:rPr>
                <w:rFonts w:cs="Arial"/>
                <w:color w:val="000000"/>
                <w:sz w:val="16"/>
                <w:szCs w:val="16"/>
                <w:lang w:eastAsia="en-US"/>
              </w:rPr>
              <w:t xml:space="preserve"> ηλικίας</w:t>
            </w:r>
            <w:r w:rsidRPr="004812B8">
              <w:rPr>
                <w:rFonts w:cs="Arial"/>
                <w:color w:val="000000"/>
                <w:sz w:val="16"/>
                <w:szCs w:val="16"/>
                <w:lang w:eastAsia="en-US"/>
              </w:rPr>
              <w:t xml:space="preserve"> άνω των 65 ετών (60 ετών, εφόσον λαμβάνουν μόνο σύνταξη λόγω θανάτου) με διευρυμένα εισοδηματικά κριτήρια (85% των συνταξιούχων),</w:t>
            </w:r>
            <w:r w:rsidR="0009752A">
              <w:rPr>
                <w:rFonts w:cs="Arial"/>
                <w:color w:val="000000"/>
                <w:sz w:val="16"/>
                <w:szCs w:val="16"/>
                <w:lang w:eastAsia="en-US"/>
              </w:rPr>
              <w:t xml:space="preserve"> σε</w:t>
            </w:r>
            <w:r w:rsidRPr="004812B8">
              <w:rPr>
                <w:rFonts w:cs="Arial"/>
                <w:color w:val="000000"/>
                <w:sz w:val="16"/>
                <w:szCs w:val="16"/>
                <w:lang w:eastAsia="en-US"/>
              </w:rPr>
              <w:t xml:space="preserve"> δικαιούχους αναπηρικών συντάξεων και επιδομάτων ανεξαρτήτως ηλικίας καθώς και </w:t>
            </w:r>
            <w:r w:rsidR="0009752A">
              <w:rPr>
                <w:rFonts w:cs="Arial"/>
                <w:color w:val="000000"/>
                <w:sz w:val="16"/>
                <w:szCs w:val="16"/>
                <w:lang w:eastAsia="en-US"/>
              </w:rPr>
              <w:t xml:space="preserve">σε </w:t>
            </w:r>
            <w:r w:rsidRPr="004812B8">
              <w:rPr>
                <w:rFonts w:cs="Arial"/>
                <w:color w:val="000000"/>
                <w:sz w:val="16"/>
                <w:szCs w:val="16"/>
                <w:lang w:eastAsia="en-US"/>
              </w:rPr>
              <w:t>ανασφάλιστους υπερήλικες (1,9 εκατ. δικαιούχοι)</w:t>
            </w:r>
            <w:r w:rsidR="00E9014E">
              <w:rPr>
                <w:rFonts w:cs="Arial"/>
                <w:color w:val="000000"/>
                <w:sz w:val="16"/>
                <w:szCs w:val="16"/>
                <w:lang w:eastAsia="en-US"/>
              </w:rPr>
              <w:t>. Αναφέρεται το κόστος του αρχικού μέτρου. Το μέτρο επεκτείνεται σε όλους τους συνταξιούχους ηλικίας άνω των 65 ετών, με επιπλέον κόστος 301 εκατ. ευρώ, όπως αποτυπώνεται στις νέες παρεμβάσεις ανωτέρω.</w:t>
            </w:r>
          </w:p>
        </w:tc>
        <w:tc>
          <w:tcPr>
            <w:tcW w:w="703" w:type="dxa"/>
            <w:tcBorders>
              <w:left w:val="single" w:sz="2" w:space="0" w:color="A6A6A6" w:themeColor="background1" w:themeShade="A6"/>
            </w:tcBorders>
            <w:noWrap/>
            <w:vAlign w:val="center"/>
            <w:hideMark/>
          </w:tcPr>
          <w:p w14:paraId="3A11AE7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-578</w:t>
            </w:r>
          </w:p>
        </w:tc>
        <w:tc>
          <w:tcPr>
            <w:tcW w:w="795" w:type="dxa"/>
            <w:tcBorders>
              <w:right w:val="single" w:sz="2" w:space="0" w:color="A6A6A6" w:themeColor="background1" w:themeShade="A6"/>
            </w:tcBorders>
            <w:noWrap/>
            <w:vAlign w:val="center"/>
            <w:hideMark/>
          </w:tcPr>
          <w:p w14:paraId="535DC93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-578</w:t>
            </w:r>
          </w:p>
        </w:tc>
      </w:tr>
      <w:tr w:rsidR="00E846AB" w:rsidRPr="004812B8" w14:paraId="37853D26"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2FBD82C"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μείωσης 50% στις συντάξεις λόγω θανάτου μετά την πάροδο τριετίας</w:t>
            </w:r>
          </w:p>
        </w:tc>
        <w:tc>
          <w:tcPr>
            <w:tcW w:w="703" w:type="dxa"/>
            <w:tcBorders>
              <w:left w:val="single" w:sz="2" w:space="0" w:color="A6A6A6" w:themeColor="background1" w:themeShade="A6"/>
            </w:tcBorders>
            <w:noWrap/>
            <w:vAlign w:val="center"/>
            <w:hideMark/>
          </w:tcPr>
          <w:p w14:paraId="72A104D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w:t>
            </w:r>
          </w:p>
        </w:tc>
        <w:tc>
          <w:tcPr>
            <w:tcW w:w="795" w:type="dxa"/>
            <w:tcBorders>
              <w:right w:val="single" w:sz="2" w:space="0" w:color="A6A6A6" w:themeColor="background1" w:themeShade="A6"/>
            </w:tcBorders>
            <w:noWrap/>
            <w:vAlign w:val="center"/>
            <w:hideMark/>
          </w:tcPr>
          <w:p w14:paraId="2644C6A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-48</w:t>
            </w:r>
          </w:p>
        </w:tc>
      </w:tr>
      <w:tr w:rsidR="00E846AB" w:rsidRPr="004812B8" w14:paraId="51081CFA"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D879DCB" w14:textId="77777777" w:rsidR="00E846AB" w:rsidRPr="004812B8" w:rsidRDefault="00E846AB" w:rsidP="004302D8">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Μισθωτοί, ελεύθεροι επαγγελματίες και αγρότες</w:t>
            </w:r>
          </w:p>
        </w:tc>
        <w:tc>
          <w:tcPr>
            <w:tcW w:w="703" w:type="dxa"/>
            <w:tcBorders>
              <w:left w:val="single" w:sz="2" w:space="0" w:color="A6A6A6" w:themeColor="background1" w:themeShade="A6"/>
            </w:tcBorders>
            <w:shd w:val="clear" w:color="000000" w:fill="F2F2F2"/>
            <w:noWrap/>
            <w:vAlign w:val="center"/>
          </w:tcPr>
          <w:p w14:paraId="26BD370F" w14:textId="1A2A678F" w:rsidR="00E846AB" w:rsidRPr="004812B8" w:rsidRDefault="00E846AB" w:rsidP="004302D8">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F2F2F2"/>
            <w:noWrap/>
            <w:vAlign w:val="center"/>
          </w:tcPr>
          <w:p w14:paraId="43F60AC6" w14:textId="3EA34F6A" w:rsidR="00E846AB" w:rsidRPr="004812B8" w:rsidRDefault="00E846AB" w:rsidP="004302D8">
            <w:pPr>
              <w:spacing w:after="0" w:line="276" w:lineRule="auto"/>
              <w:jc w:val="right"/>
              <w:rPr>
                <w:rFonts w:cs="Arial"/>
                <w:b/>
                <w:bCs/>
                <w:color w:val="000000"/>
                <w:sz w:val="16"/>
                <w:szCs w:val="16"/>
                <w:lang w:eastAsia="en-US"/>
              </w:rPr>
            </w:pPr>
          </w:p>
        </w:tc>
      </w:tr>
      <w:tr w:rsidR="00E846AB" w:rsidRPr="004812B8" w14:paraId="28A3E46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F4C94D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φόρου εισοδήματος φυσικών προσώπων (μεταρρύθμιση του έτους 2026)</w:t>
            </w:r>
          </w:p>
        </w:tc>
        <w:tc>
          <w:tcPr>
            <w:tcW w:w="703" w:type="dxa"/>
            <w:tcBorders>
              <w:left w:val="single" w:sz="2" w:space="0" w:color="A6A6A6" w:themeColor="background1" w:themeShade="A6"/>
            </w:tcBorders>
            <w:noWrap/>
            <w:vAlign w:val="center"/>
            <w:hideMark/>
          </w:tcPr>
          <w:p w14:paraId="77F7A74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-1.218</w:t>
            </w:r>
          </w:p>
        </w:tc>
        <w:tc>
          <w:tcPr>
            <w:tcW w:w="795" w:type="dxa"/>
            <w:tcBorders>
              <w:right w:val="single" w:sz="2" w:space="0" w:color="A6A6A6" w:themeColor="background1" w:themeShade="A6"/>
            </w:tcBorders>
            <w:noWrap/>
            <w:vAlign w:val="center"/>
            <w:hideMark/>
          </w:tcPr>
          <w:p w14:paraId="72D9CD3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-1.620</w:t>
            </w:r>
          </w:p>
        </w:tc>
      </w:tr>
      <w:tr w:rsidR="00E846AB" w:rsidRPr="004812B8" w14:paraId="43420CA2" w14:textId="77777777" w:rsidTr="00226C76">
        <w:trPr>
          <w:cantSplit/>
          <w:trHeight w:val="283"/>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vAlign w:val="center"/>
            <w:hideMark/>
          </w:tcPr>
          <w:p w14:paraId="327DCFEF"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Αναπροσαρμογή και εξορθολογισμός συστήματος τεκμηρίων διαβίωσης</w:t>
            </w:r>
          </w:p>
        </w:tc>
        <w:tc>
          <w:tcPr>
            <w:tcW w:w="703" w:type="dxa"/>
            <w:tcBorders>
              <w:left w:val="single" w:sz="2" w:space="0" w:color="A6A6A6" w:themeColor="background1" w:themeShade="A6"/>
              <w:bottom w:val="single" w:sz="2" w:space="0" w:color="A6A6A6" w:themeColor="background1" w:themeShade="A6"/>
            </w:tcBorders>
            <w:noWrap/>
            <w:vAlign w:val="center"/>
            <w:hideMark/>
          </w:tcPr>
          <w:p w14:paraId="1F9EC41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c>
          <w:tcPr>
            <w:tcW w:w="795" w:type="dxa"/>
            <w:tcBorders>
              <w:bottom w:val="single" w:sz="2" w:space="0" w:color="A6A6A6" w:themeColor="background1" w:themeShade="A6"/>
              <w:right w:val="single" w:sz="2" w:space="0" w:color="A6A6A6" w:themeColor="background1" w:themeShade="A6"/>
            </w:tcBorders>
            <w:noWrap/>
            <w:vAlign w:val="center"/>
            <w:hideMark/>
          </w:tcPr>
          <w:p w14:paraId="28D6608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r>
      <w:tr w:rsidR="0020217D" w:rsidRPr="004812B8" w14:paraId="43835622" w14:textId="77777777" w:rsidTr="00226C76">
        <w:trPr>
          <w:cantSplit/>
          <w:trHeight w:val="283"/>
          <w:jc w:val="center"/>
        </w:trPr>
        <w:tc>
          <w:tcPr>
            <w:tcW w:w="7574" w:type="dxa"/>
            <w:tcBorders>
              <w:top w:val="single" w:sz="2" w:space="0" w:color="A6A6A6" w:themeColor="background1" w:themeShade="A6"/>
            </w:tcBorders>
            <w:vAlign w:val="center"/>
          </w:tcPr>
          <w:p w14:paraId="06AA1742" w14:textId="77777777" w:rsidR="0020217D" w:rsidRPr="004812B8" w:rsidRDefault="0020217D" w:rsidP="004302D8">
            <w:pPr>
              <w:spacing w:after="0" w:line="276" w:lineRule="auto"/>
              <w:jc w:val="left"/>
              <w:rPr>
                <w:rFonts w:cs="Arial"/>
                <w:color w:val="000000"/>
                <w:sz w:val="16"/>
                <w:szCs w:val="16"/>
                <w:lang w:eastAsia="en-US"/>
              </w:rPr>
            </w:pPr>
          </w:p>
        </w:tc>
        <w:tc>
          <w:tcPr>
            <w:tcW w:w="703" w:type="dxa"/>
            <w:tcBorders>
              <w:top w:val="single" w:sz="2" w:space="0" w:color="A6A6A6" w:themeColor="background1" w:themeShade="A6"/>
            </w:tcBorders>
            <w:noWrap/>
            <w:vAlign w:val="center"/>
          </w:tcPr>
          <w:p w14:paraId="464AE75D"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tcBorders>
              <w:top w:val="single" w:sz="2" w:space="0" w:color="A6A6A6" w:themeColor="background1" w:themeShade="A6"/>
            </w:tcBorders>
            <w:noWrap/>
            <w:vAlign w:val="center"/>
          </w:tcPr>
          <w:p w14:paraId="429AB0F4"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511D0E8C" w14:textId="77777777" w:rsidTr="00226C76">
        <w:trPr>
          <w:cantSplit/>
          <w:trHeight w:val="283"/>
          <w:jc w:val="center"/>
        </w:trPr>
        <w:tc>
          <w:tcPr>
            <w:tcW w:w="7574" w:type="dxa"/>
            <w:vAlign w:val="center"/>
          </w:tcPr>
          <w:p w14:paraId="2490B3FE"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5E55E03D"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1F8875D4"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6EDDACA1" w14:textId="77777777" w:rsidTr="00226C76">
        <w:trPr>
          <w:cantSplit/>
          <w:trHeight w:val="283"/>
          <w:jc w:val="center"/>
        </w:trPr>
        <w:tc>
          <w:tcPr>
            <w:tcW w:w="7574" w:type="dxa"/>
            <w:vAlign w:val="center"/>
          </w:tcPr>
          <w:p w14:paraId="0BD6D707"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4C03E1FD"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4C017476"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7D7A3709" w14:textId="77777777" w:rsidTr="00226C76">
        <w:trPr>
          <w:cantSplit/>
          <w:trHeight w:val="283"/>
          <w:jc w:val="center"/>
        </w:trPr>
        <w:tc>
          <w:tcPr>
            <w:tcW w:w="7574" w:type="dxa"/>
            <w:vAlign w:val="center"/>
          </w:tcPr>
          <w:p w14:paraId="6868B5A2"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140D05E2"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52A77682"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0398A6AE" w14:textId="77777777" w:rsidTr="00226C76">
        <w:trPr>
          <w:cantSplit/>
          <w:trHeight w:val="283"/>
          <w:jc w:val="center"/>
        </w:trPr>
        <w:tc>
          <w:tcPr>
            <w:tcW w:w="7574" w:type="dxa"/>
            <w:vAlign w:val="center"/>
          </w:tcPr>
          <w:p w14:paraId="47D1D03E"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572EB483"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35CFE533" w14:textId="77777777" w:rsidR="0020217D" w:rsidRPr="004812B8" w:rsidRDefault="0020217D" w:rsidP="004302D8">
            <w:pPr>
              <w:spacing w:after="0" w:line="276" w:lineRule="auto"/>
              <w:jc w:val="right"/>
              <w:rPr>
                <w:rFonts w:cs="Arial"/>
                <w:color w:val="000000"/>
                <w:sz w:val="16"/>
                <w:szCs w:val="16"/>
                <w:lang w:val="en-US" w:eastAsia="en-US"/>
              </w:rPr>
            </w:pPr>
          </w:p>
        </w:tc>
      </w:tr>
      <w:tr w:rsidR="00E846AB" w:rsidRPr="004812B8" w14:paraId="051ED92F"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57EB8AC7"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Δημόσιοι</w:t>
            </w:r>
            <w:proofErr w:type="spellEnd"/>
            <w:r w:rsidRPr="004812B8">
              <w:rPr>
                <w:rFonts w:cs="Arial"/>
                <w:b/>
                <w:bCs/>
                <w:color w:val="000000"/>
                <w:sz w:val="16"/>
                <w:szCs w:val="16"/>
                <w:lang w:val="en-US" w:eastAsia="en-US"/>
              </w:rPr>
              <w:t xml:space="preserve"> υπ</w:t>
            </w:r>
            <w:proofErr w:type="spellStart"/>
            <w:r w:rsidRPr="004812B8">
              <w:rPr>
                <w:rFonts w:cs="Arial"/>
                <w:b/>
                <w:bCs/>
                <w:color w:val="000000"/>
                <w:sz w:val="16"/>
                <w:szCs w:val="16"/>
                <w:lang w:val="en-US" w:eastAsia="en-US"/>
              </w:rPr>
              <w:t>άλληλοι</w:t>
            </w:r>
            <w:proofErr w:type="spellEnd"/>
          </w:p>
        </w:tc>
        <w:tc>
          <w:tcPr>
            <w:tcW w:w="703" w:type="dxa"/>
            <w:tcBorders>
              <w:left w:val="single" w:sz="2" w:space="0" w:color="A6A6A6" w:themeColor="background1" w:themeShade="A6"/>
            </w:tcBorders>
            <w:shd w:val="clear" w:color="000000" w:fill="F2F2F2"/>
            <w:noWrap/>
            <w:vAlign w:val="center"/>
          </w:tcPr>
          <w:p w14:paraId="0237CBAA" w14:textId="3926AA20"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318CE44B" w14:textId="67D38874"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014332B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B7E9294" w14:textId="3B5D7F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Οριζόντια αύξηση μισθών δημ</w:t>
            </w:r>
            <w:r w:rsidR="0009752A">
              <w:rPr>
                <w:rFonts w:cs="Arial"/>
                <w:color w:val="000000"/>
                <w:sz w:val="16"/>
                <w:szCs w:val="16"/>
                <w:lang w:eastAsia="en-US"/>
              </w:rPr>
              <w:t>ο</w:t>
            </w:r>
            <w:r w:rsidRPr="004812B8">
              <w:rPr>
                <w:rFonts w:cs="Arial"/>
                <w:color w:val="000000"/>
                <w:sz w:val="16"/>
                <w:szCs w:val="16"/>
                <w:lang w:eastAsia="en-US"/>
              </w:rPr>
              <w:t>σ</w:t>
            </w:r>
            <w:r w:rsidR="0009752A">
              <w:rPr>
                <w:rFonts w:cs="Arial"/>
                <w:color w:val="000000"/>
                <w:sz w:val="16"/>
                <w:szCs w:val="16"/>
                <w:lang w:eastAsia="en-US"/>
              </w:rPr>
              <w:t>ί</w:t>
            </w:r>
            <w:r w:rsidRPr="004812B8">
              <w:rPr>
                <w:rFonts w:cs="Arial"/>
                <w:color w:val="000000"/>
                <w:sz w:val="16"/>
                <w:szCs w:val="16"/>
                <w:lang w:eastAsia="en-US"/>
              </w:rPr>
              <w:t>ων υπαλλήλων βάσει αύξησης κατώτατου μισθού</w:t>
            </w:r>
          </w:p>
        </w:tc>
        <w:tc>
          <w:tcPr>
            <w:tcW w:w="703" w:type="dxa"/>
            <w:tcBorders>
              <w:left w:val="single" w:sz="2" w:space="0" w:color="A6A6A6" w:themeColor="background1" w:themeShade="A6"/>
            </w:tcBorders>
            <w:noWrap/>
            <w:vAlign w:val="center"/>
            <w:hideMark/>
          </w:tcPr>
          <w:p w14:paraId="11C9FB9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-358</w:t>
            </w:r>
          </w:p>
        </w:tc>
        <w:tc>
          <w:tcPr>
            <w:tcW w:w="795" w:type="dxa"/>
            <w:tcBorders>
              <w:right w:val="single" w:sz="2" w:space="0" w:color="A6A6A6" w:themeColor="background1" w:themeShade="A6"/>
            </w:tcBorders>
            <w:noWrap/>
            <w:vAlign w:val="center"/>
            <w:hideMark/>
          </w:tcPr>
          <w:p w14:paraId="0CC51F0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-358</w:t>
            </w:r>
          </w:p>
        </w:tc>
      </w:tr>
      <w:tr w:rsidR="00E846AB" w:rsidRPr="004812B8" w14:paraId="68483F1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9FD9005" w14:textId="18E35A3E"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του μισθολογίου των Ενόπλων Δυνάμεων (καθαρό κόστος μετά από</w:t>
            </w:r>
            <w:r w:rsidR="0009752A">
              <w:rPr>
                <w:rFonts w:cs="Arial"/>
                <w:color w:val="000000"/>
                <w:sz w:val="16"/>
                <w:szCs w:val="16"/>
                <w:lang w:eastAsia="en-US"/>
              </w:rPr>
              <w:t xml:space="preserve"> απο</w:t>
            </w:r>
            <w:r w:rsidRPr="004812B8">
              <w:rPr>
                <w:rFonts w:cs="Arial"/>
                <w:color w:val="000000"/>
                <w:sz w:val="16"/>
                <w:szCs w:val="16"/>
                <w:lang w:eastAsia="en-US"/>
              </w:rPr>
              <w:t>χωρήσεις και</w:t>
            </w:r>
            <w:r w:rsidR="0009752A">
              <w:rPr>
                <w:rFonts w:cs="Arial"/>
                <w:color w:val="000000"/>
                <w:sz w:val="16"/>
                <w:szCs w:val="16"/>
                <w:lang w:eastAsia="en-US"/>
              </w:rPr>
              <w:t xml:space="preserve"> από την </w:t>
            </w:r>
            <w:r w:rsidRPr="004812B8">
              <w:rPr>
                <w:rFonts w:cs="Arial"/>
                <w:color w:val="000000"/>
                <w:sz w:val="16"/>
                <w:szCs w:val="16"/>
                <w:lang w:eastAsia="en-US"/>
              </w:rPr>
              <w:t xml:space="preserve">καταβολή αναδρομικών από </w:t>
            </w:r>
            <w:r w:rsidR="0009752A">
              <w:rPr>
                <w:rFonts w:cs="Arial"/>
                <w:color w:val="000000"/>
                <w:sz w:val="16"/>
                <w:szCs w:val="16"/>
                <w:lang w:eastAsia="en-US"/>
              </w:rPr>
              <w:t xml:space="preserve">τον </w:t>
            </w:r>
            <w:r w:rsidRPr="004812B8">
              <w:rPr>
                <w:rFonts w:cs="Arial"/>
                <w:color w:val="000000"/>
                <w:sz w:val="16"/>
                <w:szCs w:val="16"/>
                <w:lang w:eastAsia="en-US"/>
              </w:rPr>
              <w:t>Οκτώβριο 2025)</w:t>
            </w:r>
          </w:p>
        </w:tc>
        <w:tc>
          <w:tcPr>
            <w:tcW w:w="703" w:type="dxa"/>
            <w:tcBorders>
              <w:left w:val="single" w:sz="2" w:space="0" w:color="A6A6A6" w:themeColor="background1" w:themeShade="A6"/>
            </w:tcBorders>
            <w:noWrap/>
            <w:vAlign w:val="center"/>
            <w:hideMark/>
          </w:tcPr>
          <w:p w14:paraId="5F8AB4C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-106</w:t>
            </w:r>
          </w:p>
        </w:tc>
        <w:tc>
          <w:tcPr>
            <w:tcW w:w="795" w:type="dxa"/>
            <w:tcBorders>
              <w:right w:val="single" w:sz="2" w:space="0" w:color="A6A6A6" w:themeColor="background1" w:themeShade="A6"/>
            </w:tcBorders>
            <w:noWrap/>
            <w:vAlign w:val="center"/>
            <w:hideMark/>
          </w:tcPr>
          <w:p w14:paraId="67454A8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-85</w:t>
            </w:r>
          </w:p>
        </w:tc>
      </w:tr>
      <w:tr w:rsidR="00E846AB" w:rsidRPr="004812B8" w14:paraId="194B1F10"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6A8EB03"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της αποζημίωσης των οπλιτών από 8,8 ευρώ σε 50 έως 100 ευρώ</w:t>
            </w:r>
          </w:p>
        </w:tc>
        <w:tc>
          <w:tcPr>
            <w:tcW w:w="703" w:type="dxa"/>
            <w:tcBorders>
              <w:left w:val="single" w:sz="2" w:space="0" w:color="A6A6A6" w:themeColor="background1" w:themeShade="A6"/>
            </w:tcBorders>
            <w:noWrap/>
            <w:vAlign w:val="center"/>
            <w:hideMark/>
          </w:tcPr>
          <w:p w14:paraId="094C988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c>
          <w:tcPr>
            <w:tcW w:w="795" w:type="dxa"/>
            <w:tcBorders>
              <w:right w:val="single" w:sz="2" w:space="0" w:color="A6A6A6" w:themeColor="background1" w:themeShade="A6"/>
            </w:tcBorders>
            <w:noWrap/>
            <w:vAlign w:val="center"/>
            <w:hideMark/>
          </w:tcPr>
          <w:p w14:paraId="5A841CA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E846AB" w:rsidRPr="004812B8" w14:paraId="54A8CA7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1F362B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του μισθολογίου των Σωμάτων Ασφαλείας (ΕΛΑΣ, ΠΣ, ΛΣ - ΕΛΑΚΤ)</w:t>
            </w:r>
          </w:p>
        </w:tc>
        <w:tc>
          <w:tcPr>
            <w:tcW w:w="703" w:type="dxa"/>
            <w:tcBorders>
              <w:left w:val="single" w:sz="2" w:space="0" w:color="A6A6A6" w:themeColor="background1" w:themeShade="A6"/>
            </w:tcBorders>
            <w:noWrap/>
            <w:vAlign w:val="center"/>
            <w:hideMark/>
          </w:tcPr>
          <w:p w14:paraId="211F896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-127</w:t>
            </w:r>
          </w:p>
        </w:tc>
        <w:tc>
          <w:tcPr>
            <w:tcW w:w="795" w:type="dxa"/>
            <w:tcBorders>
              <w:right w:val="single" w:sz="2" w:space="0" w:color="A6A6A6" w:themeColor="background1" w:themeShade="A6"/>
            </w:tcBorders>
            <w:noWrap/>
            <w:vAlign w:val="center"/>
            <w:hideMark/>
          </w:tcPr>
          <w:p w14:paraId="51E8379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-127</w:t>
            </w:r>
          </w:p>
        </w:tc>
      </w:tr>
      <w:tr w:rsidR="00E846AB" w:rsidRPr="004812B8" w14:paraId="02A5ACD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A6CC6D8"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των αποδοχών των υπαλλήλων του Υπουργείου Εξωτερικών</w:t>
            </w:r>
          </w:p>
        </w:tc>
        <w:tc>
          <w:tcPr>
            <w:tcW w:w="703" w:type="dxa"/>
            <w:tcBorders>
              <w:left w:val="single" w:sz="2" w:space="0" w:color="A6A6A6" w:themeColor="background1" w:themeShade="A6"/>
            </w:tcBorders>
            <w:noWrap/>
            <w:vAlign w:val="center"/>
            <w:hideMark/>
          </w:tcPr>
          <w:p w14:paraId="6A15377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w:t>
            </w:r>
          </w:p>
        </w:tc>
        <w:tc>
          <w:tcPr>
            <w:tcW w:w="795" w:type="dxa"/>
            <w:tcBorders>
              <w:right w:val="single" w:sz="2" w:space="0" w:color="A6A6A6" w:themeColor="background1" w:themeShade="A6"/>
            </w:tcBorders>
            <w:noWrap/>
            <w:vAlign w:val="center"/>
            <w:hideMark/>
          </w:tcPr>
          <w:p w14:paraId="4AFDB8C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w:t>
            </w:r>
          </w:p>
        </w:tc>
      </w:tr>
      <w:tr w:rsidR="00E846AB" w:rsidRPr="004812B8" w14:paraId="2F1151A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8E57194"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Αναγνώριση μισθολογικά </w:t>
            </w:r>
            <w:r w:rsidRPr="004812B8">
              <w:rPr>
                <w:rFonts w:cs="Arial"/>
                <w:color w:val="000000"/>
                <w:sz w:val="16"/>
                <w:szCs w:val="16"/>
                <w:lang w:val="en-US" w:eastAsia="en-US"/>
              </w:rPr>
              <w:t>integrated</w:t>
            </w:r>
            <w:r w:rsidRPr="004812B8">
              <w:rPr>
                <w:rFonts w:cs="Arial"/>
                <w:color w:val="000000"/>
                <w:sz w:val="16"/>
                <w:szCs w:val="16"/>
                <w:lang w:eastAsia="en-US"/>
              </w:rPr>
              <w:t xml:space="preserve"> </w:t>
            </w:r>
            <w:r w:rsidRPr="004812B8">
              <w:rPr>
                <w:rFonts w:cs="Arial"/>
                <w:color w:val="000000"/>
                <w:sz w:val="16"/>
                <w:szCs w:val="16"/>
                <w:lang w:val="en-US" w:eastAsia="en-US"/>
              </w:rPr>
              <w:t>master</w:t>
            </w:r>
            <w:r w:rsidRPr="004812B8">
              <w:rPr>
                <w:rFonts w:cs="Arial"/>
                <w:color w:val="000000"/>
                <w:sz w:val="16"/>
                <w:szCs w:val="16"/>
                <w:lang w:eastAsia="en-US"/>
              </w:rPr>
              <w:t xml:space="preserve"> του Πολυτεχνείου και λοιπών Πανεπιστημιακών Σχολών με πενταετή κύκλο σπουδών</w:t>
            </w:r>
          </w:p>
        </w:tc>
        <w:tc>
          <w:tcPr>
            <w:tcW w:w="703" w:type="dxa"/>
            <w:tcBorders>
              <w:left w:val="single" w:sz="2" w:space="0" w:color="A6A6A6" w:themeColor="background1" w:themeShade="A6"/>
            </w:tcBorders>
            <w:noWrap/>
            <w:vAlign w:val="center"/>
            <w:hideMark/>
          </w:tcPr>
          <w:p w14:paraId="054305B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w:t>
            </w:r>
          </w:p>
        </w:tc>
        <w:tc>
          <w:tcPr>
            <w:tcW w:w="795" w:type="dxa"/>
            <w:tcBorders>
              <w:right w:val="single" w:sz="2" w:space="0" w:color="A6A6A6" w:themeColor="background1" w:themeShade="A6"/>
            </w:tcBorders>
            <w:noWrap/>
            <w:vAlign w:val="center"/>
            <w:hideMark/>
          </w:tcPr>
          <w:p w14:paraId="773E60B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w:t>
            </w:r>
          </w:p>
        </w:tc>
      </w:tr>
      <w:tr w:rsidR="00E846AB" w:rsidRPr="004812B8" w14:paraId="1172292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6755EC9"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Θέσπιση αφορολόγητου επιδόματος βιβλιοθήκης μελών ΔΕΠ και ερευνητών</w:t>
            </w:r>
          </w:p>
        </w:tc>
        <w:tc>
          <w:tcPr>
            <w:tcW w:w="703" w:type="dxa"/>
            <w:tcBorders>
              <w:left w:val="single" w:sz="2" w:space="0" w:color="A6A6A6" w:themeColor="background1" w:themeShade="A6"/>
            </w:tcBorders>
            <w:noWrap/>
            <w:vAlign w:val="center"/>
            <w:hideMark/>
          </w:tcPr>
          <w:p w14:paraId="1FC221E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w:t>
            </w:r>
          </w:p>
        </w:tc>
        <w:tc>
          <w:tcPr>
            <w:tcW w:w="795" w:type="dxa"/>
            <w:tcBorders>
              <w:right w:val="single" w:sz="2" w:space="0" w:color="A6A6A6" w:themeColor="background1" w:themeShade="A6"/>
            </w:tcBorders>
            <w:noWrap/>
            <w:vAlign w:val="center"/>
            <w:hideMark/>
          </w:tcPr>
          <w:p w14:paraId="759C8A4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w:t>
            </w:r>
          </w:p>
        </w:tc>
      </w:tr>
      <w:tr w:rsidR="00E846AB" w:rsidRPr="004812B8" w14:paraId="14123279"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3A08E5C"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Στεγ</w:t>
            </w:r>
            <w:proofErr w:type="spellEnd"/>
            <w:r w:rsidRPr="004812B8">
              <w:rPr>
                <w:rFonts w:cs="Arial"/>
                <w:b/>
                <w:bCs/>
                <w:color w:val="000000"/>
                <w:sz w:val="16"/>
                <w:szCs w:val="16"/>
                <w:lang w:val="en-US" w:eastAsia="en-US"/>
              </w:rPr>
              <w:t xml:space="preserve">αστικό - </w:t>
            </w:r>
            <w:proofErr w:type="spellStart"/>
            <w:r w:rsidRPr="004812B8">
              <w:rPr>
                <w:rFonts w:cs="Arial"/>
                <w:b/>
                <w:bCs/>
                <w:color w:val="000000"/>
                <w:sz w:val="16"/>
                <w:szCs w:val="16"/>
                <w:lang w:val="en-US" w:eastAsia="en-US"/>
              </w:rPr>
              <w:t>ιδιοκτήτες</w:t>
            </w:r>
            <w:proofErr w:type="spellEnd"/>
            <w:r w:rsidRPr="004812B8">
              <w:rPr>
                <w:rFonts w:cs="Arial"/>
                <w:b/>
                <w:bCs/>
                <w:color w:val="000000"/>
                <w:sz w:val="16"/>
                <w:szCs w:val="16"/>
                <w:lang w:val="en-US" w:eastAsia="en-US"/>
              </w:rPr>
              <w:t xml:space="preserve"> - </w:t>
            </w:r>
            <w:proofErr w:type="spellStart"/>
            <w:r w:rsidRPr="004812B8">
              <w:rPr>
                <w:rFonts w:cs="Arial"/>
                <w:b/>
                <w:bCs/>
                <w:color w:val="000000"/>
                <w:sz w:val="16"/>
                <w:szCs w:val="16"/>
                <w:lang w:val="en-US" w:eastAsia="en-US"/>
              </w:rPr>
              <w:t>ενοικι</w:t>
            </w:r>
            <w:proofErr w:type="spellEnd"/>
            <w:r w:rsidRPr="004812B8">
              <w:rPr>
                <w:rFonts w:cs="Arial"/>
                <w:b/>
                <w:bCs/>
                <w:color w:val="000000"/>
                <w:sz w:val="16"/>
                <w:szCs w:val="16"/>
                <w:lang w:val="en-US" w:eastAsia="en-US"/>
              </w:rPr>
              <w:t>αστές</w:t>
            </w:r>
          </w:p>
        </w:tc>
        <w:tc>
          <w:tcPr>
            <w:tcW w:w="703" w:type="dxa"/>
            <w:tcBorders>
              <w:left w:val="single" w:sz="2" w:space="0" w:color="A6A6A6" w:themeColor="background1" w:themeShade="A6"/>
            </w:tcBorders>
            <w:shd w:val="clear" w:color="000000" w:fill="F2F2F2"/>
            <w:noWrap/>
            <w:vAlign w:val="center"/>
          </w:tcPr>
          <w:p w14:paraId="2182422E" w14:textId="4E0E86FB"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1D31A1A0" w14:textId="1B595B41"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A85622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926FA0A"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Επιστροφή ενοικίου με διευρυμένα εισοδηματικά κριτήρια και καταβολή διπλής επιστροφής ενοικίου σε εκπαιδευτικούς, ιατρούς και νοσηλευτές στην επαρχία</w:t>
            </w:r>
          </w:p>
        </w:tc>
        <w:tc>
          <w:tcPr>
            <w:tcW w:w="703" w:type="dxa"/>
            <w:tcBorders>
              <w:left w:val="single" w:sz="2" w:space="0" w:color="A6A6A6" w:themeColor="background1" w:themeShade="A6"/>
            </w:tcBorders>
            <w:noWrap/>
            <w:vAlign w:val="center"/>
            <w:hideMark/>
          </w:tcPr>
          <w:p w14:paraId="0753205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-238</w:t>
            </w:r>
          </w:p>
        </w:tc>
        <w:tc>
          <w:tcPr>
            <w:tcW w:w="795" w:type="dxa"/>
            <w:tcBorders>
              <w:right w:val="single" w:sz="2" w:space="0" w:color="A6A6A6" w:themeColor="background1" w:themeShade="A6"/>
            </w:tcBorders>
            <w:noWrap/>
            <w:vAlign w:val="center"/>
            <w:hideMark/>
          </w:tcPr>
          <w:p w14:paraId="1B0B45E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-233</w:t>
            </w:r>
          </w:p>
        </w:tc>
      </w:tr>
      <w:tr w:rsidR="00E846AB" w:rsidRPr="004812B8" w14:paraId="550DC00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A13EEC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από το 2027 του ΕΝΦΙΑ σε οικισμούς έως 1.500 κατοίκων</w:t>
            </w:r>
          </w:p>
        </w:tc>
        <w:tc>
          <w:tcPr>
            <w:tcW w:w="703" w:type="dxa"/>
            <w:tcBorders>
              <w:left w:val="single" w:sz="2" w:space="0" w:color="A6A6A6" w:themeColor="background1" w:themeShade="A6"/>
            </w:tcBorders>
            <w:noWrap/>
            <w:vAlign w:val="center"/>
            <w:hideMark/>
          </w:tcPr>
          <w:p w14:paraId="39BB218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-39</w:t>
            </w:r>
          </w:p>
        </w:tc>
        <w:tc>
          <w:tcPr>
            <w:tcW w:w="795" w:type="dxa"/>
            <w:tcBorders>
              <w:right w:val="single" w:sz="2" w:space="0" w:color="A6A6A6" w:themeColor="background1" w:themeShade="A6"/>
            </w:tcBorders>
            <w:noWrap/>
            <w:vAlign w:val="center"/>
            <w:hideMark/>
          </w:tcPr>
          <w:p w14:paraId="5B011EF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-78</w:t>
            </w:r>
          </w:p>
        </w:tc>
      </w:tr>
      <w:tr w:rsidR="00E846AB" w:rsidRPr="004812B8" w14:paraId="4DF92C8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B8D6FC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φόρου εισοδήματος ενοικίων ακινήτων με εισαγωγή ενδιάμεσου συντελεστή 25%</w:t>
            </w:r>
          </w:p>
        </w:tc>
        <w:tc>
          <w:tcPr>
            <w:tcW w:w="703" w:type="dxa"/>
            <w:tcBorders>
              <w:left w:val="single" w:sz="2" w:space="0" w:color="A6A6A6" w:themeColor="background1" w:themeShade="A6"/>
            </w:tcBorders>
            <w:noWrap/>
            <w:vAlign w:val="center"/>
            <w:hideMark/>
          </w:tcPr>
          <w:p w14:paraId="4C0673A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E8F63EC"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-90</w:t>
            </w:r>
          </w:p>
        </w:tc>
      </w:tr>
      <w:tr w:rsidR="00E846AB" w:rsidRPr="004812B8" w14:paraId="3B6F827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B2EF290" w14:textId="451ABF26"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Πρόγραμμα ανακαίνισης παλαιών κατοικιών με ήπιες ενεργειακές παρεμβάσεις (500 εκατ. ευρώ </w:t>
            </w:r>
            <w:r w:rsidR="008725A4">
              <w:rPr>
                <w:rFonts w:cs="Arial"/>
                <w:color w:val="000000"/>
                <w:sz w:val="16"/>
                <w:szCs w:val="16"/>
                <w:lang w:eastAsia="en-US"/>
              </w:rPr>
              <w:t>μέσω</w:t>
            </w:r>
            <w:r w:rsidRPr="004812B8">
              <w:rPr>
                <w:rFonts w:cs="Arial"/>
                <w:color w:val="000000"/>
                <w:sz w:val="16"/>
                <w:szCs w:val="16"/>
                <w:lang w:eastAsia="en-US"/>
              </w:rPr>
              <w:t xml:space="preserve"> ΕΣΠΑ)</w:t>
            </w:r>
          </w:p>
        </w:tc>
        <w:tc>
          <w:tcPr>
            <w:tcW w:w="703" w:type="dxa"/>
            <w:tcBorders>
              <w:left w:val="single" w:sz="2" w:space="0" w:color="A6A6A6" w:themeColor="background1" w:themeShade="A6"/>
            </w:tcBorders>
            <w:noWrap/>
            <w:vAlign w:val="center"/>
          </w:tcPr>
          <w:p w14:paraId="031C7A3F" w14:textId="793F27DF"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768A8725" w14:textId="1E5D3822"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BF8DE9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FEDE37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Φορολογικό κίνητρο κατασκευής νέων κατοικιών προς μακροχρόνια μίσθωση με ευνοϊκούς όρους (</w:t>
            </w:r>
            <w:r w:rsidRPr="004812B8">
              <w:rPr>
                <w:rFonts w:cs="Arial"/>
                <w:color w:val="000000"/>
                <w:sz w:val="16"/>
                <w:szCs w:val="16"/>
                <w:lang w:val="en-US" w:eastAsia="en-US"/>
              </w:rPr>
              <w:t>build</w:t>
            </w:r>
            <w:r w:rsidRPr="004812B8">
              <w:rPr>
                <w:rFonts w:cs="Arial"/>
                <w:color w:val="000000"/>
                <w:sz w:val="16"/>
                <w:szCs w:val="16"/>
                <w:lang w:eastAsia="en-US"/>
              </w:rPr>
              <w:t xml:space="preserve"> </w:t>
            </w:r>
            <w:r w:rsidRPr="004812B8">
              <w:rPr>
                <w:rFonts w:cs="Arial"/>
                <w:color w:val="000000"/>
                <w:sz w:val="16"/>
                <w:szCs w:val="16"/>
                <w:lang w:val="en-US" w:eastAsia="en-US"/>
              </w:rPr>
              <w:t>to</w:t>
            </w:r>
            <w:r w:rsidRPr="004812B8">
              <w:rPr>
                <w:rFonts w:cs="Arial"/>
                <w:color w:val="000000"/>
                <w:sz w:val="16"/>
                <w:szCs w:val="16"/>
                <w:lang w:eastAsia="en-US"/>
              </w:rPr>
              <w:t xml:space="preserve"> </w:t>
            </w:r>
            <w:r w:rsidRPr="004812B8">
              <w:rPr>
                <w:rFonts w:cs="Arial"/>
                <w:color w:val="000000"/>
                <w:sz w:val="16"/>
                <w:szCs w:val="16"/>
                <w:lang w:val="en-US" w:eastAsia="en-US"/>
              </w:rPr>
              <w:t>rent</w:t>
            </w:r>
            <w:r w:rsidRPr="004812B8">
              <w:rPr>
                <w:rFonts w:cs="Arial"/>
                <w:color w:val="000000"/>
                <w:sz w:val="16"/>
                <w:szCs w:val="16"/>
                <w:lang w:eastAsia="en-US"/>
              </w:rPr>
              <w:t>)</w:t>
            </w:r>
          </w:p>
        </w:tc>
        <w:tc>
          <w:tcPr>
            <w:tcW w:w="703" w:type="dxa"/>
            <w:tcBorders>
              <w:left w:val="single" w:sz="2" w:space="0" w:color="A6A6A6" w:themeColor="background1" w:themeShade="A6"/>
            </w:tcBorders>
            <w:noWrap/>
            <w:vAlign w:val="center"/>
          </w:tcPr>
          <w:p w14:paraId="243CB902" w14:textId="47E1886C"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892349A" w14:textId="06E986B5" w:rsidR="00E846AB" w:rsidRPr="004812B8" w:rsidRDefault="00E846AB" w:rsidP="004302D8">
            <w:pPr>
              <w:spacing w:after="0" w:line="276" w:lineRule="auto"/>
              <w:jc w:val="right"/>
              <w:rPr>
                <w:rFonts w:cs="Arial"/>
                <w:color w:val="000000"/>
                <w:sz w:val="16"/>
                <w:szCs w:val="16"/>
                <w:lang w:eastAsia="en-US"/>
              </w:rPr>
            </w:pPr>
          </w:p>
        </w:tc>
      </w:tr>
      <w:tr w:rsidR="00E846AB" w:rsidRPr="004812B8" w14:paraId="05EF4EE6"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5806795" w14:textId="77777777" w:rsidR="00E846AB" w:rsidRPr="004812B8" w:rsidRDefault="00E846AB" w:rsidP="004302D8">
            <w:pPr>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Επ</w:t>
            </w:r>
            <w:proofErr w:type="spellStart"/>
            <w:r w:rsidRPr="004812B8">
              <w:rPr>
                <w:rFonts w:cs="Arial"/>
                <w:b/>
                <w:bCs/>
                <w:color w:val="000000"/>
                <w:sz w:val="16"/>
                <w:szCs w:val="16"/>
                <w:lang w:val="en-US" w:eastAsia="en-US"/>
              </w:rPr>
              <w:t>ενδύσεις</w:t>
            </w:r>
            <w:proofErr w:type="spellEnd"/>
          </w:p>
        </w:tc>
        <w:tc>
          <w:tcPr>
            <w:tcW w:w="703" w:type="dxa"/>
            <w:tcBorders>
              <w:left w:val="single" w:sz="2" w:space="0" w:color="A6A6A6" w:themeColor="background1" w:themeShade="A6"/>
            </w:tcBorders>
            <w:shd w:val="clear" w:color="000000" w:fill="F2F2F2"/>
            <w:noWrap/>
            <w:vAlign w:val="center"/>
            <w:hideMark/>
          </w:tcPr>
          <w:p w14:paraId="2A1263FF" w14:textId="4285F3D9"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hideMark/>
          </w:tcPr>
          <w:p w14:paraId="1E92EF34" w14:textId="27E89DCE"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276CB4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8B27916"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συγχρηματοδοτούμενου σκέλους του προϋπολογισμού δημοσίων επενδύσεων (εθνική συμμετοχή)</w:t>
            </w:r>
          </w:p>
        </w:tc>
        <w:tc>
          <w:tcPr>
            <w:tcW w:w="703" w:type="dxa"/>
            <w:tcBorders>
              <w:left w:val="single" w:sz="2" w:space="0" w:color="A6A6A6" w:themeColor="background1" w:themeShade="A6"/>
            </w:tcBorders>
            <w:noWrap/>
            <w:vAlign w:val="center"/>
            <w:hideMark/>
          </w:tcPr>
          <w:p w14:paraId="01DC2F4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70EEBB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-246</w:t>
            </w:r>
          </w:p>
        </w:tc>
      </w:tr>
      <w:tr w:rsidR="00E846AB" w:rsidRPr="004812B8" w14:paraId="15B91FA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260C831" w14:textId="2FB23A9A" w:rsidR="00E846AB" w:rsidRPr="004812B8" w:rsidRDefault="001B35E6" w:rsidP="004302D8">
            <w:pPr>
              <w:spacing w:after="0" w:line="276" w:lineRule="auto"/>
              <w:jc w:val="left"/>
              <w:rPr>
                <w:rFonts w:cs="Arial"/>
                <w:color w:val="000000"/>
                <w:sz w:val="16"/>
                <w:szCs w:val="16"/>
                <w:lang w:val="en-US" w:eastAsia="en-US"/>
              </w:rPr>
            </w:pPr>
            <w:r>
              <w:rPr>
                <w:rFonts w:cs="Arial"/>
                <w:color w:val="000000"/>
                <w:sz w:val="16"/>
                <w:szCs w:val="16"/>
                <w:lang w:eastAsia="en-US"/>
              </w:rPr>
              <w:t>Ε</w:t>
            </w:r>
            <w:r w:rsidR="00E846AB" w:rsidRPr="004812B8">
              <w:rPr>
                <w:rFonts w:cs="Arial"/>
                <w:color w:val="000000"/>
                <w:sz w:val="16"/>
                <w:szCs w:val="16"/>
                <w:lang w:val="en-US" w:eastAsia="en-US"/>
              </w:rPr>
              <w:t>φα</w:t>
            </w:r>
            <w:proofErr w:type="spellStart"/>
            <w:r>
              <w:rPr>
                <w:rFonts w:cs="Arial"/>
                <w:color w:val="000000"/>
                <w:sz w:val="16"/>
                <w:szCs w:val="16"/>
                <w:lang w:eastAsia="en-US"/>
              </w:rPr>
              <w:t>ρμογή</w:t>
            </w:r>
            <w:proofErr w:type="spellEnd"/>
            <w:r>
              <w:rPr>
                <w:rFonts w:cs="Arial"/>
                <w:color w:val="000000"/>
                <w:sz w:val="16"/>
                <w:szCs w:val="16"/>
                <w:lang w:eastAsia="en-US"/>
              </w:rPr>
              <w:t xml:space="preserve"> </w:t>
            </w:r>
            <w:r w:rsidR="00E846AB" w:rsidRPr="004812B8">
              <w:rPr>
                <w:rFonts w:cs="Arial"/>
                <w:color w:val="000000"/>
                <w:sz w:val="16"/>
                <w:szCs w:val="16"/>
                <w:lang w:val="en-US" w:eastAsia="en-US"/>
              </w:rPr>
              <w:t>Τα</w:t>
            </w:r>
            <w:proofErr w:type="spellStart"/>
            <w:r w:rsidR="00E846AB" w:rsidRPr="004812B8">
              <w:rPr>
                <w:rFonts w:cs="Arial"/>
                <w:color w:val="000000"/>
                <w:sz w:val="16"/>
                <w:szCs w:val="16"/>
                <w:lang w:val="en-US" w:eastAsia="en-US"/>
              </w:rPr>
              <w:t>μείου</w:t>
            </w:r>
            <w:proofErr w:type="spellEnd"/>
            <w:r w:rsidR="00E846AB" w:rsidRPr="004812B8">
              <w:rPr>
                <w:rFonts w:cs="Arial"/>
                <w:color w:val="000000"/>
                <w:sz w:val="16"/>
                <w:szCs w:val="16"/>
                <w:lang w:val="en-US" w:eastAsia="en-US"/>
              </w:rPr>
              <w:t xml:space="preserve"> Κα</w:t>
            </w:r>
            <w:proofErr w:type="spellStart"/>
            <w:r w:rsidR="00E846AB" w:rsidRPr="004812B8">
              <w:rPr>
                <w:rFonts w:cs="Arial"/>
                <w:color w:val="000000"/>
                <w:sz w:val="16"/>
                <w:szCs w:val="16"/>
                <w:lang w:val="en-US" w:eastAsia="en-US"/>
              </w:rPr>
              <w:t>ινοτομί</w:t>
            </w:r>
            <w:proofErr w:type="spellEnd"/>
            <w:r w:rsidR="00E846AB" w:rsidRPr="004812B8">
              <w:rPr>
                <w:rFonts w:cs="Arial"/>
                <w:color w:val="000000"/>
                <w:sz w:val="16"/>
                <w:szCs w:val="16"/>
                <w:lang w:val="en-US" w:eastAsia="en-US"/>
              </w:rPr>
              <w:t>ας Φα</w:t>
            </w:r>
            <w:proofErr w:type="spellStart"/>
            <w:r w:rsidR="00E846AB" w:rsidRPr="004812B8">
              <w:rPr>
                <w:rFonts w:cs="Arial"/>
                <w:color w:val="000000"/>
                <w:sz w:val="16"/>
                <w:szCs w:val="16"/>
                <w:lang w:val="en-US" w:eastAsia="en-US"/>
              </w:rPr>
              <w:t>ρμάκων</w:t>
            </w:r>
            <w:proofErr w:type="spellEnd"/>
          </w:p>
        </w:tc>
        <w:tc>
          <w:tcPr>
            <w:tcW w:w="703" w:type="dxa"/>
            <w:tcBorders>
              <w:left w:val="single" w:sz="2" w:space="0" w:color="A6A6A6" w:themeColor="background1" w:themeShade="A6"/>
            </w:tcBorders>
            <w:noWrap/>
            <w:vAlign w:val="center"/>
            <w:hideMark/>
          </w:tcPr>
          <w:p w14:paraId="05ECED8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D5FF7F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-50</w:t>
            </w:r>
          </w:p>
        </w:tc>
      </w:tr>
      <w:tr w:rsidR="00E846AB" w:rsidRPr="004812B8" w14:paraId="6216D256"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A00A1AF" w14:textId="7C2C0352"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Επιστροφή επενδυτικού </w:t>
            </w:r>
            <w:r w:rsidRPr="004812B8">
              <w:rPr>
                <w:rFonts w:cs="Arial"/>
                <w:color w:val="000000"/>
                <w:sz w:val="16"/>
                <w:szCs w:val="16"/>
                <w:lang w:val="en-US" w:eastAsia="en-US"/>
              </w:rPr>
              <w:t>R</w:t>
            </w:r>
            <w:r w:rsidRPr="004812B8">
              <w:rPr>
                <w:rFonts w:cs="Arial"/>
                <w:color w:val="000000"/>
                <w:sz w:val="16"/>
                <w:szCs w:val="16"/>
                <w:lang w:eastAsia="en-US"/>
              </w:rPr>
              <w:t>&amp;</w:t>
            </w:r>
            <w:r w:rsidRPr="004812B8">
              <w:rPr>
                <w:rFonts w:cs="Arial"/>
                <w:color w:val="000000"/>
                <w:sz w:val="16"/>
                <w:szCs w:val="16"/>
                <w:lang w:val="en-US" w:eastAsia="en-US"/>
              </w:rPr>
              <w:t>D</w:t>
            </w:r>
            <w:r w:rsidRPr="004812B8">
              <w:rPr>
                <w:rFonts w:cs="Arial"/>
                <w:color w:val="000000"/>
                <w:sz w:val="16"/>
                <w:szCs w:val="16"/>
                <w:lang w:eastAsia="en-US"/>
              </w:rPr>
              <w:t xml:space="preserve"> </w:t>
            </w:r>
            <w:r w:rsidRPr="004812B8">
              <w:rPr>
                <w:rFonts w:cs="Arial"/>
                <w:color w:val="000000"/>
                <w:sz w:val="16"/>
                <w:szCs w:val="16"/>
                <w:lang w:val="en-US" w:eastAsia="en-US"/>
              </w:rPr>
              <w:t>Clawback</w:t>
            </w:r>
          </w:p>
        </w:tc>
        <w:tc>
          <w:tcPr>
            <w:tcW w:w="703" w:type="dxa"/>
            <w:tcBorders>
              <w:left w:val="single" w:sz="2" w:space="0" w:color="A6A6A6" w:themeColor="background1" w:themeShade="A6"/>
            </w:tcBorders>
            <w:noWrap/>
            <w:vAlign w:val="center"/>
            <w:hideMark/>
          </w:tcPr>
          <w:p w14:paraId="0547AA1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c>
          <w:tcPr>
            <w:tcW w:w="795" w:type="dxa"/>
            <w:tcBorders>
              <w:right w:val="single" w:sz="2" w:space="0" w:color="A6A6A6" w:themeColor="background1" w:themeShade="A6"/>
            </w:tcBorders>
            <w:noWrap/>
            <w:vAlign w:val="center"/>
            <w:hideMark/>
          </w:tcPr>
          <w:p w14:paraId="2955F7F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r>
      <w:tr w:rsidR="00E846AB" w:rsidRPr="004812B8" w14:paraId="4DD23D6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090270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Θέσπιση </w:t>
            </w:r>
            <w:proofErr w:type="spellStart"/>
            <w:r w:rsidRPr="004812B8">
              <w:rPr>
                <w:rFonts w:cs="Arial"/>
                <w:color w:val="000000"/>
                <w:sz w:val="16"/>
                <w:szCs w:val="16"/>
                <w:lang w:eastAsia="en-US"/>
              </w:rPr>
              <w:t>υπερεκπτώσεων</w:t>
            </w:r>
            <w:proofErr w:type="spellEnd"/>
            <w:r w:rsidRPr="004812B8">
              <w:rPr>
                <w:rFonts w:cs="Arial"/>
                <w:color w:val="000000"/>
                <w:sz w:val="16"/>
                <w:szCs w:val="16"/>
                <w:lang w:eastAsia="en-US"/>
              </w:rPr>
              <w:t xml:space="preserve"> 100% για επενδυτικές δαπάνες σε στρατηγικούς τομείς, όπως η άμυνα και η κατασκευή οχημάτων καθώς και αεροσκαφών και των εξαρτημάτων αυτών</w:t>
            </w:r>
          </w:p>
        </w:tc>
        <w:tc>
          <w:tcPr>
            <w:tcW w:w="703" w:type="dxa"/>
            <w:tcBorders>
              <w:left w:val="single" w:sz="2" w:space="0" w:color="A6A6A6" w:themeColor="background1" w:themeShade="A6"/>
            </w:tcBorders>
            <w:noWrap/>
            <w:vAlign w:val="center"/>
          </w:tcPr>
          <w:p w14:paraId="55350B35" w14:textId="2EB848B4"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6EFBD2C8" w14:textId="323B79B1" w:rsidR="00E846AB" w:rsidRPr="004812B8" w:rsidRDefault="00E846AB" w:rsidP="004302D8">
            <w:pPr>
              <w:spacing w:after="0" w:line="276" w:lineRule="auto"/>
              <w:jc w:val="right"/>
              <w:rPr>
                <w:rFonts w:cs="Arial"/>
                <w:color w:val="000000"/>
                <w:sz w:val="16"/>
                <w:szCs w:val="16"/>
                <w:lang w:eastAsia="en-US"/>
              </w:rPr>
            </w:pPr>
          </w:p>
        </w:tc>
      </w:tr>
      <w:tr w:rsidR="00E846AB" w:rsidRPr="004812B8" w14:paraId="4E1E9EC7"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589ED30" w14:textId="621252FC" w:rsidR="00E846AB" w:rsidRPr="004812B8" w:rsidRDefault="00AE2255" w:rsidP="004302D8">
            <w:pPr>
              <w:spacing w:after="0" w:line="276" w:lineRule="auto"/>
              <w:jc w:val="left"/>
              <w:rPr>
                <w:rFonts w:cs="Arial"/>
                <w:b/>
                <w:bCs/>
                <w:color w:val="000000"/>
                <w:sz w:val="16"/>
                <w:szCs w:val="16"/>
                <w:lang w:val="en-US" w:eastAsia="en-US"/>
              </w:rPr>
            </w:pPr>
            <w:r>
              <w:rPr>
                <w:rFonts w:cs="Arial"/>
                <w:b/>
                <w:bCs/>
                <w:color w:val="000000"/>
                <w:sz w:val="16"/>
                <w:szCs w:val="16"/>
                <w:lang w:eastAsia="en-US"/>
              </w:rPr>
              <w:t>Μ</w:t>
            </w:r>
            <w:proofErr w:type="spellStart"/>
            <w:r w:rsidR="00E846AB" w:rsidRPr="004812B8">
              <w:rPr>
                <w:rFonts w:cs="Arial"/>
                <w:b/>
                <w:bCs/>
                <w:color w:val="000000"/>
                <w:sz w:val="16"/>
                <w:szCs w:val="16"/>
                <w:lang w:val="en-US" w:eastAsia="en-US"/>
              </w:rPr>
              <w:t>έτρ</w:t>
            </w:r>
            <w:proofErr w:type="spellEnd"/>
            <w:r w:rsidR="00E846AB" w:rsidRPr="004812B8">
              <w:rPr>
                <w:rFonts w:cs="Arial"/>
                <w:b/>
                <w:bCs/>
                <w:color w:val="000000"/>
                <w:sz w:val="16"/>
                <w:szCs w:val="16"/>
                <w:lang w:val="en-US" w:eastAsia="en-US"/>
              </w:rPr>
              <w:t xml:space="preserve">α </w:t>
            </w:r>
            <w:proofErr w:type="spellStart"/>
            <w:r w:rsidR="00E846AB" w:rsidRPr="004812B8">
              <w:rPr>
                <w:rFonts w:cs="Arial"/>
                <w:b/>
                <w:bCs/>
                <w:color w:val="000000"/>
                <w:sz w:val="16"/>
                <w:szCs w:val="16"/>
                <w:lang w:val="en-US" w:eastAsia="en-US"/>
              </w:rPr>
              <w:t>κοινωνικής</w:t>
            </w:r>
            <w:proofErr w:type="spellEnd"/>
            <w:r w:rsidR="00E846AB" w:rsidRPr="004812B8">
              <w:rPr>
                <w:rFonts w:cs="Arial"/>
                <w:b/>
                <w:bCs/>
                <w:color w:val="000000"/>
                <w:sz w:val="16"/>
                <w:szCs w:val="16"/>
                <w:lang w:val="en-US" w:eastAsia="en-US"/>
              </w:rPr>
              <w:t xml:space="preserve"> π</w:t>
            </w:r>
            <w:proofErr w:type="spellStart"/>
            <w:r w:rsidR="00E846AB" w:rsidRPr="004812B8">
              <w:rPr>
                <w:rFonts w:cs="Arial"/>
                <w:b/>
                <w:bCs/>
                <w:color w:val="000000"/>
                <w:sz w:val="16"/>
                <w:szCs w:val="16"/>
                <w:lang w:val="en-US" w:eastAsia="en-US"/>
              </w:rPr>
              <w:t>ολιτικής</w:t>
            </w:r>
            <w:proofErr w:type="spellEnd"/>
          </w:p>
        </w:tc>
        <w:tc>
          <w:tcPr>
            <w:tcW w:w="703" w:type="dxa"/>
            <w:tcBorders>
              <w:left w:val="single" w:sz="2" w:space="0" w:color="A6A6A6" w:themeColor="background1" w:themeShade="A6"/>
            </w:tcBorders>
            <w:shd w:val="clear" w:color="000000" w:fill="F2F2F2"/>
            <w:noWrap/>
            <w:vAlign w:val="center"/>
          </w:tcPr>
          <w:p w14:paraId="675D0554" w14:textId="539E504A"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76A25EE0" w14:textId="6EC9ED37"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4DCE436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7BE0540"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Απαλλαγή από τον φόρο εισοδήματος ιδρυμάτων και κληροδοτημάτων</w:t>
            </w:r>
          </w:p>
        </w:tc>
        <w:tc>
          <w:tcPr>
            <w:tcW w:w="703" w:type="dxa"/>
            <w:tcBorders>
              <w:left w:val="single" w:sz="2" w:space="0" w:color="A6A6A6" w:themeColor="background1" w:themeShade="A6"/>
            </w:tcBorders>
            <w:noWrap/>
            <w:vAlign w:val="center"/>
            <w:hideMark/>
          </w:tcPr>
          <w:p w14:paraId="1FDC0A4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782BE6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-43</w:t>
            </w:r>
          </w:p>
        </w:tc>
      </w:tr>
      <w:tr w:rsidR="00E846AB" w:rsidRPr="004812B8" w14:paraId="389DB93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CFC16FC" w14:textId="773FF2EA"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Επέκταση προγράμματος του Υπουργείου Κοινωνικής Συνοχής και Οικογένειας (ΥΚΟΙΣΟ) «Προσωπικός Βοηθός» από εθνικούς πόρους </w:t>
            </w:r>
            <w:r w:rsidR="00976535" w:rsidRPr="004812B8">
              <w:rPr>
                <w:rFonts w:cs="Arial"/>
                <w:color w:val="000000"/>
                <w:sz w:val="16"/>
                <w:szCs w:val="16"/>
                <w:lang w:eastAsia="en-US"/>
              </w:rPr>
              <w:t xml:space="preserve">μετά το ΤΑΑ </w:t>
            </w:r>
            <w:r w:rsidRPr="004812B8">
              <w:rPr>
                <w:rFonts w:cs="Arial"/>
                <w:color w:val="000000"/>
                <w:sz w:val="16"/>
                <w:szCs w:val="16"/>
                <w:lang w:eastAsia="en-US"/>
              </w:rPr>
              <w:t>(εκ των 53 εκατ. ευρώ τα 40 εκατ. ευρώ αποτελούν εθνικούς πόρους και τα 13 εκατ. ευρώ ενωσιακούς πόρους)</w:t>
            </w:r>
          </w:p>
        </w:tc>
        <w:tc>
          <w:tcPr>
            <w:tcW w:w="703" w:type="dxa"/>
            <w:tcBorders>
              <w:left w:val="single" w:sz="2" w:space="0" w:color="A6A6A6" w:themeColor="background1" w:themeShade="A6"/>
            </w:tcBorders>
            <w:noWrap/>
            <w:vAlign w:val="center"/>
            <w:hideMark/>
          </w:tcPr>
          <w:p w14:paraId="6E0AC29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-20</w:t>
            </w:r>
          </w:p>
        </w:tc>
        <w:tc>
          <w:tcPr>
            <w:tcW w:w="795" w:type="dxa"/>
            <w:tcBorders>
              <w:right w:val="single" w:sz="2" w:space="0" w:color="A6A6A6" w:themeColor="background1" w:themeShade="A6"/>
            </w:tcBorders>
            <w:noWrap/>
            <w:vAlign w:val="center"/>
            <w:hideMark/>
          </w:tcPr>
          <w:p w14:paraId="2DD7532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r>
      <w:tr w:rsidR="00E846AB" w:rsidRPr="004812B8" w14:paraId="325D92E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5D82A3C" w14:textId="23F5E50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του προγράμματος «ΠΡΟΛΑΜΒΑΝΩ» από εθνικούς πόρους</w:t>
            </w:r>
            <w:r w:rsidR="00EC3581" w:rsidRPr="004812B8">
              <w:rPr>
                <w:rFonts w:cs="Arial"/>
                <w:color w:val="000000"/>
                <w:sz w:val="16"/>
                <w:szCs w:val="16"/>
                <w:lang w:eastAsia="en-US"/>
              </w:rPr>
              <w:t xml:space="preserve"> μετά το ΤΑΑ</w:t>
            </w:r>
          </w:p>
        </w:tc>
        <w:tc>
          <w:tcPr>
            <w:tcW w:w="703" w:type="dxa"/>
            <w:tcBorders>
              <w:left w:val="single" w:sz="2" w:space="0" w:color="A6A6A6" w:themeColor="background1" w:themeShade="A6"/>
            </w:tcBorders>
            <w:noWrap/>
            <w:vAlign w:val="center"/>
            <w:hideMark/>
          </w:tcPr>
          <w:p w14:paraId="20D907C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-60</w:t>
            </w:r>
          </w:p>
        </w:tc>
        <w:tc>
          <w:tcPr>
            <w:tcW w:w="795" w:type="dxa"/>
            <w:tcBorders>
              <w:right w:val="single" w:sz="2" w:space="0" w:color="A6A6A6" w:themeColor="background1" w:themeShade="A6"/>
            </w:tcBorders>
            <w:noWrap/>
            <w:vAlign w:val="center"/>
            <w:hideMark/>
          </w:tcPr>
          <w:p w14:paraId="410D32A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r>
      <w:tr w:rsidR="00E846AB" w:rsidRPr="004812B8" w14:paraId="0E3F5468"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AD88386" w14:textId="00B2FDE6"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προγράμματος του ΥΚΟΙΣΟ ημιαυτόνομης διαβίωσης από εθνικούς πόρους</w:t>
            </w:r>
            <w:r w:rsidR="00832DFA" w:rsidRPr="004812B8">
              <w:rPr>
                <w:rFonts w:cs="Arial"/>
                <w:color w:val="000000"/>
                <w:sz w:val="16"/>
                <w:szCs w:val="16"/>
                <w:lang w:eastAsia="en-US"/>
              </w:rPr>
              <w:t xml:space="preserve"> μετά το ΤΑΑ</w:t>
            </w:r>
          </w:p>
        </w:tc>
        <w:tc>
          <w:tcPr>
            <w:tcW w:w="703" w:type="dxa"/>
            <w:tcBorders>
              <w:left w:val="single" w:sz="2" w:space="0" w:color="A6A6A6" w:themeColor="background1" w:themeShade="A6"/>
            </w:tcBorders>
            <w:noWrap/>
            <w:vAlign w:val="center"/>
            <w:hideMark/>
          </w:tcPr>
          <w:p w14:paraId="6F3A97F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c>
          <w:tcPr>
            <w:tcW w:w="795" w:type="dxa"/>
            <w:tcBorders>
              <w:right w:val="single" w:sz="2" w:space="0" w:color="A6A6A6" w:themeColor="background1" w:themeShade="A6"/>
            </w:tcBorders>
            <w:noWrap/>
            <w:vAlign w:val="center"/>
            <w:hideMark/>
          </w:tcPr>
          <w:p w14:paraId="35E4312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w:t>
            </w:r>
          </w:p>
        </w:tc>
      </w:tr>
      <w:tr w:rsidR="00E846AB" w:rsidRPr="004812B8" w14:paraId="350FC83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E95D114" w14:textId="4D02ED44"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Μείωση </w:t>
            </w:r>
            <w:r w:rsidR="008725A4">
              <w:rPr>
                <w:rFonts w:cs="Arial"/>
                <w:color w:val="000000"/>
                <w:sz w:val="16"/>
                <w:szCs w:val="16"/>
                <w:lang w:eastAsia="en-US"/>
              </w:rPr>
              <w:t xml:space="preserve">του </w:t>
            </w:r>
            <w:r w:rsidRPr="004812B8">
              <w:rPr>
                <w:rFonts w:cs="Arial"/>
                <w:color w:val="000000"/>
                <w:sz w:val="16"/>
                <w:szCs w:val="16"/>
                <w:lang w:eastAsia="en-US"/>
              </w:rPr>
              <w:t>ΦΠΑ κατά 30% στα νησιά της περιφέρειας του Βορείου Αιγαίου, του νομού Έβρου (Σαμοθράκη) και του νομού Δωδεκανήσων με πληθυσμό έως 20.000 κατοίκους</w:t>
            </w:r>
          </w:p>
        </w:tc>
        <w:tc>
          <w:tcPr>
            <w:tcW w:w="703" w:type="dxa"/>
            <w:tcBorders>
              <w:left w:val="single" w:sz="2" w:space="0" w:color="A6A6A6" w:themeColor="background1" w:themeShade="A6"/>
            </w:tcBorders>
            <w:noWrap/>
            <w:vAlign w:val="center"/>
            <w:hideMark/>
          </w:tcPr>
          <w:p w14:paraId="4482C80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c>
          <w:tcPr>
            <w:tcW w:w="795" w:type="dxa"/>
            <w:tcBorders>
              <w:right w:val="single" w:sz="2" w:space="0" w:color="A6A6A6" w:themeColor="background1" w:themeShade="A6"/>
            </w:tcBorders>
            <w:noWrap/>
            <w:vAlign w:val="center"/>
            <w:hideMark/>
          </w:tcPr>
          <w:p w14:paraId="6841881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E846AB" w:rsidRPr="004812B8" w14:paraId="0DB0D4E7"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9815766" w14:textId="77777777" w:rsidR="00E846AB" w:rsidRPr="004812B8" w:rsidRDefault="00E846AB" w:rsidP="004302D8">
            <w:pPr>
              <w:spacing w:after="0" w:line="276" w:lineRule="auto"/>
              <w:jc w:val="left"/>
              <w:rPr>
                <w:rFonts w:cs="Arial"/>
                <w:color w:val="000000"/>
                <w:sz w:val="16"/>
                <w:szCs w:val="16"/>
                <w:lang w:val="en-US" w:eastAsia="en-US"/>
              </w:rPr>
            </w:pPr>
            <w:r w:rsidRPr="004812B8">
              <w:rPr>
                <w:rFonts w:cs="Arial"/>
                <w:color w:val="000000"/>
                <w:sz w:val="16"/>
                <w:szCs w:val="16"/>
                <w:lang w:val="en-US" w:eastAsia="en-US"/>
              </w:rPr>
              <w:t>Κα</w:t>
            </w:r>
            <w:proofErr w:type="spellStart"/>
            <w:r w:rsidRPr="004812B8">
              <w:rPr>
                <w:rFonts w:cs="Arial"/>
                <w:color w:val="000000"/>
                <w:sz w:val="16"/>
                <w:szCs w:val="16"/>
                <w:lang w:val="en-US" w:eastAsia="en-US"/>
              </w:rPr>
              <w:t>τάργηση</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τέλους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συνδρομητικής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τηλεόρ</w:t>
            </w:r>
            <w:proofErr w:type="spellEnd"/>
            <w:r w:rsidRPr="004812B8">
              <w:rPr>
                <w:rFonts w:cs="Arial"/>
                <w:color w:val="000000"/>
                <w:sz w:val="16"/>
                <w:szCs w:val="16"/>
                <w:lang w:val="en-US" w:eastAsia="en-US"/>
              </w:rPr>
              <w:t>ασης</w:t>
            </w:r>
          </w:p>
        </w:tc>
        <w:tc>
          <w:tcPr>
            <w:tcW w:w="703" w:type="dxa"/>
            <w:tcBorders>
              <w:left w:val="single" w:sz="2" w:space="0" w:color="A6A6A6" w:themeColor="background1" w:themeShade="A6"/>
            </w:tcBorders>
            <w:noWrap/>
            <w:vAlign w:val="center"/>
            <w:hideMark/>
          </w:tcPr>
          <w:p w14:paraId="3202C756"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-22</w:t>
            </w:r>
          </w:p>
        </w:tc>
        <w:tc>
          <w:tcPr>
            <w:tcW w:w="795" w:type="dxa"/>
            <w:tcBorders>
              <w:right w:val="single" w:sz="2" w:space="0" w:color="A6A6A6" w:themeColor="background1" w:themeShade="A6"/>
            </w:tcBorders>
            <w:noWrap/>
            <w:vAlign w:val="center"/>
            <w:hideMark/>
          </w:tcPr>
          <w:p w14:paraId="2FA5FB9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-22</w:t>
            </w:r>
          </w:p>
        </w:tc>
      </w:tr>
      <w:tr w:rsidR="00E846AB" w:rsidRPr="004812B8" w14:paraId="0091371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3E4529F" w14:textId="3F8854EE"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ορίου φαρμακευτικής δαπάνης από εθνικούς πόρους</w:t>
            </w:r>
          </w:p>
        </w:tc>
        <w:tc>
          <w:tcPr>
            <w:tcW w:w="703" w:type="dxa"/>
            <w:tcBorders>
              <w:left w:val="single" w:sz="2" w:space="0" w:color="A6A6A6" w:themeColor="background1" w:themeShade="A6"/>
            </w:tcBorders>
            <w:noWrap/>
            <w:vAlign w:val="center"/>
            <w:hideMark/>
          </w:tcPr>
          <w:p w14:paraId="79427A2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-100</w:t>
            </w:r>
          </w:p>
        </w:tc>
        <w:tc>
          <w:tcPr>
            <w:tcW w:w="795" w:type="dxa"/>
            <w:tcBorders>
              <w:right w:val="single" w:sz="2" w:space="0" w:color="A6A6A6" w:themeColor="background1" w:themeShade="A6"/>
            </w:tcBorders>
            <w:noWrap/>
            <w:vAlign w:val="center"/>
            <w:hideMark/>
          </w:tcPr>
          <w:p w14:paraId="0654DC3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-200</w:t>
            </w:r>
          </w:p>
        </w:tc>
      </w:tr>
      <w:tr w:rsidR="00E846AB" w:rsidRPr="004812B8" w14:paraId="39F927D3" w14:textId="77777777" w:rsidTr="00D524B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5DFA8880" w14:textId="3D90BD55"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Β.</w:t>
            </w:r>
            <w:r w:rsidR="00977700">
              <w:rPr>
                <w:rFonts w:cs="Arial"/>
                <w:b/>
                <w:bCs/>
                <w:color w:val="000000"/>
                <w:sz w:val="16"/>
                <w:szCs w:val="16"/>
                <w:lang w:val="en-US" w:eastAsia="en-US"/>
              </w:rPr>
              <w:tab/>
            </w:r>
            <w:r w:rsidRPr="004812B8">
              <w:rPr>
                <w:rFonts w:cs="Arial"/>
                <w:b/>
                <w:bCs/>
                <w:color w:val="000000"/>
                <w:sz w:val="16"/>
                <w:szCs w:val="16"/>
                <w:lang w:val="en-US" w:eastAsia="en-US"/>
              </w:rPr>
              <w:t>Σύνολο</w:t>
            </w:r>
          </w:p>
        </w:tc>
        <w:tc>
          <w:tcPr>
            <w:tcW w:w="703" w:type="dxa"/>
            <w:tcBorders>
              <w:left w:val="single" w:sz="2" w:space="0" w:color="A6A6A6" w:themeColor="background1" w:themeShade="A6"/>
            </w:tcBorders>
            <w:shd w:val="clear" w:color="000000" w:fill="D9D9D9"/>
            <w:noWrap/>
            <w:vAlign w:val="center"/>
            <w:hideMark/>
          </w:tcPr>
          <w:p w14:paraId="6F5383F8"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-3.659</w:t>
            </w:r>
          </w:p>
        </w:tc>
        <w:tc>
          <w:tcPr>
            <w:tcW w:w="795" w:type="dxa"/>
            <w:tcBorders>
              <w:right w:val="single" w:sz="2" w:space="0" w:color="A6A6A6" w:themeColor="background1" w:themeShade="A6"/>
            </w:tcBorders>
            <w:shd w:val="clear" w:color="000000" w:fill="D9D9D9"/>
            <w:noWrap/>
            <w:vAlign w:val="center"/>
            <w:hideMark/>
          </w:tcPr>
          <w:p w14:paraId="71FAB4DB"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-5.480</w:t>
            </w:r>
          </w:p>
        </w:tc>
      </w:tr>
      <w:tr w:rsidR="00E846AB" w:rsidRPr="004812B8" w14:paraId="4DBA7D77" w14:textId="77777777" w:rsidTr="00D524B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2679A3A5" w14:textId="6C2EF6EA" w:rsidR="00E846AB" w:rsidRPr="004812B8" w:rsidRDefault="00E846AB" w:rsidP="004302D8">
            <w:pPr>
              <w:tabs>
                <w:tab w:val="left" w:pos="284"/>
              </w:tabs>
              <w:spacing w:after="0" w:line="276" w:lineRule="auto"/>
              <w:jc w:val="left"/>
              <w:rPr>
                <w:rFonts w:cs="Arial"/>
                <w:b/>
                <w:bCs/>
                <w:color w:val="000000"/>
                <w:sz w:val="16"/>
                <w:szCs w:val="16"/>
                <w:lang w:eastAsia="en-US"/>
              </w:rPr>
            </w:pPr>
            <w:r w:rsidRPr="004812B8">
              <w:rPr>
                <w:rFonts w:cs="Arial"/>
                <w:b/>
                <w:bCs/>
                <w:color w:val="000000"/>
                <w:sz w:val="16"/>
                <w:szCs w:val="16"/>
                <w:lang w:eastAsia="en-US"/>
              </w:rPr>
              <w:t>Γ.</w:t>
            </w:r>
            <w:r w:rsidR="00977700">
              <w:rPr>
                <w:rFonts w:cs="Arial"/>
                <w:b/>
                <w:bCs/>
                <w:color w:val="000000"/>
                <w:sz w:val="16"/>
                <w:szCs w:val="16"/>
                <w:lang w:eastAsia="en-US"/>
              </w:rPr>
              <w:tab/>
            </w:r>
            <w:r w:rsidRPr="004812B8">
              <w:rPr>
                <w:rFonts w:cs="Arial"/>
                <w:b/>
                <w:bCs/>
                <w:color w:val="000000"/>
                <w:sz w:val="16"/>
                <w:szCs w:val="16"/>
                <w:lang w:eastAsia="en-US"/>
              </w:rPr>
              <w:t>Παρεμβάσεις ενίσχυσης των δημοσίων εσόδων</w:t>
            </w:r>
          </w:p>
        </w:tc>
        <w:tc>
          <w:tcPr>
            <w:tcW w:w="703" w:type="dxa"/>
            <w:tcBorders>
              <w:left w:val="single" w:sz="2" w:space="0" w:color="A6A6A6" w:themeColor="background1" w:themeShade="A6"/>
            </w:tcBorders>
            <w:shd w:val="clear" w:color="000000" w:fill="D5DCE4"/>
            <w:noWrap/>
            <w:vAlign w:val="center"/>
          </w:tcPr>
          <w:p w14:paraId="2387AA30" w14:textId="394A85B5" w:rsidR="00E846AB" w:rsidRPr="004812B8" w:rsidRDefault="00E846AB" w:rsidP="004302D8">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D5DCE4"/>
            <w:noWrap/>
            <w:vAlign w:val="center"/>
          </w:tcPr>
          <w:p w14:paraId="2698C496" w14:textId="7B7B03B7" w:rsidR="00E846AB" w:rsidRPr="004812B8" w:rsidRDefault="00E846AB" w:rsidP="004302D8">
            <w:pPr>
              <w:spacing w:after="0" w:line="276" w:lineRule="auto"/>
              <w:jc w:val="right"/>
              <w:rPr>
                <w:rFonts w:cs="Arial"/>
                <w:b/>
                <w:bCs/>
                <w:color w:val="000000"/>
                <w:sz w:val="16"/>
                <w:szCs w:val="16"/>
                <w:lang w:eastAsia="en-US"/>
              </w:rPr>
            </w:pPr>
          </w:p>
        </w:tc>
      </w:tr>
      <w:tr w:rsidR="00E846AB" w:rsidRPr="004812B8" w14:paraId="0E7DD2A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66C294F" w14:textId="61EDE267" w:rsidR="00E846AB" w:rsidRPr="004812B8" w:rsidRDefault="00E846AB" w:rsidP="004302D8">
            <w:pPr>
              <w:spacing w:after="0" w:line="276" w:lineRule="auto"/>
              <w:jc w:val="left"/>
              <w:rPr>
                <w:rFonts w:cs="Arial"/>
                <w:color w:val="000000"/>
                <w:sz w:val="16"/>
                <w:szCs w:val="16"/>
                <w:lang w:eastAsia="en-US"/>
              </w:rPr>
            </w:pPr>
            <w:r w:rsidRPr="00CB285C">
              <w:rPr>
                <w:rFonts w:cs="Arial"/>
                <w:color w:val="000000"/>
                <w:sz w:val="16"/>
                <w:szCs w:val="16"/>
                <w:lang w:eastAsia="en-US"/>
              </w:rPr>
              <w:t>Σταδιακή επέκταση της κάρτας εργασίας (</w:t>
            </w:r>
            <w:r w:rsidR="00F0205E">
              <w:rPr>
                <w:rFonts w:cs="Arial"/>
                <w:color w:val="000000"/>
                <w:sz w:val="16"/>
                <w:szCs w:val="16"/>
                <w:lang w:eastAsia="en-US"/>
              </w:rPr>
              <w:t>α</w:t>
            </w:r>
            <w:r w:rsidRPr="00CB285C">
              <w:rPr>
                <w:rFonts w:cs="Arial"/>
                <w:color w:val="000000"/>
                <w:sz w:val="16"/>
                <w:szCs w:val="16"/>
                <w:lang w:eastAsia="en-US"/>
              </w:rPr>
              <w:t xml:space="preserve">ναφέρεται στο επιπλέον ποσό σε </w:t>
            </w:r>
            <w:r w:rsidR="008725A4">
              <w:rPr>
                <w:rFonts w:cs="Arial"/>
                <w:color w:val="000000"/>
                <w:sz w:val="16"/>
                <w:szCs w:val="16"/>
                <w:lang w:eastAsia="en-US"/>
              </w:rPr>
              <w:t>σύγκριση</w:t>
            </w:r>
            <w:r w:rsidRPr="00CB285C">
              <w:rPr>
                <w:rFonts w:cs="Arial"/>
                <w:color w:val="000000"/>
                <w:sz w:val="16"/>
                <w:szCs w:val="16"/>
                <w:lang w:eastAsia="en-US"/>
              </w:rPr>
              <w:t xml:space="preserve"> με το 2025 από την επέκταση σε νέους κλάδους</w:t>
            </w:r>
            <w:r w:rsidR="008725A4">
              <w:rPr>
                <w:rFonts w:cs="Arial"/>
                <w:color w:val="000000"/>
                <w:sz w:val="16"/>
                <w:szCs w:val="16"/>
                <w:lang w:eastAsia="en-US"/>
              </w:rPr>
              <w:t>,</w:t>
            </w:r>
            <w:r w:rsidRPr="00CB285C">
              <w:rPr>
                <w:rFonts w:cs="Arial"/>
                <w:color w:val="000000"/>
                <w:sz w:val="16"/>
                <w:szCs w:val="16"/>
                <w:lang w:eastAsia="en-US"/>
              </w:rPr>
              <w:t xml:space="preserve"> συμπεριλαμβανομέν</w:t>
            </w:r>
            <w:r w:rsidR="008725A4">
              <w:rPr>
                <w:rFonts w:cs="Arial"/>
                <w:color w:val="000000"/>
                <w:sz w:val="16"/>
                <w:szCs w:val="16"/>
                <w:lang w:eastAsia="en-US"/>
              </w:rPr>
              <w:t xml:space="preserve">ης της επέκτασης </w:t>
            </w:r>
            <w:r w:rsidRPr="00CB285C">
              <w:rPr>
                <w:rFonts w:cs="Arial"/>
                <w:color w:val="000000"/>
                <w:sz w:val="16"/>
                <w:szCs w:val="16"/>
                <w:lang w:eastAsia="en-US"/>
              </w:rPr>
              <w:t xml:space="preserve">έως </w:t>
            </w:r>
            <w:r w:rsidR="008725A4">
              <w:rPr>
                <w:rFonts w:cs="Arial"/>
                <w:color w:val="000000"/>
                <w:sz w:val="16"/>
                <w:szCs w:val="16"/>
                <w:lang w:eastAsia="en-US"/>
              </w:rPr>
              <w:t xml:space="preserve">τα </w:t>
            </w:r>
            <w:r w:rsidRPr="00CB285C">
              <w:rPr>
                <w:rFonts w:cs="Arial"/>
                <w:color w:val="000000"/>
                <w:sz w:val="16"/>
                <w:szCs w:val="16"/>
                <w:lang w:eastAsia="en-US"/>
              </w:rPr>
              <w:t>τέλη του 2026</w:t>
            </w:r>
            <w:r w:rsidR="007B5AA4">
              <w:rPr>
                <w:rFonts w:cs="Arial"/>
                <w:color w:val="000000"/>
                <w:sz w:val="16"/>
                <w:szCs w:val="16"/>
                <w:lang w:eastAsia="en-US"/>
              </w:rPr>
              <w:t>,</w:t>
            </w:r>
            <w:r w:rsidR="00CD70E5">
              <w:rPr>
                <w:rFonts w:cs="Arial"/>
                <w:color w:val="000000"/>
                <w:sz w:val="16"/>
                <w:szCs w:val="16"/>
                <w:lang w:eastAsia="en-US"/>
              </w:rPr>
              <w:t xml:space="preserve"> και δεδομένου ότι </w:t>
            </w:r>
            <w:r w:rsidR="00F0205E">
              <w:rPr>
                <w:rFonts w:cs="Arial"/>
                <w:color w:val="000000"/>
                <w:sz w:val="16"/>
                <w:szCs w:val="16"/>
                <w:lang w:eastAsia="en-US"/>
              </w:rPr>
              <w:t xml:space="preserve">το </w:t>
            </w:r>
            <w:r w:rsidRPr="00CB285C">
              <w:rPr>
                <w:rFonts w:cs="Arial"/>
                <w:color w:val="000000"/>
                <w:sz w:val="16"/>
                <w:szCs w:val="16"/>
                <w:lang w:eastAsia="en-US"/>
              </w:rPr>
              <w:t xml:space="preserve">ποσό </w:t>
            </w:r>
            <w:r w:rsidR="008725A4">
              <w:rPr>
                <w:rFonts w:cs="Arial"/>
                <w:color w:val="000000"/>
                <w:sz w:val="16"/>
                <w:szCs w:val="16"/>
                <w:lang w:eastAsia="en-US"/>
              </w:rPr>
              <w:t xml:space="preserve">για </w:t>
            </w:r>
            <w:r w:rsidRPr="00CB285C">
              <w:rPr>
                <w:rFonts w:cs="Arial"/>
                <w:color w:val="000000"/>
                <w:sz w:val="16"/>
                <w:szCs w:val="16"/>
                <w:lang w:eastAsia="en-US"/>
              </w:rPr>
              <w:t>το 2025 εκτιμάται σε 372 εκατ. ευρώ</w:t>
            </w:r>
            <w:r w:rsidR="007B5AA4">
              <w:rPr>
                <w:rFonts w:cs="Arial"/>
                <w:color w:val="000000"/>
                <w:sz w:val="16"/>
                <w:szCs w:val="16"/>
                <w:lang w:eastAsia="en-US"/>
              </w:rPr>
              <w:t>,</w:t>
            </w:r>
            <w:r w:rsidRPr="00CB285C">
              <w:rPr>
                <w:rFonts w:cs="Arial"/>
                <w:color w:val="000000"/>
                <w:sz w:val="16"/>
                <w:szCs w:val="16"/>
                <w:lang w:eastAsia="en-US"/>
              </w:rPr>
              <w:t xml:space="preserve"> τα συνολικά έσοδα από την κάρτα εργασίας εκτιμώνται σε 507 εκατ. ευρώ το 2026 και </w:t>
            </w:r>
            <w:r w:rsidR="008725A4">
              <w:rPr>
                <w:rFonts w:cs="Arial"/>
                <w:color w:val="000000"/>
                <w:sz w:val="16"/>
                <w:szCs w:val="16"/>
                <w:lang w:eastAsia="en-US"/>
              </w:rPr>
              <w:t xml:space="preserve">σε </w:t>
            </w:r>
            <w:r w:rsidRPr="00CB285C">
              <w:rPr>
                <w:rFonts w:cs="Arial"/>
                <w:color w:val="000000"/>
                <w:sz w:val="16"/>
                <w:szCs w:val="16"/>
                <w:lang w:eastAsia="en-US"/>
              </w:rPr>
              <w:t>685 εκατ. ευρώ το 2027)</w:t>
            </w:r>
          </w:p>
        </w:tc>
        <w:tc>
          <w:tcPr>
            <w:tcW w:w="703" w:type="dxa"/>
            <w:tcBorders>
              <w:left w:val="single" w:sz="2" w:space="0" w:color="A6A6A6" w:themeColor="background1" w:themeShade="A6"/>
            </w:tcBorders>
            <w:noWrap/>
            <w:vAlign w:val="center"/>
            <w:hideMark/>
          </w:tcPr>
          <w:p w14:paraId="7E795E76" w14:textId="77777777" w:rsidR="00E846AB" w:rsidRPr="00CB285C" w:rsidRDefault="00E846AB" w:rsidP="004302D8">
            <w:pPr>
              <w:spacing w:after="0" w:line="276" w:lineRule="auto"/>
              <w:jc w:val="right"/>
              <w:rPr>
                <w:rFonts w:cs="Arial"/>
                <w:color w:val="000000"/>
                <w:sz w:val="16"/>
                <w:szCs w:val="16"/>
                <w:lang w:eastAsia="en-US"/>
              </w:rPr>
            </w:pPr>
            <w:r>
              <w:rPr>
                <w:rFonts w:cs="Arial"/>
                <w:color w:val="000000"/>
                <w:sz w:val="16"/>
                <w:szCs w:val="16"/>
                <w:lang w:eastAsia="en-US"/>
              </w:rPr>
              <w:t>135</w:t>
            </w:r>
          </w:p>
        </w:tc>
        <w:tc>
          <w:tcPr>
            <w:tcW w:w="795" w:type="dxa"/>
            <w:tcBorders>
              <w:right w:val="single" w:sz="2" w:space="0" w:color="A6A6A6" w:themeColor="background1" w:themeShade="A6"/>
            </w:tcBorders>
            <w:noWrap/>
            <w:vAlign w:val="center"/>
            <w:hideMark/>
          </w:tcPr>
          <w:p w14:paraId="1129DFDD" w14:textId="77777777" w:rsidR="00E846AB" w:rsidRPr="00CB285C" w:rsidRDefault="00E846AB" w:rsidP="004302D8">
            <w:pPr>
              <w:spacing w:after="0" w:line="276" w:lineRule="auto"/>
              <w:jc w:val="right"/>
              <w:rPr>
                <w:rFonts w:cs="Arial"/>
                <w:color w:val="000000"/>
                <w:sz w:val="16"/>
                <w:szCs w:val="16"/>
                <w:lang w:eastAsia="en-US"/>
              </w:rPr>
            </w:pPr>
            <w:r>
              <w:rPr>
                <w:rFonts w:cs="Arial"/>
                <w:color w:val="000000"/>
                <w:sz w:val="16"/>
                <w:szCs w:val="16"/>
                <w:lang w:eastAsia="en-US"/>
              </w:rPr>
              <w:t>313</w:t>
            </w:r>
          </w:p>
        </w:tc>
      </w:tr>
      <w:tr w:rsidR="00E846AB" w:rsidRPr="004812B8" w14:paraId="1DF1E89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C079223" w14:textId="706CDC6E"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φορολόγησης διαδικτυακών τυχερών παιγνίων από</w:t>
            </w:r>
            <w:r w:rsidR="00866F01">
              <w:rPr>
                <w:rFonts w:cs="Arial"/>
                <w:color w:val="000000"/>
                <w:sz w:val="16"/>
                <w:szCs w:val="16"/>
                <w:lang w:eastAsia="en-US"/>
              </w:rPr>
              <w:t xml:space="preserve"> τον</w:t>
            </w:r>
            <w:r w:rsidRPr="004812B8">
              <w:rPr>
                <w:rFonts w:cs="Arial"/>
                <w:color w:val="000000"/>
                <w:sz w:val="16"/>
                <w:szCs w:val="16"/>
                <w:lang w:eastAsia="en-US"/>
              </w:rPr>
              <w:t xml:space="preserve"> Ιούλιο 2026</w:t>
            </w:r>
          </w:p>
        </w:tc>
        <w:tc>
          <w:tcPr>
            <w:tcW w:w="703" w:type="dxa"/>
            <w:tcBorders>
              <w:left w:val="single" w:sz="2" w:space="0" w:color="A6A6A6" w:themeColor="background1" w:themeShade="A6"/>
            </w:tcBorders>
            <w:noWrap/>
            <w:vAlign w:val="center"/>
            <w:hideMark/>
          </w:tcPr>
          <w:p w14:paraId="197DFC0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47</w:t>
            </w:r>
          </w:p>
        </w:tc>
        <w:tc>
          <w:tcPr>
            <w:tcW w:w="795" w:type="dxa"/>
            <w:tcBorders>
              <w:right w:val="single" w:sz="2" w:space="0" w:color="A6A6A6" w:themeColor="background1" w:themeShade="A6"/>
            </w:tcBorders>
            <w:noWrap/>
            <w:vAlign w:val="center"/>
            <w:hideMark/>
          </w:tcPr>
          <w:p w14:paraId="113AF5BC"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94</w:t>
            </w:r>
          </w:p>
        </w:tc>
      </w:tr>
      <w:tr w:rsidR="00E846AB" w:rsidRPr="004812B8" w14:paraId="2153F8B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473D026" w14:textId="60C361A5"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Αναπροσαρμογή τελών ταξινόμησης στα υβριδικά οχήματα</w:t>
            </w:r>
          </w:p>
        </w:tc>
        <w:tc>
          <w:tcPr>
            <w:tcW w:w="703" w:type="dxa"/>
            <w:tcBorders>
              <w:left w:val="single" w:sz="2" w:space="0" w:color="A6A6A6" w:themeColor="background1" w:themeShade="A6"/>
            </w:tcBorders>
            <w:noWrap/>
            <w:vAlign w:val="center"/>
            <w:hideMark/>
          </w:tcPr>
          <w:p w14:paraId="4A053AF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5B3E48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37</w:t>
            </w:r>
          </w:p>
        </w:tc>
      </w:tr>
      <w:tr w:rsidR="00E846AB" w:rsidRPr="004812B8" w14:paraId="5D638BE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D79A295" w14:textId="5EBCF5ED"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Αναπροσαρμογή φορολόγησης αμοιβών στελεχών άνω των 60.000 </w:t>
            </w:r>
            <w:r w:rsidR="00866F01">
              <w:rPr>
                <w:rFonts w:cs="Arial"/>
                <w:color w:val="000000"/>
                <w:sz w:val="16"/>
                <w:szCs w:val="16"/>
                <w:lang w:eastAsia="en-US"/>
              </w:rPr>
              <w:t xml:space="preserve">ευρώ </w:t>
            </w:r>
            <w:r w:rsidRPr="004812B8">
              <w:rPr>
                <w:rFonts w:cs="Arial"/>
                <w:color w:val="000000"/>
                <w:sz w:val="16"/>
                <w:szCs w:val="16"/>
                <w:lang w:eastAsia="en-US"/>
              </w:rPr>
              <w:t xml:space="preserve">από </w:t>
            </w:r>
            <w:r w:rsidR="00866F01">
              <w:rPr>
                <w:rFonts w:cs="Arial"/>
                <w:color w:val="000000"/>
                <w:sz w:val="16"/>
                <w:szCs w:val="16"/>
                <w:lang w:eastAsia="en-US"/>
              </w:rPr>
              <w:t xml:space="preserve">τη </w:t>
            </w:r>
            <w:r w:rsidRPr="004812B8">
              <w:rPr>
                <w:rFonts w:cs="Arial"/>
                <w:color w:val="000000"/>
                <w:sz w:val="16"/>
                <w:szCs w:val="16"/>
                <w:lang w:eastAsia="en-US"/>
              </w:rPr>
              <w:t>συμμετοχή στα κέρδη</w:t>
            </w:r>
          </w:p>
        </w:tc>
        <w:tc>
          <w:tcPr>
            <w:tcW w:w="703" w:type="dxa"/>
            <w:tcBorders>
              <w:left w:val="single" w:sz="2" w:space="0" w:color="A6A6A6" w:themeColor="background1" w:themeShade="A6"/>
            </w:tcBorders>
            <w:noWrap/>
            <w:vAlign w:val="center"/>
            <w:hideMark/>
          </w:tcPr>
          <w:p w14:paraId="2E5EEBA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0A82F7A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24</w:t>
            </w:r>
          </w:p>
        </w:tc>
      </w:tr>
      <w:tr w:rsidR="00E846AB" w:rsidRPr="004812B8" w14:paraId="70C89514" w14:textId="77777777" w:rsidTr="00D524B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4EFBB6CC" w14:textId="5CDE37D9"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Γ.</w:t>
            </w:r>
            <w:r w:rsidR="00977700">
              <w:rPr>
                <w:rFonts w:cs="Arial"/>
                <w:b/>
                <w:bCs/>
                <w:color w:val="000000"/>
                <w:sz w:val="16"/>
                <w:szCs w:val="16"/>
                <w:lang w:val="en-US" w:eastAsia="en-US"/>
              </w:rPr>
              <w:tab/>
            </w:r>
            <w:r w:rsidRPr="004812B8">
              <w:rPr>
                <w:rFonts w:cs="Arial"/>
                <w:b/>
                <w:bCs/>
                <w:color w:val="000000"/>
                <w:sz w:val="16"/>
                <w:szCs w:val="16"/>
                <w:lang w:val="en-US" w:eastAsia="en-US"/>
              </w:rPr>
              <w:t>Σύνολο</w:t>
            </w:r>
          </w:p>
        </w:tc>
        <w:tc>
          <w:tcPr>
            <w:tcW w:w="703" w:type="dxa"/>
            <w:tcBorders>
              <w:left w:val="single" w:sz="2" w:space="0" w:color="A6A6A6" w:themeColor="background1" w:themeShade="A6"/>
            </w:tcBorders>
            <w:shd w:val="clear" w:color="000000" w:fill="D9D9D9"/>
            <w:noWrap/>
            <w:vAlign w:val="center"/>
            <w:hideMark/>
          </w:tcPr>
          <w:p w14:paraId="29A096B0" w14:textId="77777777" w:rsidR="00E846AB" w:rsidRPr="00CB285C" w:rsidRDefault="00E846AB" w:rsidP="004302D8">
            <w:pPr>
              <w:spacing w:after="0" w:line="276" w:lineRule="auto"/>
              <w:jc w:val="right"/>
              <w:rPr>
                <w:rFonts w:cs="Arial"/>
                <w:b/>
                <w:bCs/>
                <w:color w:val="000000"/>
                <w:sz w:val="16"/>
                <w:szCs w:val="16"/>
                <w:lang w:eastAsia="en-US"/>
              </w:rPr>
            </w:pPr>
            <w:r>
              <w:rPr>
                <w:rFonts w:cs="Arial"/>
                <w:b/>
                <w:bCs/>
                <w:color w:val="000000"/>
                <w:sz w:val="16"/>
                <w:szCs w:val="16"/>
                <w:lang w:eastAsia="en-US"/>
              </w:rPr>
              <w:t>182</w:t>
            </w:r>
          </w:p>
        </w:tc>
        <w:tc>
          <w:tcPr>
            <w:tcW w:w="795" w:type="dxa"/>
            <w:tcBorders>
              <w:right w:val="single" w:sz="2" w:space="0" w:color="A6A6A6" w:themeColor="background1" w:themeShade="A6"/>
            </w:tcBorders>
            <w:shd w:val="clear" w:color="000000" w:fill="D9D9D9"/>
            <w:noWrap/>
            <w:vAlign w:val="center"/>
            <w:hideMark/>
          </w:tcPr>
          <w:p w14:paraId="10C1AAF8" w14:textId="77777777" w:rsidR="00E846AB" w:rsidRPr="00CB285C" w:rsidRDefault="00E846AB" w:rsidP="004302D8">
            <w:pPr>
              <w:spacing w:after="0" w:line="276" w:lineRule="auto"/>
              <w:jc w:val="right"/>
              <w:rPr>
                <w:rFonts w:cs="Arial"/>
                <w:b/>
                <w:bCs/>
                <w:color w:val="000000"/>
                <w:sz w:val="16"/>
                <w:szCs w:val="16"/>
                <w:lang w:eastAsia="en-US"/>
              </w:rPr>
            </w:pPr>
            <w:r>
              <w:rPr>
                <w:rFonts w:cs="Arial"/>
                <w:b/>
                <w:bCs/>
                <w:color w:val="000000"/>
                <w:sz w:val="16"/>
                <w:szCs w:val="16"/>
                <w:lang w:eastAsia="en-US"/>
              </w:rPr>
              <w:t>468</w:t>
            </w:r>
          </w:p>
        </w:tc>
      </w:tr>
      <w:tr w:rsidR="00E846AB" w:rsidRPr="004812B8" w14:paraId="14295F05" w14:textId="77777777" w:rsidTr="00D524BA">
        <w:trPr>
          <w:cantSplit/>
          <w:trHeight w:val="397"/>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shd w:val="clear" w:color="000000" w:fill="D5DCE4"/>
            <w:vAlign w:val="center"/>
            <w:hideMark/>
          </w:tcPr>
          <w:p w14:paraId="5A0C07D1" w14:textId="77777777" w:rsidR="00E846AB" w:rsidRPr="004812B8" w:rsidRDefault="00E846AB" w:rsidP="004302D8">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Γενικό σύνολο (Α+Β+Γ)</w:t>
            </w:r>
          </w:p>
        </w:tc>
        <w:tc>
          <w:tcPr>
            <w:tcW w:w="703" w:type="dxa"/>
            <w:tcBorders>
              <w:left w:val="single" w:sz="2" w:space="0" w:color="A6A6A6" w:themeColor="background1" w:themeShade="A6"/>
              <w:bottom w:val="single" w:sz="2" w:space="0" w:color="A6A6A6" w:themeColor="background1" w:themeShade="A6"/>
            </w:tcBorders>
            <w:shd w:val="clear" w:color="000000" w:fill="D5DCE4"/>
            <w:noWrap/>
            <w:vAlign w:val="center"/>
            <w:hideMark/>
          </w:tcPr>
          <w:p w14:paraId="1A94B7F7" w14:textId="77777777" w:rsidR="00E846AB" w:rsidRPr="00CB285C" w:rsidRDefault="00E846AB" w:rsidP="004302D8">
            <w:pPr>
              <w:spacing w:after="0" w:line="276" w:lineRule="auto"/>
              <w:jc w:val="right"/>
              <w:rPr>
                <w:rFonts w:cs="Arial"/>
                <w:b/>
                <w:bCs/>
                <w:color w:val="000000"/>
                <w:sz w:val="16"/>
                <w:szCs w:val="16"/>
                <w:lang w:eastAsia="en-US"/>
              </w:rPr>
            </w:pPr>
            <w:r w:rsidRPr="004812B8">
              <w:rPr>
                <w:rFonts w:cs="Arial"/>
                <w:b/>
                <w:bCs/>
                <w:color w:val="000000"/>
                <w:sz w:val="16"/>
                <w:szCs w:val="16"/>
                <w:lang w:val="en-US" w:eastAsia="en-US"/>
              </w:rPr>
              <w:t>-</w:t>
            </w:r>
            <w:r>
              <w:rPr>
                <w:rFonts w:cs="Arial"/>
                <w:b/>
                <w:bCs/>
                <w:color w:val="000000"/>
                <w:sz w:val="16"/>
                <w:szCs w:val="16"/>
                <w:lang w:eastAsia="en-US"/>
              </w:rPr>
              <w:t>4.081</w:t>
            </w:r>
          </w:p>
        </w:tc>
        <w:tc>
          <w:tcPr>
            <w:tcW w:w="795" w:type="dxa"/>
            <w:tcBorders>
              <w:bottom w:val="single" w:sz="2" w:space="0" w:color="A6A6A6" w:themeColor="background1" w:themeShade="A6"/>
              <w:right w:val="single" w:sz="2" w:space="0" w:color="A6A6A6" w:themeColor="background1" w:themeShade="A6"/>
            </w:tcBorders>
            <w:shd w:val="clear" w:color="000000" w:fill="D5DCE4"/>
            <w:noWrap/>
            <w:vAlign w:val="center"/>
            <w:hideMark/>
          </w:tcPr>
          <w:p w14:paraId="56624CCE" w14:textId="77777777" w:rsidR="00E846AB" w:rsidRPr="00CB285C" w:rsidRDefault="00E846AB" w:rsidP="004302D8">
            <w:pPr>
              <w:spacing w:after="0" w:line="276" w:lineRule="auto"/>
              <w:jc w:val="right"/>
              <w:rPr>
                <w:rFonts w:cs="Arial"/>
                <w:b/>
                <w:bCs/>
                <w:color w:val="000000"/>
                <w:sz w:val="16"/>
                <w:szCs w:val="16"/>
                <w:lang w:eastAsia="en-US"/>
              </w:rPr>
            </w:pPr>
            <w:r w:rsidRPr="004812B8">
              <w:rPr>
                <w:rFonts w:cs="Arial"/>
                <w:b/>
                <w:bCs/>
                <w:color w:val="000000"/>
                <w:sz w:val="16"/>
                <w:szCs w:val="16"/>
                <w:lang w:val="en-US" w:eastAsia="en-US"/>
              </w:rPr>
              <w:t>-</w:t>
            </w:r>
            <w:r>
              <w:rPr>
                <w:rFonts w:cs="Arial"/>
                <w:b/>
                <w:bCs/>
                <w:color w:val="000000"/>
                <w:sz w:val="16"/>
                <w:szCs w:val="16"/>
                <w:lang w:eastAsia="en-US"/>
              </w:rPr>
              <w:t>7.280</w:t>
            </w:r>
          </w:p>
        </w:tc>
      </w:tr>
      <w:tr w:rsidR="00181BE3" w:rsidRPr="004812B8" w14:paraId="48538BE3" w14:textId="77777777" w:rsidTr="00D524BA">
        <w:trPr>
          <w:cantSplit/>
          <w:trHeight w:val="283"/>
          <w:jc w:val="center"/>
        </w:trPr>
        <w:tc>
          <w:tcPr>
            <w:tcW w:w="9072" w:type="dxa"/>
            <w:gridSpan w:val="3"/>
            <w:tcBorders>
              <w:top w:val="single" w:sz="2" w:space="0" w:color="A6A6A6" w:themeColor="background1" w:themeShade="A6"/>
            </w:tcBorders>
            <w:vAlign w:val="center"/>
          </w:tcPr>
          <w:p w14:paraId="560992DA" w14:textId="445C8844" w:rsidR="00181BE3" w:rsidRPr="004812B8" w:rsidRDefault="00181BE3" w:rsidP="00BD427C">
            <w:pPr>
              <w:spacing w:before="60" w:after="0" w:line="276" w:lineRule="auto"/>
              <w:rPr>
                <w:rFonts w:cs="Arial"/>
                <w:b/>
                <w:bCs/>
                <w:color w:val="000000"/>
                <w:sz w:val="16"/>
                <w:szCs w:val="16"/>
                <w:lang w:val="en-US" w:eastAsia="en-US"/>
              </w:rPr>
            </w:pPr>
            <w:r w:rsidRPr="00EB5608">
              <w:rPr>
                <w:rFonts w:cs="Arial"/>
                <w:i/>
                <w:color w:val="000000"/>
                <w:sz w:val="16"/>
                <w:szCs w:val="16"/>
              </w:rPr>
              <w:t>*όπως ανακοινώθηκαν στη ΔΕΘ 202</w:t>
            </w:r>
            <w:r w:rsidRPr="00EB5608">
              <w:rPr>
                <w:rFonts w:cs="Arial"/>
                <w:i/>
                <w:color w:val="000000"/>
                <w:sz w:val="16"/>
                <w:szCs w:val="16"/>
                <w:lang w:val="en-US"/>
              </w:rPr>
              <w:t>6</w:t>
            </w:r>
          </w:p>
        </w:tc>
      </w:tr>
      <w:bookmarkEnd w:id="253"/>
      <w:bookmarkEnd w:id="286"/>
      <w:bookmarkEnd w:id="287"/>
      <w:bookmarkEnd w:id="288"/>
      <w:bookmarkEnd w:id="289"/>
      <w:bookmarkEnd w:id="290"/>
      <w:bookmarkEnd w:id="291"/>
      <w:bookmarkEnd w:id="292"/>
      <w:bookmarkEnd w:id="293"/>
      <w:bookmarkEnd w:id="299"/>
      <w:bookmarkEnd w:id="300"/>
      <w:bookmarkEnd w:id="301"/>
    </w:tbl>
    <w:p w14:paraId="77CBA9C7" w14:textId="77777777" w:rsidR="003377C3" w:rsidRPr="003652CF" w:rsidRDefault="003377C3" w:rsidP="004F40E8">
      <w:pPr>
        <w:rPr>
          <w:strike/>
          <w:szCs w:val="22"/>
          <w:highlight w:val="yellow"/>
        </w:rPr>
        <w:sectPr w:rsidR="003377C3" w:rsidRPr="003652CF" w:rsidSect="00A20B6E">
          <w:headerReference w:type="even" r:id="rId25"/>
          <w:headerReference w:type="default" r:id="rId26"/>
          <w:footerReference w:type="even" r:id="rId27"/>
          <w:footerReference w:type="default" r:id="rId28"/>
          <w:footnotePr>
            <w:numRestart w:val="eachSect"/>
          </w:footnotePr>
          <w:pgSz w:w="11906" w:h="16838" w:code="9"/>
          <w:pgMar w:top="1310" w:right="1418" w:bottom="1310" w:left="1418" w:header="652" w:footer="652" w:gutter="0"/>
          <w:cols w:space="708"/>
          <w:docGrid w:linePitch="360"/>
        </w:sectPr>
      </w:pPr>
    </w:p>
    <w:p w14:paraId="5B3D2330" w14:textId="77777777" w:rsidR="007F09F7" w:rsidRDefault="007F09F7" w:rsidP="00960EEB">
      <w:pPr>
        <w:pStyle w:val="1"/>
        <w:keepNext w:val="0"/>
      </w:pPr>
      <w:bookmarkStart w:id="359" w:name="_Toc242019568"/>
      <w:bookmarkEnd w:id="359"/>
    </w:p>
    <w:p w14:paraId="537BD7DB" w14:textId="041BF9EC" w:rsidR="00F463A0" w:rsidRPr="00190BA5" w:rsidRDefault="00F463A0" w:rsidP="00960EEB">
      <w:pPr>
        <w:pStyle w:val="2"/>
        <w:keepNext w:val="0"/>
      </w:pPr>
      <w:bookmarkStart w:id="360" w:name="_Toc242019569"/>
      <w:r w:rsidRPr="006A035C">
        <w:t>ΔΗΜΟΣΙΟ</w:t>
      </w:r>
      <w:r w:rsidRPr="00190BA5">
        <w:t xml:space="preserve"> ΧΡΕΟΣ</w:t>
      </w:r>
      <w:bookmarkEnd w:id="360"/>
    </w:p>
    <w:p w14:paraId="7878CA26" w14:textId="2CFCC4FA" w:rsidR="002C43E0" w:rsidRPr="006B309C" w:rsidRDefault="002C43E0" w:rsidP="002C43E0">
      <w:pPr>
        <w:rPr>
          <w:rFonts w:cs="Arial"/>
          <w:strike/>
        </w:rPr>
      </w:pPr>
      <w:r>
        <w:t>Παρά το διαρκώς μεταβαλλόμενο διεθνές οικονομικό περιβάλλον η</w:t>
      </w:r>
      <w:r w:rsidRPr="00CF167C">
        <w:t xml:space="preserve"> εκδοτική δραστηριότητα του Ελληνικού Δημοσίου </w:t>
      </w:r>
      <w:r>
        <w:t xml:space="preserve">πραγματοποιήθηκε </w:t>
      </w:r>
      <w:r w:rsidRPr="00C25C00">
        <w:t>απρόσκοπτα</w:t>
      </w:r>
      <w:r w:rsidRPr="00CF167C">
        <w:t xml:space="preserve"> καθ’ όλη τη διάρκεια του τρέχοντος έτους καλύπτοντας τις χαμηλές χρηματοδοτικές του ανάγκες, </w:t>
      </w:r>
      <w:r>
        <w:t xml:space="preserve">κατά κύριο λόγο </w:t>
      </w:r>
      <w:r w:rsidRPr="00CF167C">
        <w:t>με κοινοπρακτικές εκδόσεις, οι οποίες είχαν υψηλό ποσοστό υπερκάλυψης του βιβλίου προσφορών τους, ενώ διατέθηκαν κατά προτεραιότητα σε τελικούς επενδυτές. Σ</w:t>
      </w:r>
      <w:r>
        <w:t>υμπληρωματ</w:t>
      </w:r>
      <w:r w:rsidRPr="00CF167C">
        <w:t xml:space="preserve">ική συνεισφορά στην αναχρηματοδότηση των δανειακών αναγκών είχαν και κατά το τρέχον έτος οι δημοπρασίες επανέκδοσης ομολόγων, οι οποίες διενεργούνται σύμφωνα με </w:t>
      </w:r>
      <w:r w:rsidRPr="00BC0F41">
        <w:t xml:space="preserve">το ανακοινωμένο πρόγραμμα δανεισμού του </w:t>
      </w:r>
      <w:r>
        <w:t>Οργανισμού Διαχείρισης Δημοσίου Χρέους (</w:t>
      </w:r>
      <w:r w:rsidRPr="00BC0F41">
        <w:t>ΟΔΔΗΧ</w:t>
      </w:r>
      <w:r>
        <w:t xml:space="preserve">). </w:t>
      </w:r>
      <w:r w:rsidRPr="00CF167C">
        <w:t xml:space="preserve">Τα συνολικά ταμειακά διαθέσιμα του Ελληνικού Δημοσίου </w:t>
      </w:r>
      <w:r>
        <w:t>εξακολουθούν να βρίσκονται σε</w:t>
      </w:r>
      <w:r w:rsidRPr="00CF167C">
        <w:t xml:space="preserve"> υψηλά επίπεδα,</w:t>
      </w:r>
      <w:r>
        <w:t xml:space="preserve"> παρά το γεγονός ότι</w:t>
      </w:r>
      <w:r w:rsidRPr="00CF167C">
        <w:t xml:space="preserve"> </w:t>
      </w:r>
      <w:r w:rsidRPr="00A70A01">
        <w:rPr>
          <w:rFonts w:cs="Arial"/>
        </w:rPr>
        <w:t xml:space="preserve">για τις πρόωρες αποπληρωμές των </w:t>
      </w:r>
      <w:r w:rsidRPr="00B71CED">
        <w:rPr>
          <w:rFonts w:cs="Arial"/>
        </w:rPr>
        <w:t xml:space="preserve">ευρωπαϊκών δανείων του μηχανισμού Greek </w:t>
      </w:r>
      <w:proofErr w:type="spellStart"/>
      <w:r w:rsidRPr="00B71CED">
        <w:rPr>
          <w:rFonts w:cs="Arial"/>
        </w:rPr>
        <w:t>Loan</w:t>
      </w:r>
      <w:proofErr w:type="spellEnd"/>
      <w:r w:rsidRPr="00B71CED">
        <w:rPr>
          <w:rFonts w:cs="Arial"/>
        </w:rPr>
        <w:t xml:space="preserve"> </w:t>
      </w:r>
      <w:proofErr w:type="spellStart"/>
      <w:r w:rsidRPr="00B71CED">
        <w:rPr>
          <w:rFonts w:cs="Arial"/>
        </w:rPr>
        <w:t>Facility</w:t>
      </w:r>
      <w:proofErr w:type="spellEnd"/>
      <w:r w:rsidRPr="00B71CED">
        <w:rPr>
          <w:rFonts w:cs="Arial"/>
        </w:rPr>
        <w:t xml:space="preserve"> (GLF) </w:t>
      </w:r>
      <w:r w:rsidRPr="00A70A01">
        <w:rPr>
          <w:rFonts w:cs="Arial"/>
        </w:rPr>
        <w:t>που έλαβαν χώρα τα έτη 2024, 2025 και 2026, έγινε πλήρης χρήση</w:t>
      </w:r>
      <w:r w:rsidRPr="006B309C">
        <w:t xml:space="preserve"> </w:t>
      </w:r>
      <w:r w:rsidRPr="00CF167C">
        <w:t xml:space="preserve">του </w:t>
      </w:r>
      <w:r w:rsidRPr="00A70A01">
        <w:rPr>
          <w:rFonts w:cs="Arial"/>
        </w:rPr>
        <w:t>ποσού των 15</w:t>
      </w:r>
      <w:r>
        <w:rPr>
          <w:rFonts w:cs="Arial"/>
        </w:rPr>
        <w:t>.697,3</w:t>
      </w:r>
      <w:r w:rsidRPr="00A70A01">
        <w:rPr>
          <w:rFonts w:cs="Arial"/>
        </w:rPr>
        <w:t xml:space="preserve"> εκ</w:t>
      </w:r>
      <w:r>
        <w:rPr>
          <w:rFonts w:cs="Arial"/>
        </w:rPr>
        <w:t>ατ</w:t>
      </w:r>
      <w:r w:rsidRPr="006B309C">
        <w:rPr>
          <w:rFonts w:cs="Arial"/>
        </w:rPr>
        <w:t>.</w:t>
      </w:r>
      <w:r>
        <w:rPr>
          <w:rFonts w:cs="Arial"/>
        </w:rPr>
        <w:t xml:space="preserve"> ευρώ</w:t>
      </w:r>
      <w:r w:rsidR="00332C89">
        <w:rPr>
          <w:rFonts w:cs="Arial"/>
        </w:rPr>
        <w:t>,</w:t>
      </w:r>
      <w:r w:rsidRPr="006B309C">
        <w:rPr>
          <w:rFonts w:cs="Arial"/>
        </w:rPr>
        <w:t xml:space="preserve"> </w:t>
      </w:r>
      <w:r w:rsidRPr="00A70A01">
        <w:rPr>
          <w:rFonts w:cs="Arial"/>
        </w:rPr>
        <w:t xml:space="preserve">που αποτελούσε το </w:t>
      </w:r>
      <w:r w:rsidR="002001EB">
        <w:rPr>
          <w:rFonts w:cs="Arial"/>
        </w:rPr>
        <w:t>επονομαζόμενο</w:t>
      </w:r>
      <w:r w:rsidRPr="00A70A01">
        <w:rPr>
          <w:rFonts w:cs="Arial"/>
        </w:rPr>
        <w:t xml:space="preserve"> «</w:t>
      </w:r>
      <w:r w:rsidRPr="00A70A01">
        <w:rPr>
          <w:rFonts w:eastAsia="Calibri" w:cs="Arial"/>
          <w:spacing w:val="4"/>
        </w:rPr>
        <w:t>αποθεματικό προσόδων από τις αγορές κεφαλαίου» (</w:t>
      </w:r>
      <w:proofErr w:type="spellStart"/>
      <w:r w:rsidRPr="00A70A01">
        <w:rPr>
          <w:rFonts w:eastAsia="Calibri" w:cs="Arial"/>
          <w:spacing w:val="4"/>
        </w:rPr>
        <w:t>cash</w:t>
      </w:r>
      <w:proofErr w:type="spellEnd"/>
      <w:r w:rsidRPr="00A70A01">
        <w:rPr>
          <w:rFonts w:eastAsia="Calibri" w:cs="Arial"/>
          <w:spacing w:val="4"/>
        </w:rPr>
        <w:t xml:space="preserve"> </w:t>
      </w:r>
      <w:proofErr w:type="spellStart"/>
      <w:r w:rsidRPr="00A70A01">
        <w:rPr>
          <w:rFonts w:eastAsia="Calibri" w:cs="Arial"/>
          <w:spacing w:val="4"/>
        </w:rPr>
        <w:t>buffer</w:t>
      </w:r>
      <w:proofErr w:type="spellEnd"/>
      <w:r w:rsidRPr="00A70A01">
        <w:rPr>
          <w:rFonts w:eastAsia="Calibri" w:cs="Arial"/>
          <w:spacing w:val="4"/>
        </w:rPr>
        <w:t>)</w:t>
      </w:r>
      <w:r w:rsidRPr="00A70A01">
        <w:rPr>
          <w:rFonts w:cs="Arial"/>
        </w:rPr>
        <w:t>.</w:t>
      </w:r>
    </w:p>
    <w:p w14:paraId="4CF00399" w14:textId="34107507" w:rsidR="002C43E0" w:rsidRDefault="002C43E0" w:rsidP="002C43E0">
      <w:r>
        <w:t>Ειδικότερα</w:t>
      </w:r>
      <w:r w:rsidRPr="002001EB">
        <w:t xml:space="preserve">, </w:t>
      </w:r>
      <w:r w:rsidR="00E63E84" w:rsidRPr="002001EB">
        <w:t xml:space="preserve">την </w:t>
      </w:r>
      <w:r w:rsidRPr="002001EB">
        <w:t>15</w:t>
      </w:r>
      <w:r w:rsidR="00E63E84" w:rsidRPr="002001EB">
        <w:t>η</w:t>
      </w:r>
      <w:r w:rsidR="002001EB" w:rsidRPr="002001EB">
        <w:t>.6.</w:t>
      </w:r>
      <w:r w:rsidRPr="002001EB">
        <w:t>2026 πραγματοποιήθηκε</w:t>
      </w:r>
      <w:r>
        <w:t xml:space="preserve"> η</w:t>
      </w:r>
      <w:r w:rsidRPr="00CF167C">
        <w:t xml:space="preserve"> </w:t>
      </w:r>
      <w:r w:rsidRPr="00DA1D7D">
        <w:t>πέμπτη πρόωρη αποπληρωμή</w:t>
      </w:r>
      <w:r w:rsidRPr="007977C3">
        <w:rPr>
          <w:rFonts w:ascii="Bookman Old Style" w:hAnsi="Bookman Old Style"/>
        </w:rPr>
        <w:t xml:space="preserve"> </w:t>
      </w:r>
      <w:r w:rsidRPr="00CF167C">
        <w:t xml:space="preserve">των ευρωπαϊκών δανείων του GLF, τα οποία έχουν κυμαινόμενο επιτόκιο, με την </w:t>
      </w:r>
      <w:r>
        <w:t xml:space="preserve">αναλογική </w:t>
      </w:r>
      <w:r w:rsidRPr="00CF167C">
        <w:t xml:space="preserve">αποπληρωμή δανείων που λήγουν </w:t>
      </w:r>
      <w:r>
        <w:t>το 1</w:t>
      </w:r>
      <w:r w:rsidRPr="002C43E0">
        <w:t>ο</w:t>
      </w:r>
      <w:r>
        <w:t xml:space="preserve"> και </w:t>
      </w:r>
      <w:r w:rsidR="004F1DD2">
        <w:t xml:space="preserve">το </w:t>
      </w:r>
      <w:r>
        <w:t>2</w:t>
      </w:r>
      <w:r w:rsidRPr="002C43E0">
        <w:t>ο</w:t>
      </w:r>
      <w:r>
        <w:t xml:space="preserve"> τρίμηνο του 2029, το 1</w:t>
      </w:r>
      <w:r w:rsidRPr="002C43E0">
        <w:t>ο</w:t>
      </w:r>
      <w:r>
        <w:t xml:space="preserve"> και </w:t>
      </w:r>
      <w:r w:rsidR="004F1DD2">
        <w:t xml:space="preserve">το </w:t>
      </w:r>
      <w:r>
        <w:t>2</w:t>
      </w:r>
      <w:r w:rsidRPr="002C43E0">
        <w:t>ο</w:t>
      </w:r>
      <w:r>
        <w:t xml:space="preserve"> τρίμηνο του 2035 και την πλήρη αποπληρωμή δανείων που λήγουν τα έτη </w:t>
      </w:r>
      <w:r w:rsidRPr="00CF167C">
        <w:t>2033</w:t>
      </w:r>
      <w:r>
        <w:t xml:space="preserve"> και 2034</w:t>
      </w:r>
      <w:r w:rsidRPr="00CF167C">
        <w:t xml:space="preserve">, συνολικού ύψους </w:t>
      </w:r>
      <w:r>
        <w:t>6.943</w:t>
      </w:r>
      <w:r w:rsidR="005E0513">
        <w:t xml:space="preserve"> </w:t>
      </w:r>
      <w:r w:rsidRPr="00CF167C">
        <w:t>εκατ. ευρώ. Έχουν προηγηθεί οι αποπληρωμές δανείων ύψους</w:t>
      </w:r>
      <w:r>
        <w:t xml:space="preserve"> 5.287 εκατ. ευρώ τον Δεκέμβριο 2025,</w:t>
      </w:r>
      <w:r w:rsidRPr="00CF167C">
        <w:t xml:space="preserve"> 7.935 εκατ. ευρώ τον Δεκέμβριο 2024, 5.290 εκατ. ευρώ τον Δεκέμβριο 2023 και 2.645 εκατ. ευρώ τον Δεκέμβριο 2022.</w:t>
      </w:r>
    </w:p>
    <w:p w14:paraId="2EC6DEB9" w14:textId="283C988C" w:rsidR="002C43E0" w:rsidRPr="00840DD9" w:rsidRDefault="002C43E0" w:rsidP="002C43E0">
      <w:pPr>
        <w:rPr>
          <w:rFonts w:cs="Arial"/>
        </w:rPr>
      </w:pPr>
      <w:r w:rsidRPr="008620F5">
        <w:rPr>
          <w:rFonts w:cs="Arial"/>
        </w:rPr>
        <w:t xml:space="preserve">Επιπλέον, </w:t>
      </w:r>
      <w:r>
        <w:rPr>
          <w:rFonts w:cs="Arial"/>
        </w:rPr>
        <w:t xml:space="preserve">στις </w:t>
      </w:r>
      <w:r w:rsidRPr="009B67F7">
        <w:rPr>
          <w:rFonts w:cs="Arial"/>
        </w:rPr>
        <w:t xml:space="preserve">αρχές Οκτωβρίου 2026 </w:t>
      </w:r>
      <w:r w:rsidR="009B67F7">
        <w:rPr>
          <w:rFonts w:cs="Arial"/>
        </w:rPr>
        <w:t>ολοκληρώθηκε</w:t>
      </w:r>
      <w:r w:rsidRPr="008620F5">
        <w:rPr>
          <w:rFonts w:cs="Arial"/>
        </w:rPr>
        <w:t xml:space="preserve"> η πρόωρη αποπληρωμή δανείων του </w:t>
      </w:r>
      <w:r w:rsidR="002001EB">
        <w:rPr>
          <w:rFonts w:cs="Arial"/>
        </w:rPr>
        <w:t xml:space="preserve">Ευρωπαϊκού Ταμείου Χρηματοπιστωτικής Σταθερότητας (ΕΤΧΣ) - </w:t>
      </w:r>
      <w:r w:rsidR="002001EB">
        <w:rPr>
          <w:rFonts w:cs="Arial"/>
          <w:lang w:val="en-US"/>
        </w:rPr>
        <w:t>European</w:t>
      </w:r>
      <w:r w:rsidR="002001EB" w:rsidRPr="002001EB">
        <w:rPr>
          <w:rFonts w:cs="Arial"/>
        </w:rPr>
        <w:t xml:space="preserve"> </w:t>
      </w:r>
      <w:r w:rsidR="002001EB">
        <w:rPr>
          <w:rFonts w:cs="Arial"/>
          <w:lang w:val="en-US"/>
        </w:rPr>
        <w:t>Financial</w:t>
      </w:r>
      <w:r w:rsidR="002001EB" w:rsidRPr="002001EB">
        <w:rPr>
          <w:rFonts w:cs="Arial"/>
        </w:rPr>
        <w:t xml:space="preserve"> </w:t>
      </w:r>
      <w:r w:rsidR="002001EB">
        <w:rPr>
          <w:rFonts w:cs="Arial"/>
          <w:lang w:val="en-US"/>
        </w:rPr>
        <w:t>Stability</w:t>
      </w:r>
      <w:r w:rsidR="002001EB" w:rsidRPr="002001EB">
        <w:rPr>
          <w:rFonts w:cs="Arial"/>
        </w:rPr>
        <w:t xml:space="preserve"> </w:t>
      </w:r>
      <w:r w:rsidR="002001EB">
        <w:rPr>
          <w:rFonts w:cs="Arial"/>
          <w:lang w:val="en-US"/>
        </w:rPr>
        <w:t>Facility</w:t>
      </w:r>
      <w:r w:rsidR="002001EB" w:rsidRPr="002001EB">
        <w:rPr>
          <w:rFonts w:cs="Arial"/>
        </w:rPr>
        <w:t xml:space="preserve"> (</w:t>
      </w:r>
      <w:r w:rsidRPr="002001EB">
        <w:rPr>
          <w:rFonts w:cs="Arial"/>
        </w:rPr>
        <w:t>EFSF</w:t>
      </w:r>
      <w:r w:rsidR="002001EB" w:rsidRPr="002001EB">
        <w:rPr>
          <w:rFonts w:cs="Arial"/>
        </w:rPr>
        <w:t>)</w:t>
      </w:r>
      <w:r w:rsidRPr="002001EB">
        <w:rPr>
          <w:rFonts w:cs="Arial"/>
        </w:rPr>
        <w:t xml:space="preserve"> ύψ</w:t>
      </w:r>
      <w:r w:rsidRPr="008620F5">
        <w:rPr>
          <w:rFonts w:cs="Arial"/>
        </w:rPr>
        <w:t>ους 2.500 εκατ. ευρώ</w:t>
      </w:r>
      <w:r w:rsidR="00264CC5">
        <w:rPr>
          <w:rFonts w:cs="Arial"/>
        </w:rPr>
        <w:t>,</w:t>
      </w:r>
      <w:r w:rsidRPr="008620F5">
        <w:rPr>
          <w:rFonts w:cs="Arial"/>
        </w:rPr>
        <w:t xml:space="preserve"> </w:t>
      </w:r>
      <w:r w:rsidR="00264CC5">
        <w:rPr>
          <w:rFonts w:cs="Arial"/>
        </w:rPr>
        <w:t>ενώ</w:t>
      </w:r>
      <w:r w:rsidRPr="008620F5">
        <w:rPr>
          <w:rFonts w:cs="Arial"/>
        </w:rPr>
        <w:t xml:space="preserve"> πριν το τέλος του έτους</w:t>
      </w:r>
      <w:r w:rsidR="009B67F7">
        <w:rPr>
          <w:rFonts w:cs="Arial"/>
        </w:rPr>
        <w:t xml:space="preserve"> αναμένεται να ολοκληρωθεί </w:t>
      </w:r>
      <w:r w:rsidRPr="008620F5">
        <w:rPr>
          <w:rFonts w:cs="Arial"/>
        </w:rPr>
        <w:t>η προαγορά ομολογιακού δανείου του Ελληνικού Δημοσίου ύψους 2.200 εκατ. ευρώ, λήξης Δεκεμβρίου 2027. Επιπρόσθετα, στο πλαίσιο της μείωσης των ετ</w:t>
      </w:r>
      <w:r w:rsidR="00912832">
        <w:rPr>
          <w:rFonts w:cs="Arial"/>
        </w:rPr>
        <w:t>ή</w:t>
      </w:r>
      <w:r w:rsidRPr="008620F5">
        <w:rPr>
          <w:rFonts w:cs="Arial"/>
        </w:rPr>
        <w:t>σ</w:t>
      </w:r>
      <w:r w:rsidR="00912832">
        <w:rPr>
          <w:rFonts w:cs="Arial"/>
        </w:rPr>
        <w:t>ι</w:t>
      </w:r>
      <w:r w:rsidRPr="008620F5">
        <w:rPr>
          <w:rFonts w:cs="Arial"/>
        </w:rPr>
        <w:t xml:space="preserve">ων μικτών χρηματοδοτικών αναγκών του </w:t>
      </w:r>
      <w:r w:rsidR="00BE3037" w:rsidRPr="002001EB">
        <w:t>Ελληνικού Δημοσίου</w:t>
      </w:r>
      <w:r w:rsidRPr="002001EB">
        <w:rPr>
          <w:rFonts w:cs="Arial"/>
        </w:rPr>
        <w:t xml:space="preserve"> υ</w:t>
      </w:r>
      <w:r w:rsidRPr="008620F5">
        <w:rPr>
          <w:rFonts w:cs="Arial"/>
        </w:rPr>
        <w:t>λοποιείται η μείωση του ύψους των εντόκων γραμματίων κατά 1.200 εκατ.</w:t>
      </w:r>
      <w:r>
        <w:rPr>
          <w:rFonts w:cs="Arial"/>
        </w:rPr>
        <w:t xml:space="preserve"> ευρώ</w:t>
      </w:r>
      <w:r w:rsidRPr="008620F5">
        <w:rPr>
          <w:rFonts w:cs="Arial"/>
        </w:rPr>
        <w:t xml:space="preserve"> σε σ</w:t>
      </w:r>
      <w:r w:rsidR="00491FEE">
        <w:rPr>
          <w:rFonts w:cs="Arial"/>
        </w:rPr>
        <w:t xml:space="preserve">ύγκριση </w:t>
      </w:r>
      <w:r w:rsidRPr="008620F5">
        <w:rPr>
          <w:rFonts w:cs="Arial"/>
        </w:rPr>
        <w:t xml:space="preserve">με το ανεξόφλητο υπόλοιπο </w:t>
      </w:r>
      <w:r w:rsidRPr="00491FEE">
        <w:rPr>
          <w:rFonts w:cs="Arial"/>
        </w:rPr>
        <w:t>της 31</w:t>
      </w:r>
      <w:r w:rsidR="00491FEE" w:rsidRPr="00491FEE">
        <w:rPr>
          <w:rFonts w:cs="Arial"/>
        </w:rPr>
        <w:t>ης</w:t>
      </w:r>
      <w:r w:rsidRPr="00491FEE">
        <w:rPr>
          <w:rFonts w:cs="Arial"/>
        </w:rPr>
        <w:t>.12.2025. Με βάση</w:t>
      </w:r>
      <w:r w:rsidRPr="008620F5">
        <w:rPr>
          <w:rFonts w:cs="Arial"/>
        </w:rPr>
        <w:t xml:space="preserve"> τα </w:t>
      </w:r>
      <w:r w:rsidR="00B176C7">
        <w:rPr>
          <w:rFonts w:cs="Arial"/>
        </w:rPr>
        <w:t>ανωτέρω</w:t>
      </w:r>
      <w:r w:rsidRPr="008620F5">
        <w:rPr>
          <w:rFonts w:cs="Arial"/>
        </w:rPr>
        <w:t>, το σύνολο των πρόωρων αποπληρωμών για το 2026 υπολογίζεται σε 12.843 εκατ.</w:t>
      </w:r>
      <w:r>
        <w:rPr>
          <w:rFonts w:cs="Arial"/>
        </w:rPr>
        <w:t xml:space="preserve"> ευρώ.</w:t>
      </w:r>
    </w:p>
    <w:p w14:paraId="1E5B2664" w14:textId="5AB1570A" w:rsidR="002C43E0" w:rsidRDefault="002C43E0" w:rsidP="002C43E0">
      <w:r w:rsidRPr="00A753CC">
        <w:t xml:space="preserve">Η τρέχουσα αξιολόγηση του Ελληνικού Δημοσίου ως εκδότη βρίσκεται στη βαθμίδα </w:t>
      </w:r>
      <w:r w:rsidR="00E85A09">
        <w:rPr>
          <w:lang w:val="en-US"/>
        </w:rPr>
        <w:t>BBB</w:t>
      </w:r>
      <w:r w:rsidRPr="00A753CC">
        <w:t xml:space="preserve"> από την πλειονότητα των οίκων αξιολόγησης (Standard &amp; Poor’s, </w:t>
      </w:r>
      <w:r w:rsidRPr="00A753CC">
        <w:rPr>
          <w:lang w:val="en-US"/>
        </w:rPr>
        <w:t>Fitch</w:t>
      </w:r>
      <w:r w:rsidRPr="00A753CC">
        <w:t xml:space="preserve">, DBRS </w:t>
      </w:r>
      <w:r w:rsidRPr="00A753CC">
        <w:rPr>
          <w:lang w:val="en"/>
        </w:rPr>
        <w:t>Morningstar</w:t>
      </w:r>
      <w:r w:rsidRPr="00A753CC">
        <w:t xml:space="preserve"> και </w:t>
      </w:r>
      <w:r w:rsidRPr="00A753CC">
        <w:rPr>
          <w:lang w:val="en"/>
        </w:rPr>
        <w:t>R</w:t>
      </w:r>
      <w:r w:rsidRPr="00A753CC">
        <w:t>&amp;</w:t>
      </w:r>
      <w:r w:rsidRPr="00A753CC">
        <w:rPr>
          <w:lang w:val="en"/>
        </w:rPr>
        <w:t>I</w:t>
      </w:r>
      <w:r w:rsidRPr="00A753CC">
        <w:t xml:space="preserve">), ενώ </w:t>
      </w:r>
      <w:r>
        <w:t xml:space="preserve">τον Σεπτέμβριο 2026 </w:t>
      </w:r>
      <w:r w:rsidRPr="00A753CC">
        <w:rPr>
          <w:lang w:val="en-US"/>
        </w:rPr>
        <w:t>o</w:t>
      </w:r>
      <w:r w:rsidRPr="00A753CC">
        <w:t xml:space="preserve"> οίκος </w:t>
      </w:r>
      <w:r w:rsidRPr="00A753CC">
        <w:rPr>
          <w:lang w:val="en"/>
        </w:rPr>
        <w:t>Scope</w:t>
      </w:r>
      <w:r w:rsidRPr="00A753CC">
        <w:t xml:space="preserve"> </w:t>
      </w:r>
      <w:r w:rsidRPr="00A753CC">
        <w:rPr>
          <w:lang w:val="en"/>
        </w:rPr>
        <w:t>Ratings</w:t>
      </w:r>
      <w:r w:rsidRPr="00A753CC">
        <w:t xml:space="preserve"> </w:t>
      </w:r>
      <w:r>
        <w:t>αναβάθμισε κατά μ</w:t>
      </w:r>
      <w:r w:rsidR="00B176C7">
        <w:t>ί</w:t>
      </w:r>
      <w:r>
        <w:t xml:space="preserve">α περαιτέρω βαθμίδα την ελληνική οικονομία σε </w:t>
      </w:r>
      <w:r>
        <w:rPr>
          <w:lang w:val="en-US"/>
        </w:rPr>
        <w:t>BBB</w:t>
      </w:r>
      <w:r w:rsidRPr="000C7225">
        <w:t>+</w:t>
      </w:r>
      <w:r>
        <w:t xml:space="preserve"> με σταθερή προοπτική</w:t>
      </w:r>
      <w:r w:rsidRPr="000C7225">
        <w:t xml:space="preserve">. </w:t>
      </w:r>
      <w:r>
        <w:rPr>
          <w:lang w:val="en-US"/>
        </w:rPr>
        <w:t>O</w:t>
      </w:r>
      <w:r w:rsidRPr="000C7225">
        <w:t xml:space="preserve"> </w:t>
      </w:r>
      <w:r>
        <w:t xml:space="preserve">οίκος </w:t>
      </w:r>
      <w:r w:rsidRPr="00A753CC">
        <w:t>Moody’s διατηρεί το αξιόχρεο του Ελληνικού Δημοσίου στην επενδυτική βαθμίδα Baa3</w:t>
      </w:r>
      <w:r>
        <w:t xml:space="preserve">, ενώ τον Σεπτέμβριο 2026 προχώρησε σε </w:t>
      </w:r>
      <w:r w:rsidRPr="00A753CC">
        <w:t xml:space="preserve">αναβάθμιση των προοπτικών της ελληνικής οικονομίας από σταθερές σε θετικές. </w:t>
      </w:r>
      <w:r>
        <w:t xml:space="preserve">Σε αντίστοιχη αναβάθμιση των </w:t>
      </w:r>
      <w:r w:rsidRPr="00A753CC">
        <w:t xml:space="preserve">προοπτικών της ελληνικής οικονομίας </w:t>
      </w:r>
      <w:r>
        <w:t xml:space="preserve">έχουν ήδη προβεί οι </w:t>
      </w:r>
      <w:r w:rsidRPr="00A753CC">
        <w:t xml:space="preserve">οίκοι αξιολόγησης </w:t>
      </w:r>
      <w:r w:rsidRPr="00A753CC">
        <w:rPr>
          <w:lang w:val="en"/>
        </w:rPr>
        <w:t>R</w:t>
      </w:r>
      <w:r w:rsidRPr="00A753CC">
        <w:t>&amp;</w:t>
      </w:r>
      <w:r w:rsidRPr="00A753CC">
        <w:rPr>
          <w:lang w:val="en"/>
        </w:rPr>
        <w:t>I</w:t>
      </w:r>
      <w:r w:rsidRPr="00A753CC">
        <w:t xml:space="preserve"> και DBRS </w:t>
      </w:r>
      <w:r w:rsidRPr="00A753CC">
        <w:rPr>
          <w:lang w:val="en"/>
        </w:rPr>
        <w:t>Morningstar</w:t>
      </w:r>
      <w:r>
        <w:t>,</w:t>
      </w:r>
      <w:r w:rsidRPr="00A753CC">
        <w:t xml:space="preserve"> τον Αύγουστο και τον Σεπτέμβριο 2026 αντίστοιχα.</w:t>
      </w:r>
    </w:p>
    <w:p w14:paraId="29DC933C" w14:textId="4942F8EF" w:rsidR="002C43E0" w:rsidRDefault="002C43E0" w:rsidP="002C43E0">
      <w:r w:rsidRPr="00CF167C">
        <w:t>Οι χρηματοδοτικές ανάγκες του Ελληνικού Δημοσίου κατά τη διάρκεια του 202</w:t>
      </w:r>
      <w:r>
        <w:t>6</w:t>
      </w:r>
      <w:r w:rsidRPr="00CF167C">
        <w:t xml:space="preserve"> καλύφθηκαν, κατά κύριο λόγο, από κοινοπρακτικ</w:t>
      </w:r>
      <w:r>
        <w:t>ή</w:t>
      </w:r>
      <w:r w:rsidRPr="00CF167C">
        <w:t xml:space="preserve"> </w:t>
      </w:r>
      <w:r>
        <w:t>έκδοση</w:t>
      </w:r>
      <w:r w:rsidRPr="00CF167C">
        <w:t xml:space="preserve"> και </w:t>
      </w:r>
      <w:r w:rsidR="00C9199A">
        <w:t xml:space="preserve">από </w:t>
      </w:r>
      <w:r w:rsidRPr="00CF167C">
        <w:t>επαν</w:t>
      </w:r>
      <w:r>
        <w:t>έκδοση</w:t>
      </w:r>
      <w:r w:rsidRPr="00CF167C">
        <w:t xml:space="preserve"> ομολόγων σταθερού επιτοκίου δεκαετούς δι</w:t>
      </w:r>
      <w:r w:rsidR="006F52F0">
        <w:t>ά</w:t>
      </w:r>
      <w:r w:rsidRPr="00CF167C">
        <w:t>ρκε</w:t>
      </w:r>
      <w:r w:rsidR="006F52F0">
        <w:t>ι</w:t>
      </w:r>
      <w:r w:rsidRPr="00CF167C">
        <w:t>ας, συνολικής ονομαστικής αξίας 7.</w:t>
      </w:r>
      <w:r>
        <w:t>00</w:t>
      </w:r>
      <w:r w:rsidRPr="00CF167C">
        <w:t>0 εκατ. ευρώ. Επιπλέον, καλύφθηκαν από επανεκδόσεις</w:t>
      </w:r>
      <w:r>
        <w:t>,</w:t>
      </w:r>
      <w:r w:rsidRPr="00CF167C">
        <w:t xml:space="preserve"> μέσω δημοπρασιών</w:t>
      </w:r>
      <w:r>
        <w:t>,</w:t>
      </w:r>
      <w:r w:rsidRPr="00CF167C">
        <w:t xml:space="preserve"> ομολόγων </w:t>
      </w:r>
      <w:r w:rsidRPr="002B5B52">
        <w:t>δεκαετούς δι</w:t>
      </w:r>
      <w:r w:rsidR="005F7806">
        <w:t>ά</w:t>
      </w:r>
      <w:r w:rsidRPr="002B5B52">
        <w:t>ρκε</w:t>
      </w:r>
      <w:r w:rsidR="005F7806">
        <w:t>ι</w:t>
      </w:r>
      <w:r w:rsidRPr="002B5B52">
        <w:t xml:space="preserve">ας </w:t>
      </w:r>
      <w:r w:rsidRPr="00CF167C">
        <w:t xml:space="preserve">συνολικής ονομαστικής αξίας </w:t>
      </w:r>
      <w:r>
        <w:t>55</w:t>
      </w:r>
      <w:r w:rsidRPr="00CF167C">
        <w:t>0 εκατ. ευρώ</w:t>
      </w:r>
      <w:r>
        <w:t xml:space="preserve"> </w:t>
      </w:r>
      <w:r w:rsidRPr="008C3C41">
        <w:t>καθώς επίσης και</w:t>
      </w:r>
      <w:r>
        <w:t xml:space="preserve"> από</w:t>
      </w:r>
      <w:r w:rsidRPr="008C3C41">
        <w:t xml:space="preserve"> αναχρηματοδότηση βραχυπρ</w:t>
      </w:r>
      <w:r w:rsidR="00EE3808">
        <w:t>ό</w:t>
      </w:r>
      <w:r w:rsidRPr="008C3C41">
        <w:t>θ</w:t>
      </w:r>
      <w:r w:rsidR="00EE3808">
        <w:t>ε</w:t>
      </w:r>
      <w:r w:rsidRPr="008C3C41">
        <w:t xml:space="preserve">σμου χρέους. </w:t>
      </w:r>
      <w:r w:rsidRPr="00CF167C">
        <w:t>Ο βραχυπρόθεσμος δανεισμός του Ελληνικού Δημοσίου πραγματοποιήθηκε μέσω εκδόσεων εντόκων γραμματίων τρίμηνης, εξάμηνης και ετ</w:t>
      </w:r>
      <w:r w:rsidR="00EE3808">
        <w:t>ή</w:t>
      </w:r>
      <w:r w:rsidRPr="00CF167C">
        <w:t>σ</w:t>
      </w:r>
      <w:r w:rsidR="00AC74DA">
        <w:t>ια</w:t>
      </w:r>
      <w:r w:rsidRPr="00CF167C">
        <w:t>ς δ</w:t>
      </w:r>
      <w:r w:rsidR="00B176C7">
        <w:t>ι</w:t>
      </w:r>
      <w:r w:rsidR="005F7806">
        <w:t>ά</w:t>
      </w:r>
      <w:r w:rsidRPr="00CF167C">
        <w:t>ρκε</w:t>
      </w:r>
      <w:r w:rsidR="005F7806">
        <w:t>ι</w:t>
      </w:r>
      <w:r w:rsidRPr="00CF167C">
        <w:t xml:space="preserve">ας καθώς επίσης και μέσω πράξεων διαχείρισης ταμειακής ρευστότητας υπό τη μορφή repo agreements, τις οποίες συνάπτει ο </w:t>
      </w:r>
      <w:r w:rsidRPr="00BC0F41">
        <w:t>ΟΔΔΗΧ</w:t>
      </w:r>
      <w:r w:rsidRPr="00CF167C">
        <w:t xml:space="preserve"> για την αξιοποίηση των διαθεσίμων, κυρίως, των φορέων της Γενικής Κυβέρνησης.</w:t>
      </w:r>
    </w:p>
    <w:p w14:paraId="0E093486" w14:textId="51C5E91F" w:rsidR="002C43E0" w:rsidRDefault="00303966" w:rsidP="002C43E0">
      <w:r w:rsidRPr="00915933">
        <w:t xml:space="preserve">Την </w:t>
      </w:r>
      <w:r w:rsidR="002C43E0" w:rsidRPr="00915933">
        <w:t>31</w:t>
      </w:r>
      <w:r w:rsidRPr="00915933">
        <w:t>η</w:t>
      </w:r>
      <w:r w:rsidR="002C43E0" w:rsidRPr="00915933">
        <w:t>.8.2026 το σύνολο των δανείων που έχουν χορηγηθεί από τον Μηχανισμό Στήριξης διαμορφώθηκε σε 202.740,3 εκατ. ευρώ, τα οποία συνίστανται αποκλειστικά σε ευρωπαϊκά δάνεια των</w:t>
      </w:r>
      <w:r w:rsidR="002C43E0" w:rsidRPr="00B06174">
        <w:t xml:space="preserve"> κρατών - μελών της Ευρωζώνης.</w:t>
      </w:r>
    </w:p>
    <w:p w14:paraId="582D9015" w14:textId="1A2FE8AA" w:rsidR="003E7B61" w:rsidRPr="00612EBA" w:rsidRDefault="003E7B61" w:rsidP="00FE4476">
      <w:pPr>
        <w:pStyle w:val="3"/>
      </w:pPr>
      <w:bookmarkStart w:id="361" w:name="_Toc114142042"/>
      <w:bookmarkStart w:id="362" w:name="_Toc114142305"/>
      <w:bookmarkStart w:id="363" w:name="_Toc114142380"/>
      <w:bookmarkStart w:id="364" w:name="_Toc114142428"/>
      <w:bookmarkStart w:id="365" w:name="_Toc114149885"/>
      <w:bookmarkStart w:id="366" w:name="_Toc114219140"/>
      <w:bookmarkStart w:id="367" w:name="_Toc114219173"/>
      <w:bookmarkStart w:id="368" w:name="_Toc114219349"/>
      <w:bookmarkStart w:id="369" w:name="_Toc114219398"/>
      <w:bookmarkStart w:id="370" w:name="_Toc114219881"/>
      <w:bookmarkStart w:id="371" w:name="_Toc114234874"/>
      <w:bookmarkStart w:id="372" w:name="_Toc114489544"/>
      <w:bookmarkStart w:id="373" w:name="_Toc114489631"/>
      <w:bookmarkStart w:id="374" w:name="_Toc114489719"/>
      <w:bookmarkStart w:id="375" w:name="_Toc115338190"/>
      <w:bookmarkStart w:id="376" w:name="_Toc115358169"/>
      <w:bookmarkStart w:id="377" w:name="_Toc115424397"/>
      <w:bookmarkStart w:id="378" w:name="_Toc115435263"/>
      <w:bookmarkStart w:id="379" w:name="_Toc115437997"/>
      <w:bookmarkStart w:id="380" w:name="_Toc115526161"/>
      <w:bookmarkStart w:id="381" w:name="_Toc146645080"/>
      <w:bookmarkStart w:id="382" w:name="_Toc146819108"/>
      <w:bookmarkStart w:id="383" w:name="_Toc147015747"/>
      <w:bookmarkStart w:id="384" w:name="_Toc178751235"/>
      <w:bookmarkStart w:id="385" w:name="_Toc24201957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sidRPr="00106E60">
        <w:t>Σύνθεση</w:t>
      </w:r>
      <w:r w:rsidRPr="00612EBA">
        <w:t xml:space="preserve"> </w:t>
      </w:r>
      <w:proofErr w:type="spellStart"/>
      <w:r w:rsidRPr="00744E41">
        <w:t>δημ</w:t>
      </w:r>
      <w:r w:rsidR="00915933">
        <w:rPr>
          <w:lang w:val="el-GR"/>
        </w:rPr>
        <w:t>ο</w:t>
      </w:r>
      <w:r w:rsidRPr="00744E41">
        <w:t>σ</w:t>
      </w:r>
      <w:r w:rsidR="00915933">
        <w:rPr>
          <w:lang w:val="el-GR"/>
        </w:rPr>
        <w:t>ί</w:t>
      </w:r>
      <w:proofErr w:type="spellEnd"/>
      <w:r w:rsidRPr="00744E41">
        <w:t>ου</w:t>
      </w:r>
      <w:r w:rsidRPr="00612EBA">
        <w:t xml:space="preserve"> χρέους</w:t>
      </w:r>
      <w:bookmarkEnd w:id="385"/>
    </w:p>
    <w:p w14:paraId="66FD60D9" w14:textId="77777777" w:rsidR="00C575BA" w:rsidRPr="00612EBA" w:rsidRDefault="00C575BA" w:rsidP="00FE4476">
      <w:pPr>
        <w:pStyle w:val="4"/>
      </w:pPr>
      <w:bookmarkStart w:id="386" w:name="_Toc114142044"/>
      <w:bookmarkStart w:id="387" w:name="_Toc114142307"/>
      <w:bookmarkStart w:id="388" w:name="_Toc114142382"/>
      <w:bookmarkStart w:id="389" w:name="_Toc114142430"/>
      <w:bookmarkStart w:id="390" w:name="_Toc114149887"/>
      <w:bookmarkStart w:id="391" w:name="_Toc114219175"/>
      <w:bookmarkStart w:id="392" w:name="_Toc114219351"/>
      <w:bookmarkStart w:id="393" w:name="_Toc114219400"/>
      <w:bookmarkStart w:id="394" w:name="_Toc114219883"/>
      <w:bookmarkStart w:id="395" w:name="_Toc114234876"/>
      <w:bookmarkStart w:id="396" w:name="_Toc114489546"/>
      <w:bookmarkStart w:id="397" w:name="_Toc114489633"/>
      <w:bookmarkStart w:id="398" w:name="_Toc114489721"/>
      <w:bookmarkStart w:id="399" w:name="_Toc115338192"/>
      <w:bookmarkStart w:id="400" w:name="_Toc115358171"/>
      <w:bookmarkStart w:id="401" w:name="_Toc115424399"/>
      <w:bookmarkStart w:id="402" w:name="_Toc115435265"/>
      <w:bookmarkStart w:id="403" w:name="_Toc115437999"/>
      <w:bookmarkStart w:id="404" w:name="_Toc115526163"/>
      <w:bookmarkStart w:id="405" w:name="_Toc146645082"/>
      <w:bookmarkStart w:id="406" w:name="_Toc146819110"/>
      <w:bookmarkStart w:id="407" w:name="_Toc147015749"/>
      <w:bookmarkStart w:id="408" w:name="_Toc178751237"/>
      <w:bookmarkStart w:id="409" w:name="_Toc114142045"/>
      <w:bookmarkStart w:id="410" w:name="_Toc114142308"/>
      <w:bookmarkStart w:id="411" w:name="_Toc114142383"/>
      <w:bookmarkStart w:id="412" w:name="_Toc114142431"/>
      <w:bookmarkStart w:id="413" w:name="_Toc114149888"/>
      <w:bookmarkStart w:id="414" w:name="_Toc114219176"/>
      <w:bookmarkStart w:id="415" w:name="_Toc114219352"/>
      <w:bookmarkStart w:id="416" w:name="_Toc114219401"/>
      <w:bookmarkStart w:id="417" w:name="_Toc114219884"/>
      <w:bookmarkStart w:id="418" w:name="_Toc114234877"/>
      <w:bookmarkStart w:id="419" w:name="_Toc114489547"/>
      <w:bookmarkStart w:id="420" w:name="_Toc114489634"/>
      <w:bookmarkStart w:id="421" w:name="_Toc114489722"/>
      <w:bookmarkStart w:id="422" w:name="_Toc115338193"/>
      <w:bookmarkStart w:id="423" w:name="_Toc115358172"/>
      <w:bookmarkStart w:id="424" w:name="_Toc115424400"/>
      <w:bookmarkStart w:id="425" w:name="_Toc115435266"/>
      <w:bookmarkStart w:id="426" w:name="_Toc115438000"/>
      <w:bookmarkStart w:id="427" w:name="_Toc115526164"/>
      <w:bookmarkStart w:id="428" w:name="_Toc146645083"/>
      <w:bookmarkStart w:id="429" w:name="_Toc146819111"/>
      <w:bookmarkStart w:id="430" w:name="_Toc147015750"/>
      <w:bookmarkStart w:id="431" w:name="_Toc178751238"/>
      <w:bookmarkStart w:id="432" w:name="_Toc114142046"/>
      <w:bookmarkStart w:id="433" w:name="_Toc114142309"/>
      <w:bookmarkStart w:id="434" w:name="_Toc114142384"/>
      <w:bookmarkStart w:id="435" w:name="_Toc114142432"/>
      <w:bookmarkStart w:id="436" w:name="_Toc114149889"/>
      <w:bookmarkStart w:id="437" w:name="_Toc114219177"/>
      <w:bookmarkStart w:id="438" w:name="_Toc114219353"/>
      <w:bookmarkStart w:id="439" w:name="_Toc114219402"/>
      <w:bookmarkStart w:id="440" w:name="_Toc114219885"/>
      <w:bookmarkStart w:id="441" w:name="_Toc114234878"/>
      <w:bookmarkStart w:id="442" w:name="_Toc114489548"/>
      <w:bookmarkStart w:id="443" w:name="_Toc114489635"/>
      <w:bookmarkStart w:id="444" w:name="_Toc114489723"/>
      <w:bookmarkStart w:id="445" w:name="_Toc115338194"/>
      <w:bookmarkStart w:id="446" w:name="_Toc115358173"/>
      <w:bookmarkStart w:id="447" w:name="_Toc115424401"/>
      <w:bookmarkStart w:id="448" w:name="_Toc115435267"/>
      <w:bookmarkStart w:id="449" w:name="_Toc115438001"/>
      <w:bookmarkStart w:id="450" w:name="_Toc115526165"/>
      <w:bookmarkStart w:id="451" w:name="_Toc146645084"/>
      <w:bookmarkStart w:id="452" w:name="_Toc146819112"/>
      <w:bookmarkStart w:id="453" w:name="_Toc147015751"/>
      <w:bookmarkStart w:id="454" w:name="_Toc178751239"/>
      <w:bookmarkStart w:id="455" w:name="_Toc114142047"/>
      <w:bookmarkStart w:id="456" w:name="_Toc114142310"/>
      <w:bookmarkStart w:id="457" w:name="_Toc114142385"/>
      <w:bookmarkStart w:id="458" w:name="_Toc114142433"/>
      <w:bookmarkStart w:id="459" w:name="_Toc114149890"/>
      <w:bookmarkStart w:id="460" w:name="_Toc114219178"/>
      <w:bookmarkStart w:id="461" w:name="_Toc114219354"/>
      <w:bookmarkStart w:id="462" w:name="_Toc114219403"/>
      <w:bookmarkStart w:id="463" w:name="_Toc114219886"/>
      <w:bookmarkStart w:id="464" w:name="_Toc114234879"/>
      <w:bookmarkStart w:id="465" w:name="_Toc114489549"/>
      <w:bookmarkStart w:id="466" w:name="_Toc114489636"/>
      <w:bookmarkStart w:id="467" w:name="_Toc114489724"/>
      <w:bookmarkStart w:id="468" w:name="_Toc115338195"/>
      <w:bookmarkStart w:id="469" w:name="_Toc115358174"/>
      <w:bookmarkStart w:id="470" w:name="_Toc115424402"/>
      <w:bookmarkStart w:id="471" w:name="_Toc115435268"/>
      <w:bookmarkStart w:id="472" w:name="_Toc115438002"/>
      <w:bookmarkStart w:id="473" w:name="_Toc115526166"/>
      <w:bookmarkStart w:id="474" w:name="_Toc146645085"/>
      <w:bookmarkStart w:id="475" w:name="_Toc146819113"/>
      <w:bookmarkStart w:id="476" w:name="_Toc147015752"/>
      <w:bookmarkStart w:id="477" w:name="_Toc178751240"/>
      <w:bookmarkStart w:id="478" w:name="_Toc114219887"/>
      <w:bookmarkStart w:id="479" w:name="_Toc114234880"/>
      <w:bookmarkStart w:id="480" w:name="_Toc114489550"/>
      <w:bookmarkStart w:id="481" w:name="_Toc114489637"/>
      <w:bookmarkStart w:id="482" w:name="_Toc114489725"/>
      <w:bookmarkStart w:id="483" w:name="_Toc115338196"/>
      <w:bookmarkStart w:id="484" w:name="_Toc115358175"/>
      <w:bookmarkStart w:id="485" w:name="_Toc115424403"/>
      <w:bookmarkStart w:id="486" w:name="_Toc115435269"/>
      <w:bookmarkStart w:id="487" w:name="_Toc115438003"/>
      <w:bookmarkStart w:id="488" w:name="_Toc115526167"/>
      <w:bookmarkStart w:id="489" w:name="_Toc146645086"/>
      <w:bookmarkStart w:id="490" w:name="_Toc146819114"/>
      <w:bookmarkStart w:id="491" w:name="_Toc147015753"/>
      <w:bookmarkStart w:id="492" w:name="_Toc178751241"/>
      <w:bookmarkStart w:id="493" w:name="_Toc114219888"/>
      <w:bookmarkStart w:id="494" w:name="_Toc114234881"/>
      <w:bookmarkStart w:id="495" w:name="_Toc114489551"/>
      <w:bookmarkStart w:id="496" w:name="_Toc114489638"/>
      <w:bookmarkStart w:id="497" w:name="_Toc114489726"/>
      <w:bookmarkStart w:id="498" w:name="_Toc115338197"/>
      <w:bookmarkStart w:id="499" w:name="_Toc115358176"/>
      <w:bookmarkStart w:id="500" w:name="_Toc115424404"/>
      <w:bookmarkStart w:id="501" w:name="_Toc115435270"/>
      <w:bookmarkStart w:id="502" w:name="_Toc115438004"/>
      <w:bookmarkStart w:id="503" w:name="_Toc115526168"/>
      <w:bookmarkStart w:id="504" w:name="_Toc146645087"/>
      <w:bookmarkStart w:id="505" w:name="_Toc146819115"/>
      <w:bookmarkStart w:id="506" w:name="_Toc147015754"/>
      <w:bookmarkStart w:id="507" w:name="_Toc178751242"/>
      <w:bookmarkStart w:id="508" w:name="_Toc114219889"/>
      <w:bookmarkStart w:id="509" w:name="_Toc114234882"/>
      <w:bookmarkStart w:id="510" w:name="_Toc114489552"/>
      <w:bookmarkStart w:id="511" w:name="_Toc114489639"/>
      <w:bookmarkStart w:id="512" w:name="_Toc114489727"/>
      <w:bookmarkStart w:id="513" w:name="_Toc115338198"/>
      <w:bookmarkStart w:id="514" w:name="_Toc115358177"/>
      <w:bookmarkStart w:id="515" w:name="_Toc115424405"/>
      <w:bookmarkStart w:id="516" w:name="_Toc115435271"/>
      <w:bookmarkStart w:id="517" w:name="_Toc115438005"/>
      <w:bookmarkStart w:id="518" w:name="_Toc115526169"/>
      <w:bookmarkStart w:id="519" w:name="_Toc146645088"/>
      <w:bookmarkStart w:id="520" w:name="_Toc146819116"/>
      <w:bookmarkStart w:id="521" w:name="_Toc147015755"/>
      <w:bookmarkStart w:id="522" w:name="_Toc178751243"/>
      <w:bookmarkStart w:id="523" w:name="_Toc114219890"/>
      <w:bookmarkStart w:id="524" w:name="_Toc114234883"/>
      <w:bookmarkStart w:id="525" w:name="_Toc114489553"/>
      <w:bookmarkStart w:id="526" w:name="_Toc114489640"/>
      <w:bookmarkStart w:id="527" w:name="_Toc114489728"/>
      <w:bookmarkStart w:id="528" w:name="_Toc115338199"/>
      <w:bookmarkStart w:id="529" w:name="_Toc115358178"/>
      <w:bookmarkStart w:id="530" w:name="_Toc115424406"/>
      <w:bookmarkStart w:id="531" w:name="_Toc115435272"/>
      <w:bookmarkStart w:id="532" w:name="_Toc115438006"/>
      <w:bookmarkStart w:id="533" w:name="_Toc115526170"/>
      <w:bookmarkStart w:id="534" w:name="_Toc146645089"/>
      <w:bookmarkStart w:id="535" w:name="_Toc146819117"/>
      <w:bookmarkStart w:id="536" w:name="_Toc147015756"/>
      <w:bookmarkStart w:id="537" w:name="_Toc178751244"/>
      <w:bookmarkStart w:id="538" w:name="_Toc115526171"/>
      <w:bookmarkStart w:id="539" w:name="_Toc146645090"/>
      <w:bookmarkStart w:id="540" w:name="_Toc146819118"/>
      <w:bookmarkStart w:id="541" w:name="_Toc147015757"/>
      <w:bookmarkStart w:id="542" w:name="_Toc178751245"/>
      <w:bookmarkStart w:id="543" w:name="_Toc115526172"/>
      <w:bookmarkStart w:id="544" w:name="_Toc146645091"/>
      <w:bookmarkStart w:id="545" w:name="_Toc146819119"/>
      <w:bookmarkStart w:id="546" w:name="_Toc147015758"/>
      <w:bookmarkStart w:id="547" w:name="_Toc178751246"/>
      <w:bookmarkStart w:id="548" w:name="_Toc242019571"/>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sidRPr="00612EBA">
        <w:t xml:space="preserve">Το χρέος της </w:t>
      </w:r>
      <w:r w:rsidR="00C26E20">
        <w:rPr>
          <w:lang w:val="el-GR"/>
        </w:rPr>
        <w:t xml:space="preserve">Κεντρικής </w:t>
      </w:r>
      <w:r w:rsidR="00604869">
        <w:rPr>
          <w:lang w:val="el-GR"/>
        </w:rPr>
        <w:t xml:space="preserve">Διοίκησης </w:t>
      </w:r>
      <w:r w:rsidR="00835E1C">
        <w:rPr>
          <w:lang w:val="el-GR"/>
        </w:rPr>
        <w:t xml:space="preserve">και της </w:t>
      </w:r>
      <w:r w:rsidRPr="00612EBA">
        <w:t>Γενικής Κυβέρνησης</w:t>
      </w:r>
      <w:bookmarkEnd w:id="548"/>
    </w:p>
    <w:p w14:paraId="3720FB92" w14:textId="004AEF68" w:rsidR="00EA5317" w:rsidRDefault="00EA5317" w:rsidP="00EA5317">
      <w:r w:rsidRPr="00E40AE8">
        <w:t xml:space="preserve">Το χρέος της Γενικής Κυβέρνησης εκτιμάται ότι θα διαμορφωθεί σε </w:t>
      </w:r>
      <w:r w:rsidRPr="008E6920">
        <w:t>35</w:t>
      </w:r>
      <w:r>
        <w:t>8</w:t>
      </w:r>
      <w:r w:rsidRPr="008E6920">
        <w:t>.</w:t>
      </w:r>
      <w:r>
        <w:t>100</w:t>
      </w:r>
      <w:r w:rsidRPr="00E40AE8">
        <w:t xml:space="preserve"> εκατ. ευρώ ή </w:t>
      </w:r>
      <w:r w:rsidR="00915933">
        <w:t xml:space="preserve">σε </w:t>
      </w:r>
      <w:r>
        <w:t>136,7</w:t>
      </w:r>
      <w:r w:rsidRPr="00E40AE8">
        <w:t>% ως ποσοστό του ΑΕΠ στο τέλος του 202</w:t>
      </w:r>
      <w:r w:rsidRPr="008E6920">
        <w:t>6</w:t>
      </w:r>
      <w:r w:rsidRPr="00E40AE8">
        <w:t xml:space="preserve"> έναντι </w:t>
      </w:r>
      <w:r w:rsidRPr="008E6920">
        <w:t>362.9</w:t>
      </w:r>
      <w:r>
        <w:t>2</w:t>
      </w:r>
      <w:r w:rsidRPr="008E6920">
        <w:t>5</w:t>
      </w:r>
      <w:r w:rsidRPr="00E40AE8">
        <w:t xml:space="preserve"> εκατ. ευρώ ή 1</w:t>
      </w:r>
      <w:r w:rsidRPr="008E6920">
        <w:t>46</w:t>
      </w:r>
      <w:r w:rsidRPr="00E40AE8">
        <w:t>,</w:t>
      </w:r>
      <w:r>
        <w:t>1</w:t>
      </w:r>
      <w:r w:rsidRPr="00E40AE8">
        <w:t>% ως ποσοστό του ΑΕΠ το 202</w:t>
      </w:r>
      <w:r w:rsidRPr="008E6920">
        <w:t>5</w:t>
      </w:r>
      <w:r w:rsidRPr="00E40AE8">
        <w:t xml:space="preserve">, παρουσιάζοντας μείωση κατά </w:t>
      </w:r>
      <w:r>
        <w:t>9</w:t>
      </w:r>
      <w:r w:rsidRPr="008E6920">
        <w:t>,4</w:t>
      </w:r>
      <w:r w:rsidRPr="00E40AE8">
        <w:t xml:space="preserve"> ποσοστιαίες μονάδες έναντι του 202</w:t>
      </w:r>
      <w:r w:rsidRPr="008E6920">
        <w:t>5</w:t>
      </w:r>
      <w:r w:rsidRPr="00E40AE8">
        <w:t>. Το 202</w:t>
      </w:r>
      <w:r>
        <w:t>7</w:t>
      </w:r>
      <w:r w:rsidRPr="00E40AE8">
        <w:t xml:space="preserve"> το χρέος της Γενικής Κυβέρνησης προβλέπεται ότι θα διαμορφωθεί σε 35</w:t>
      </w:r>
      <w:r>
        <w:t>3</w:t>
      </w:r>
      <w:r w:rsidRPr="00E40AE8">
        <w:t>.</w:t>
      </w:r>
      <w:r>
        <w:t>69</w:t>
      </w:r>
      <w:r w:rsidRPr="00E40AE8">
        <w:t xml:space="preserve">0 εκατ. ευρώ ή </w:t>
      </w:r>
      <w:r w:rsidR="00915933">
        <w:t xml:space="preserve">σε </w:t>
      </w:r>
      <w:r w:rsidRPr="00E40AE8">
        <w:t>1</w:t>
      </w:r>
      <w:r>
        <w:t>28</w:t>
      </w:r>
      <w:r w:rsidRPr="00E40AE8">
        <w:t>,</w:t>
      </w:r>
      <w:r>
        <w:t>8</w:t>
      </w:r>
      <w:r w:rsidRPr="00E40AE8">
        <w:t>% ως ποσοστό του ΑΕΠ, παρουσιάζοντας μείωση κατά 7,</w:t>
      </w:r>
      <w:r>
        <w:t>9</w:t>
      </w:r>
      <w:r w:rsidRPr="00E40AE8">
        <w:t xml:space="preserve"> ποσοστιαίες μονάδες του ΑΕΠ έναντι του </w:t>
      </w:r>
      <w:r w:rsidRPr="007B5805">
        <w:t>2026 (</w:t>
      </w:r>
      <w:r w:rsidR="00303966" w:rsidRPr="007B5805">
        <w:fldChar w:fldCharType="begin"/>
      </w:r>
      <w:r w:rsidR="00303966" w:rsidRPr="007B5805">
        <w:instrText xml:space="preserve"> REF _Ref178696263 \h  \* MERGEFORMAT </w:instrText>
      </w:r>
      <w:r w:rsidR="00303966" w:rsidRPr="007B5805">
        <w:fldChar w:fldCharType="separate"/>
      </w:r>
      <w:r w:rsidR="007F6D9C" w:rsidRPr="007B5805">
        <w:t>Πίνακας 3.1</w:t>
      </w:r>
      <w:r w:rsidR="00303966" w:rsidRPr="007B5805">
        <w:fldChar w:fldCharType="end"/>
      </w:r>
      <w:r w:rsidR="005E21D1" w:rsidRPr="007B5805">
        <w:t>.</w:t>
      </w:r>
      <w:r w:rsidRPr="007B5805">
        <w:t>).</w:t>
      </w:r>
    </w:p>
    <w:p w14:paraId="075FD92C" w14:textId="590EF33A" w:rsidR="00EA5317" w:rsidRDefault="00EA5317" w:rsidP="00EA5317">
      <w:pPr>
        <w:spacing w:after="240"/>
      </w:pPr>
      <w:r w:rsidRPr="00E40AE8">
        <w:t xml:space="preserve">Το χρέος της Κεντρικής Διοίκησης εκτιμάται ότι θα διαμορφωθεί σε </w:t>
      </w:r>
      <w:r>
        <w:t>411.579</w:t>
      </w:r>
      <w:r w:rsidRPr="00E40AE8">
        <w:t xml:space="preserve"> εκατ. ευρώ ή </w:t>
      </w:r>
      <w:r w:rsidR="00915933">
        <w:t xml:space="preserve">σε </w:t>
      </w:r>
      <w:r>
        <w:t>157,1</w:t>
      </w:r>
      <w:r w:rsidRPr="00E40AE8">
        <w:t>% ως ποσοστό του ΑΕΠ στο τέλος του 202</w:t>
      </w:r>
      <w:r>
        <w:t>6</w:t>
      </w:r>
      <w:r w:rsidRPr="00E40AE8">
        <w:t xml:space="preserve"> έναντι 40</w:t>
      </w:r>
      <w:r>
        <w:t>6</w:t>
      </w:r>
      <w:r w:rsidRPr="00E40AE8">
        <w:t>.</w:t>
      </w:r>
      <w:r>
        <w:t>18</w:t>
      </w:r>
      <w:r w:rsidRPr="00E40AE8">
        <w:t>1 εκατ. ευρώ ή 1</w:t>
      </w:r>
      <w:r>
        <w:t>63</w:t>
      </w:r>
      <w:r w:rsidRPr="00E40AE8">
        <w:t>,</w:t>
      </w:r>
      <w:r>
        <w:t>5</w:t>
      </w:r>
      <w:r w:rsidRPr="00E40AE8">
        <w:t>% ως ποσοστό του ΑΕΠ το 202</w:t>
      </w:r>
      <w:r>
        <w:t>5</w:t>
      </w:r>
      <w:r w:rsidRPr="00E40AE8">
        <w:t xml:space="preserve">, παρουσιάζοντας μείωση κατά </w:t>
      </w:r>
      <w:r>
        <w:t>6</w:t>
      </w:r>
      <w:r w:rsidRPr="00E40AE8">
        <w:t>,4 ποσοστιαίες μονάδες έναντι του 202</w:t>
      </w:r>
      <w:r>
        <w:t>5</w:t>
      </w:r>
      <w:r w:rsidRPr="00E40AE8">
        <w:t>. Το 202</w:t>
      </w:r>
      <w:r>
        <w:t>7</w:t>
      </w:r>
      <w:r w:rsidRPr="00E40AE8">
        <w:t xml:space="preserve"> το ύψος του χρέους της Κεντρικής Διοίκησης προβλέπεται ότι θα διαμορφωθεί σε </w:t>
      </w:r>
      <w:r>
        <w:t>406.252</w:t>
      </w:r>
      <w:r w:rsidRPr="00E40AE8">
        <w:t xml:space="preserve"> εκατ. ευρώ ή </w:t>
      </w:r>
      <w:r w:rsidR="00915933">
        <w:t xml:space="preserve">σε </w:t>
      </w:r>
      <w:r w:rsidRPr="00E40AE8">
        <w:t>1</w:t>
      </w:r>
      <w:r>
        <w:t>47,9</w:t>
      </w:r>
      <w:r w:rsidRPr="00E40AE8">
        <w:t xml:space="preserve">% ως ποσοστό του ΑΕΠ, παρουσιάζοντας μείωση κατά </w:t>
      </w:r>
      <w:r>
        <w:t>9</w:t>
      </w:r>
      <w:r w:rsidRPr="00E40AE8">
        <w:t>,</w:t>
      </w:r>
      <w:r>
        <w:t>2</w:t>
      </w:r>
      <w:r w:rsidRPr="00E40AE8">
        <w:t xml:space="preserve"> ποσοστιαίες μονάδες έναντι του 202</w:t>
      </w:r>
      <w:r>
        <w:t>6</w:t>
      </w:r>
      <w:r w:rsidRPr="001B6A7C">
        <w:t>.</w:t>
      </w:r>
    </w:p>
    <w:tbl>
      <w:tblPr>
        <w:tblW w:w="8786"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3782"/>
        <w:gridCol w:w="835"/>
        <w:gridCol w:w="835"/>
        <w:gridCol w:w="835"/>
        <w:gridCol w:w="835"/>
        <w:gridCol w:w="835"/>
        <w:gridCol w:w="829"/>
      </w:tblGrid>
      <w:tr w:rsidR="00EC6BE6" w:rsidRPr="00C41AD3" w14:paraId="54774964" w14:textId="77777777" w:rsidTr="00747837">
        <w:trPr>
          <w:cantSplit/>
          <w:trHeight w:val="567"/>
          <w:jc w:val="center"/>
        </w:trPr>
        <w:tc>
          <w:tcPr>
            <w:tcW w:w="8786" w:type="dxa"/>
            <w:gridSpan w:val="7"/>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noWrap/>
            <w:vAlign w:val="center"/>
            <w:hideMark/>
          </w:tcPr>
          <w:p w14:paraId="0CDEA547" w14:textId="22C960EA" w:rsidR="00EC6BE6" w:rsidRPr="00C41AD3" w:rsidRDefault="00C1556C" w:rsidP="00787B59">
            <w:pPr>
              <w:spacing w:after="0" w:line="276" w:lineRule="auto"/>
              <w:jc w:val="center"/>
              <w:rPr>
                <w:rFonts w:ascii="Arial Narrow" w:hAnsi="Arial Narrow" w:cs="Arial"/>
                <w:b/>
                <w:bCs/>
                <w:szCs w:val="20"/>
              </w:rPr>
            </w:pPr>
            <w:bookmarkStart w:id="549" w:name="_Ref178696263"/>
            <w:bookmarkStart w:id="550" w:name="_Ref146821385"/>
            <w:bookmarkStart w:id="551" w:name="_Toc241773182"/>
            <w:bookmarkStart w:id="552" w:name="OLE_LINK2"/>
            <w:r w:rsidRPr="00C44C27">
              <w:rPr>
                <w:b/>
                <w:sz w:val="18"/>
                <w:szCs w:val="18"/>
              </w:rPr>
              <w:t>Πίνακας 3.</w:t>
            </w:r>
            <w:r w:rsidRPr="00C44C27">
              <w:rPr>
                <w:b/>
                <w:sz w:val="18"/>
                <w:szCs w:val="18"/>
              </w:rPr>
              <w:fldChar w:fldCharType="begin"/>
            </w:r>
            <w:r w:rsidRPr="00C44C27">
              <w:rPr>
                <w:b/>
                <w:sz w:val="18"/>
                <w:szCs w:val="18"/>
              </w:rPr>
              <w:instrText xml:space="preserve"> SEQ Πίνακας_3. \* ARABIC </w:instrText>
            </w:r>
            <w:r w:rsidRPr="00C44C27">
              <w:rPr>
                <w:b/>
                <w:sz w:val="18"/>
                <w:szCs w:val="18"/>
              </w:rPr>
              <w:fldChar w:fldCharType="separate"/>
            </w:r>
            <w:r w:rsidR="007F6D9C">
              <w:rPr>
                <w:b/>
                <w:noProof/>
                <w:sz w:val="18"/>
                <w:szCs w:val="18"/>
              </w:rPr>
              <w:t>1</w:t>
            </w:r>
            <w:r w:rsidRPr="00C44C27">
              <w:rPr>
                <w:b/>
                <w:sz w:val="18"/>
                <w:szCs w:val="18"/>
              </w:rPr>
              <w:fldChar w:fldCharType="end"/>
            </w:r>
            <w:bookmarkEnd w:id="549"/>
            <w:r w:rsidR="00C65368" w:rsidRPr="00C44C27">
              <w:rPr>
                <w:rFonts w:cs="Arial"/>
                <w:b/>
                <w:bCs/>
                <w:sz w:val="18"/>
                <w:szCs w:val="18"/>
              </w:rPr>
              <w:t>.</w:t>
            </w:r>
            <w:bookmarkEnd w:id="550"/>
            <w:r w:rsidR="00722859" w:rsidRPr="00C44C27">
              <w:rPr>
                <w:rFonts w:cs="Arial"/>
                <w:b/>
                <w:bCs/>
                <w:sz w:val="18"/>
                <w:szCs w:val="18"/>
              </w:rPr>
              <w:t xml:space="preserve">: </w:t>
            </w:r>
            <w:r w:rsidR="00EC6BE6" w:rsidRPr="00C44C27">
              <w:rPr>
                <w:rFonts w:cs="Arial"/>
                <w:b/>
                <w:bCs/>
                <w:sz w:val="18"/>
                <w:szCs w:val="18"/>
              </w:rPr>
              <w:t>Σύνθεση δημ</w:t>
            </w:r>
            <w:r w:rsidR="00D93CE6">
              <w:rPr>
                <w:rFonts w:cs="Arial"/>
                <w:b/>
                <w:bCs/>
                <w:sz w:val="18"/>
                <w:szCs w:val="18"/>
              </w:rPr>
              <w:t>ο</w:t>
            </w:r>
            <w:r w:rsidR="00EC6BE6" w:rsidRPr="00C44C27">
              <w:rPr>
                <w:rFonts w:cs="Arial"/>
                <w:b/>
                <w:bCs/>
                <w:sz w:val="18"/>
                <w:szCs w:val="18"/>
              </w:rPr>
              <w:t>σ</w:t>
            </w:r>
            <w:r w:rsidR="00D93CE6">
              <w:rPr>
                <w:rFonts w:cs="Arial"/>
                <w:b/>
                <w:bCs/>
                <w:sz w:val="18"/>
                <w:szCs w:val="18"/>
              </w:rPr>
              <w:t>ί</w:t>
            </w:r>
            <w:r w:rsidR="00EC6BE6" w:rsidRPr="00C44C27">
              <w:rPr>
                <w:rFonts w:cs="Arial"/>
                <w:b/>
                <w:bCs/>
                <w:sz w:val="18"/>
                <w:szCs w:val="18"/>
              </w:rPr>
              <w:t>ου χρέους</w:t>
            </w:r>
            <w:bookmarkEnd w:id="551"/>
            <w:r w:rsidR="00787B59">
              <w:rPr>
                <w:rFonts w:cs="Arial"/>
                <w:b/>
                <w:bCs/>
                <w:sz w:val="18"/>
                <w:szCs w:val="18"/>
              </w:rPr>
              <w:br/>
            </w:r>
            <w:r w:rsidR="00EC6BE6" w:rsidRPr="00C44C27">
              <w:rPr>
                <w:rFonts w:cs="Arial"/>
                <w:b/>
                <w:bCs/>
                <w:sz w:val="18"/>
                <w:szCs w:val="18"/>
              </w:rPr>
              <w:t>(σε εκατ. ευρώ)</w:t>
            </w:r>
          </w:p>
        </w:tc>
      </w:tr>
      <w:tr w:rsidR="000F34B4" w:rsidRPr="00C41AD3" w14:paraId="0D4844D2" w14:textId="77777777" w:rsidTr="00F44BB1">
        <w:trPr>
          <w:cantSplit/>
          <w:trHeight w:val="340"/>
          <w:jc w:val="center"/>
        </w:trPr>
        <w:tc>
          <w:tcPr>
            <w:tcW w:w="3782" w:type="dxa"/>
            <w:tcBorders>
              <w:top w:val="nil"/>
              <w:left w:val="single" w:sz="2" w:space="0" w:color="A6A6A6" w:themeColor="background1" w:themeShade="A6"/>
              <w:bottom w:val="nil"/>
            </w:tcBorders>
            <w:shd w:val="clear" w:color="auto" w:fill="F2F2F2" w:themeFill="background1" w:themeFillShade="F2"/>
            <w:vAlign w:val="center"/>
            <w:hideMark/>
          </w:tcPr>
          <w:p w14:paraId="4D43EB68" w14:textId="77777777" w:rsidR="000F34B4" w:rsidRPr="006A75F2" w:rsidRDefault="000F34B4" w:rsidP="000F34B4">
            <w:pPr>
              <w:spacing w:after="0" w:line="276" w:lineRule="auto"/>
              <w:jc w:val="left"/>
              <w:rPr>
                <w:rFonts w:cs="Arial"/>
                <w:sz w:val="16"/>
                <w:szCs w:val="16"/>
              </w:rPr>
            </w:pPr>
          </w:p>
        </w:tc>
        <w:tc>
          <w:tcPr>
            <w:tcW w:w="835" w:type="dxa"/>
            <w:tcBorders>
              <w:top w:val="nil"/>
              <w:bottom w:val="nil"/>
            </w:tcBorders>
            <w:shd w:val="clear" w:color="auto" w:fill="F2F2F2" w:themeFill="background1" w:themeFillShade="F2"/>
            <w:vAlign w:val="center"/>
          </w:tcPr>
          <w:p w14:paraId="41AADDAE" w14:textId="040CF4A9" w:rsidR="000F34B4" w:rsidRPr="006A75F2" w:rsidRDefault="000F34B4" w:rsidP="000F34B4">
            <w:pPr>
              <w:spacing w:after="0" w:line="276" w:lineRule="auto"/>
              <w:jc w:val="center"/>
              <w:rPr>
                <w:rFonts w:cs="Arial"/>
                <w:b/>
                <w:bCs/>
                <w:sz w:val="16"/>
                <w:szCs w:val="16"/>
              </w:rPr>
            </w:pPr>
            <w:r w:rsidRPr="006A75F2">
              <w:rPr>
                <w:rFonts w:cs="Arial"/>
                <w:b/>
                <w:bCs/>
                <w:sz w:val="16"/>
                <w:szCs w:val="16"/>
              </w:rPr>
              <w:t>2022</w:t>
            </w:r>
          </w:p>
        </w:tc>
        <w:tc>
          <w:tcPr>
            <w:tcW w:w="835" w:type="dxa"/>
            <w:tcBorders>
              <w:top w:val="nil"/>
              <w:bottom w:val="nil"/>
            </w:tcBorders>
            <w:shd w:val="clear" w:color="auto" w:fill="F2F2F2" w:themeFill="background1" w:themeFillShade="F2"/>
            <w:vAlign w:val="center"/>
          </w:tcPr>
          <w:p w14:paraId="53074170" w14:textId="0012A0C2" w:rsidR="000F34B4" w:rsidRPr="006A75F2" w:rsidRDefault="000F34B4" w:rsidP="000F34B4">
            <w:pPr>
              <w:spacing w:after="0" w:line="276" w:lineRule="auto"/>
              <w:jc w:val="center"/>
              <w:rPr>
                <w:rFonts w:cs="Arial"/>
                <w:b/>
                <w:bCs/>
                <w:sz w:val="16"/>
                <w:szCs w:val="16"/>
              </w:rPr>
            </w:pPr>
            <w:r w:rsidRPr="006A75F2">
              <w:rPr>
                <w:rFonts w:cs="Arial"/>
                <w:b/>
                <w:bCs/>
                <w:sz w:val="16"/>
                <w:szCs w:val="16"/>
              </w:rPr>
              <w:t>2023</w:t>
            </w:r>
          </w:p>
        </w:tc>
        <w:tc>
          <w:tcPr>
            <w:tcW w:w="835" w:type="dxa"/>
            <w:tcBorders>
              <w:top w:val="nil"/>
              <w:bottom w:val="nil"/>
            </w:tcBorders>
            <w:shd w:val="clear" w:color="auto" w:fill="F2F2F2" w:themeFill="background1" w:themeFillShade="F2"/>
            <w:vAlign w:val="center"/>
          </w:tcPr>
          <w:p w14:paraId="58664EBC" w14:textId="65ADF024" w:rsidR="000F34B4" w:rsidRPr="006A75F2" w:rsidRDefault="000F34B4" w:rsidP="000F34B4">
            <w:pPr>
              <w:spacing w:after="0" w:line="276" w:lineRule="auto"/>
              <w:jc w:val="center"/>
              <w:rPr>
                <w:rFonts w:cs="Arial"/>
                <w:b/>
                <w:bCs/>
                <w:sz w:val="16"/>
                <w:szCs w:val="16"/>
              </w:rPr>
            </w:pPr>
            <w:r w:rsidRPr="006A75F2">
              <w:rPr>
                <w:rFonts w:cs="Arial"/>
                <w:b/>
                <w:bCs/>
                <w:sz w:val="16"/>
                <w:szCs w:val="16"/>
              </w:rPr>
              <w:t>2024</w:t>
            </w:r>
          </w:p>
        </w:tc>
        <w:tc>
          <w:tcPr>
            <w:tcW w:w="835" w:type="dxa"/>
            <w:tcBorders>
              <w:top w:val="nil"/>
              <w:bottom w:val="nil"/>
            </w:tcBorders>
            <w:shd w:val="clear" w:color="auto" w:fill="F2F2F2" w:themeFill="background1" w:themeFillShade="F2"/>
            <w:vAlign w:val="center"/>
          </w:tcPr>
          <w:p w14:paraId="67E77576" w14:textId="5CE281B9" w:rsidR="000F34B4" w:rsidRPr="006A75F2" w:rsidRDefault="000F34B4" w:rsidP="000F34B4">
            <w:pPr>
              <w:spacing w:after="0" w:line="276" w:lineRule="auto"/>
              <w:jc w:val="center"/>
              <w:rPr>
                <w:rFonts w:cs="Arial"/>
                <w:b/>
                <w:bCs/>
                <w:sz w:val="16"/>
                <w:szCs w:val="16"/>
              </w:rPr>
            </w:pPr>
            <w:r w:rsidRPr="006A75F2">
              <w:rPr>
                <w:rFonts w:cs="Arial"/>
                <w:b/>
                <w:bCs/>
                <w:sz w:val="16"/>
                <w:szCs w:val="16"/>
              </w:rPr>
              <w:t>2025</w:t>
            </w:r>
          </w:p>
        </w:tc>
        <w:tc>
          <w:tcPr>
            <w:tcW w:w="835" w:type="dxa"/>
            <w:tcBorders>
              <w:top w:val="nil"/>
              <w:bottom w:val="nil"/>
            </w:tcBorders>
            <w:shd w:val="clear" w:color="auto" w:fill="F2F2F2" w:themeFill="background1" w:themeFillShade="F2"/>
            <w:vAlign w:val="center"/>
          </w:tcPr>
          <w:p w14:paraId="359210AD" w14:textId="78978C37" w:rsidR="000F34B4" w:rsidRPr="006A75F2" w:rsidRDefault="000F34B4" w:rsidP="000F34B4">
            <w:pPr>
              <w:spacing w:after="0" w:line="276" w:lineRule="auto"/>
              <w:jc w:val="center"/>
              <w:rPr>
                <w:rFonts w:cs="Arial"/>
                <w:b/>
                <w:bCs/>
                <w:sz w:val="16"/>
                <w:szCs w:val="16"/>
              </w:rPr>
            </w:pPr>
            <w:r w:rsidRPr="006A75F2">
              <w:rPr>
                <w:rFonts w:cs="Arial"/>
                <w:b/>
                <w:bCs/>
                <w:sz w:val="16"/>
                <w:szCs w:val="16"/>
              </w:rPr>
              <w:t>2026</w:t>
            </w:r>
            <w:r w:rsidRPr="006A75F2">
              <w:rPr>
                <w:rFonts w:cs="Arial"/>
                <w:b/>
                <w:bCs/>
                <w:sz w:val="16"/>
                <w:szCs w:val="16"/>
                <w:vertAlign w:val="superscript"/>
              </w:rPr>
              <w:t>1</w:t>
            </w:r>
          </w:p>
        </w:tc>
        <w:tc>
          <w:tcPr>
            <w:tcW w:w="829" w:type="dxa"/>
            <w:tcBorders>
              <w:top w:val="nil"/>
              <w:bottom w:val="nil"/>
              <w:right w:val="single" w:sz="2" w:space="0" w:color="A6A6A6" w:themeColor="background1" w:themeShade="A6"/>
            </w:tcBorders>
            <w:shd w:val="clear" w:color="auto" w:fill="F2F2F2" w:themeFill="background1" w:themeFillShade="F2"/>
            <w:vAlign w:val="center"/>
          </w:tcPr>
          <w:p w14:paraId="3F968A66" w14:textId="68EB1D67" w:rsidR="000F34B4" w:rsidRPr="006A75F2" w:rsidRDefault="000F34B4" w:rsidP="000F34B4">
            <w:pPr>
              <w:spacing w:after="0" w:line="276" w:lineRule="auto"/>
              <w:jc w:val="center"/>
              <w:rPr>
                <w:rFonts w:cs="Arial"/>
                <w:b/>
                <w:bCs/>
                <w:sz w:val="16"/>
                <w:szCs w:val="16"/>
              </w:rPr>
            </w:pPr>
            <w:r w:rsidRPr="006A75F2">
              <w:rPr>
                <w:rFonts w:cs="Arial"/>
                <w:b/>
                <w:bCs/>
                <w:sz w:val="16"/>
                <w:szCs w:val="16"/>
              </w:rPr>
              <w:t>2027</w:t>
            </w:r>
            <w:r w:rsidRPr="006A75F2">
              <w:rPr>
                <w:rFonts w:cs="Arial"/>
                <w:b/>
                <w:bCs/>
                <w:sz w:val="16"/>
                <w:szCs w:val="16"/>
                <w:vertAlign w:val="superscript"/>
              </w:rPr>
              <w:t>2</w:t>
            </w:r>
          </w:p>
        </w:tc>
      </w:tr>
      <w:tr w:rsidR="000F34B4" w:rsidRPr="00C41AD3" w14:paraId="58DF6AB8" w14:textId="77777777" w:rsidTr="00026496">
        <w:trPr>
          <w:cantSplit/>
          <w:trHeight w:val="283"/>
          <w:jc w:val="center"/>
        </w:trPr>
        <w:tc>
          <w:tcPr>
            <w:tcW w:w="3782" w:type="dxa"/>
            <w:tcBorders>
              <w:top w:val="nil"/>
              <w:left w:val="single" w:sz="2" w:space="0" w:color="A6A6A6" w:themeColor="background1" w:themeShade="A6"/>
              <w:bottom w:val="nil"/>
            </w:tcBorders>
            <w:noWrap/>
            <w:vAlign w:val="center"/>
            <w:hideMark/>
          </w:tcPr>
          <w:p w14:paraId="2884F6FF" w14:textId="77777777" w:rsidR="000F34B4" w:rsidRPr="003E6404" w:rsidRDefault="000F34B4" w:rsidP="000F34B4">
            <w:pPr>
              <w:spacing w:after="0" w:line="276" w:lineRule="auto"/>
              <w:jc w:val="left"/>
              <w:rPr>
                <w:rFonts w:cs="Arial"/>
                <w:sz w:val="16"/>
                <w:szCs w:val="16"/>
              </w:rPr>
            </w:pPr>
            <w:r w:rsidRPr="003E6404">
              <w:rPr>
                <w:rFonts w:cs="Arial"/>
                <w:sz w:val="16"/>
                <w:szCs w:val="16"/>
              </w:rPr>
              <w:t>Ομόλογα</w:t>
            </w:r>
          </w:p>
        </w:tc>
        <w:tc>
          <w:tcPr>
            <w:tcW w:w="835" w:type="dxa"/>
            <w:tcBorders>
              <w:top w:val="nil"/>
              <w:bottom w:val="nil"/>
            </w:tcBorders>
            <w:noWrap/>
            <w:vAlign w:val="center"/>
          </w:tcPr>
          <w:p w14:paraId="10044BCA" w14:textId="648DCA75" w:rsidR="000F34B4" w:rsidRPr="003E6404" w:rsidRDefault="000F34B4" w:rsidP="000F34B4">
            <w:pPr>
              <w:spacing w:after="0" w:line="276" w:lineRule="auto"/>
              <w:jc w:val="right"/>
              <w:rPr>
                <w:rFonts w:cs="Arial"/>
                <w:sz w:val="16"/>
                <w:szCs w:val="16"/>
              </w:rPr>
            </w:pPr>
            <w:r w:rsidRPr="003E6404">
              <w:rPr>
                <w:rFonts w:cs="Arial"/>
                <w:sz w:val="16"/>
                <w:szCs w:val="16"/>
              </w:rPr>
              <w:t>84.933</w:t>
            </w:r>
          </w:p>
        </w:tc>
        <w:tc>
          <w:tcPr>
            <w:tcW w:w="835" w:type="dxa"/>
            <w:tcBorders>
              <w:top w:val="nil"/>
              <w:bottom w:val="nil"/>
            </w:tcBorders>
            <w:noWrap/>
            <w:vAlign w:val="center"/>
          </w:tcPr>
          <w:p w14:paraId="0FDC2BE0" w14:textId="2E9CC77E" w:rsidR="000F34B4" w:rsidRPr="003E6404" w:rsidRDefault="000F34B4" w:rsidP="000F34B4">
            <w:pPr>
              <w:spacing w:after="0" w:line="276" w:lineRule="auto"/>
              <w:jc w:val="right"/>
              <w:rPr>
                <w:rFonts w:cs="Arial"/>
                <w:sz w:val="16"/>
                <w:szCs w:val="16"/>
              </w:rPr>
            </w:pPr>
            <w:r w:rsidRPr="003E6404">
              <w:rPr>
                <w:rFonts w:cs="Arial"/>
                <w:sz w:val="16"/>
                <w:szCs w:val="16"/>
              </w:rPr>
              <w:t>90.459</w:t>
            </w:r>
          </w:p>
        </w:tc>
        <w:tc>
          <w:tcPr>
            <w:tcW w:w="835" w:type="dxa"/>
            <w:tcBorders>
              <w:top w:val="nil"/>
              <w:bottom w:val="nil"/>
            </w:tcBorders>
            <w:noWrap/>
            <w:vAlign w:val="center"/>
          </w:tcPr>
          <w:p w14:paraId="0C8BD94A" w14:textId="4F9DF035" w:rsidR="000F34B4" w:rsidRPr="003E6404" w:rsidRDefault="000F34B4" w:rsidP="000F34B4">
            <w:pPr>
              <w:spacing w:after="0" w:line="276" w:lineRule="auto"/>
              <w:jc w:val="right"/>
              <w:rPr>
                <w:rFonts w:cs="Arial"/>
                <w:sz w:val="16"/>
                <w:szCs w:val="16"/>
              </w:rPr>
            </w:pPr>
            <w:r w:rsidRPr="003E6404">
              <w:rPr>
                <w:rFonts w:cs="Arial"/>
                <w:sz w:val="16"/>
                <w:szCs w:val="16"/>
              </w:rPr>
              <w:t>96.870</w:t>
            </w:r>
          </w:p>
        </w:tc>
        <w:tc>
          <w:tcPr>
            <w:tcW w:w="835" w:type="dxa"/>
            <w:tcBorders>
              <w:top w:val="nil"/>
              <w:bottom w:val="nil"/>
            </w:tcBorders>
            <w:noWrap/>
            <w:vAlign w:val="center"/>
          </w:tcPr>
          <w:p w14:paraId="6C1BA61A" w14:textId="79150D5F" w:rsidR="000F34B4" w:rsidRPr="003E6404" w:rsidRDefault="000F34B4" w:rsidP="000F34B4">
            <w:pPr>
              <w:spacing w:after="0" w:line="276" w:lineRule="auto"/>
              <w:jc w:val="right"/>
              <w:rPr>
                <w:rFonts w:cs="Arial"/>
                <w:sz w:val="16"/>
                <w:szCs w:val="16"/>
              </w:rPr>
            </w:pPr>
            <w:r w:rsidRPr="003E6404">
              <w:rPr>
                <w:rFonts w:cs="Arial"/>
                <w:sz w:val="16"/>
                <w:szCs w:val="16"/>
              </w:rPr>
              <w:t>100.760</w:t>
            </w:r>
          </w:p>
        </w:tc>
        <w:tc>
          <w:tcPr>
            <w:tcW w:w="835" w:type="dxa"/>
            <w:tcBorders>
              <w:top w:val="nil"/>
              <w:bottom w:val="nil"/>
            </w:tcBorders>
            <w:noWrap/>
            <w:vAlign w:val="center"/>
          </w:tcPr>
          <w:p w14:paraId="7BC01273" w14:textId="37AEF9D6" w:rsidR="000F34B4" w:rsidRPr="003E6404" w:rsidRDefault="000F34B4" w:rsidP="000F34B4">
            <w:pPr>
              <w:spacing w:after="0" w:line="276" w:lineRule="auto"/>
              <w:jc w:val="right"/>
              <w:rPr>
                <w:rFonts w:cs="Arial"/>
                <w:sz w:val="16"/>
                <w:szCs w:val="16"/>
              </w:rPr>
            </w:pPr>
            <w:r w:rsidRPr="003E6404">
              <w:rPr>
                <w:rFonts w:cs="Arial"/>
                <w:sz w:val="16"/>
                <w:szCs w:val="16"/>
              </w:rPr>
              <w:t>99.815</w:t>
            </w:r>
          </w:p>
        </w:tc>
        <w:tc>
          <w:tcPr>
            <w:tcW w:w="829" w:type="dxa"/>
            <w:tcBorders>
              <w:top w:val="nil"/>
              <w:bottom w:val="nil"/>
              <w:right w:val="single" w:sz="2" w:space="0" w:color="A6A6A6" w:themeColor="background1" w:themeShade="A6"/>
            </w:tcBorders>
            <w:noWrap/>
            <w:vAlign w:val="center"/>
          </w:tcPr>
          <w:p w14:paraId="1290D245" w14:textId="4EB35830" w:rsidR="000F34B4" w:rsidRPr="003E6404" w:rsidRDefault="000F34B4" w:rsidP="000F34B4">
            <w:pPr>
              <w:spacing w:after="0" w:line="276" w:lineRule="auto"/>
              <w:jc w:val="right"/>
              <w:rPr>
                <w:rFonts w:cs="Arial"/>
                <w:sz w:val="16"/>
                <w:szCs w:val="16"/>
              </w:rPr>
            </w:pPr>
            <w:r w:rsidRPr="003E6404">
              <w:rPr>
                <w:rFonts w:cs="Arial"/>
                <w:sz w:val="16"/>
                <w:szCs w:val="16"/>
              </w:rPr>
              <w:t>101.678</w:t>
            </w:r>
          </w:p>
        </w:tc>
      </w:tr>
      <w:tr w:rsidR="000F34B4" w:rsidRPr="00C41AD3" w14:paraId="2690EC00" w14:textId="77777777" w:rsidTr="00026496">
        <w:trPr>
          <w:cantSplit/>
          <w:trHeight w:val="283"/>
          <w:jc w:val="center"/>
        </w:trPr>
        <w:tc>
          <w:tcPr>
            <w:tcW w:w="3782" w:type="dxa"/>
            <w:tcBorders>
              <w:top w:val="nil"/>
              <w:left w:val="single" w:sz="2" w:space="0" w:color="A6A6A6" w:themeColor="background1" w:themeShade="A6"/>
              <w:bottom w:val="nil"/>
            </w:tcBorders>
            <w:vAlign w:val="center"/>
            <w:hideMark/>
          </w:tcPr>
          <w:p w14:paraId="0E0E03E4" w14:textId="77777777" w:rsidR="000F34B4" w:rsidRPr="003E6404" w:rsidRDefault="000F34B4" w:rsidP="000F34B4">
            <w:pPr>
              <w:spacing w:after="0" w:line="276" w:lineRule="auto"/>
              <w:jc w:val="left"/>
              <w:rPr>
                <w:rFonts w:cs="Arial"/>
                <w:sz w:val="16"/>
                <w:szCs w:val="16"/>
              </w:rPr>
            </w:pPr>
            <w:r w:rsidRPr="003E6404">
              <w:rPr>
                <w:rFonts w:cs="Arial"/>
                <w:sz w:val="16"/>
                <w:szCs w:val="16"/>
              </w:rPr>
              <w:t>Βραχυπρόθεσμοι τίτλοι</w:t>
            </w:r>
          </w:p>
        </w:tc>
        <w:tc>
          <w:tcPr>
            <w:tcW w:w="835" w:type="dxa"/>
            <w:tcBorders>
              <w:top w:val="nil"/>
              <w:bottom w:val="nil"/>
            </w:tcBorders>
            <w:noWrap/>
            <w:vAlign w:val="center"/>
          </w:tcPr>
          <w:p w14:paraId="4AB7FCA6" w14:textId="514B1449" w:rsidR="000F34B4" w:rsidRPr="003E6404" w:rsidRDefault="000F34B4" w:rsidP="000F34B4">
            <w:pPr>
              <w:spacing w:after="0" w:line="276" w:lineRule="auto"/>
              <w:jc w:val="right"/>
              <w:rPr>
                <w:rFonts w:cs="Arial"/>
                <w:sz w:val="16"/>
                <w:szCs w:val="16"/>
              </w:rPr>
            </w:pPr>
            <w:r w:rsidRPr="003E6404">
              <w:rPr>
                <w:rFonts w:cs="Arial"/>
                <w:sz w:val="16"/>
                <w:szCs w:val="16"/>
              </w:rPr>
              <w:t>11.800</w:t>
            </w:r>
          </w:p>
        </w:tc>
        <w:tc>
          <w:tcPr>
            <w:tcW w:w="835" w:type="dxa"/>
            <w:tcBorders>
              <w:top w:val="nil"/>
              <w:bottom w:val="nil"/>
            </w:tcBorders>
            <w:noWrap/>
            <w:vAlign w:val="center"/>
          </w:tcPr>
          <w:p w14:paraId="0F643656" w14:textId="48560F1C" w:rsidR="000F34B4" w:rsidRPr="003E6404" w:rsidRDefault="000F34B4" w:rsidP="000F34B4">
            <w:pPr>
              <w:spacing w:after="0" w:line="276" w:lineRule="auto"/>
              <w:jc w:val="right"/>
              <w:rPr>
                <w:rFonts w:cs="Arial"/>
                <w:sz w:val="16"/>
                <w:szCs w:val="16"/>
              </w:rPr>
            </w:pPr>
            <w:r w:rsidRPr="003E6404">
              <w:rPr>
                <w:rFonts w:cs="Arial"/>
                <w:sz w:val="16"/>
                <w:szCs w:val="16"/>
              </w:rPr>
              <w:t>11.988</w:t>
            </w:r>
          </w:p>
        </w:tc>
        <w:tc>
          <w:tcPr>
            <w:tcW w:w="835" w:type="dxa"/>
            <w:tcBorders>
              <w:top w:val="nil"/>
              <w:bottom w:val="nil"/>
            </w:tcBorders>
            <w:noWrap/>
            <w:vAlign w:val="center"/>
          </w:tcPr>
          <w:p w14:paraId="12854667" w14:textId="288E6FCD" w:rsidR="000F34B4" w:rsidRPr="003E6404" w:rsidRDefault="000F34B4" w:rsidP="000F34B4">
            <w:pPr>
              <w:spacing w:after="0" w:line="276" w:lineRule="auto"/>
              <w:jc w:val="right"/>
              <w:rPr>
                <w:rFonts w:cs="Arial"/>
                <w:sz w:val="16"/>
                <w:szCs w:val="16"/>
              </w:rPr>
            </w:pPr>
            <w:r w:rsidRPr="003E6404">
              <w:rPr>
                <w:rFonts w:cs="Arial"/>
                <w:sz w:val="16"/>
                <w:szCs w:val="16"/>
              </w:rPr>
              <w:t>8.416</w:t>
            </w:r>
          </w:p>
        </w:tc>
        <w:tc>
          <w:tcPr>
            <w:tcW w:w="835" w:type="dxa"/>
            <w:tcBorders>
              <w:top w:val="nil"/>
              <w:bottom w:val="nil"/>
            </w:tcBorders>
            <w:noWrap/>
            <w:vAlign w:val="center"/>
          </w:tcPr>
          <w:p w14:paraId="1DEAA9FF" w14:textId="7B63E203" w:rsidR="000F34B4" w:rsidRPr="003E6404" w:rsidRDefault="000F34B4" w:rsidP="000F34B4">
            <w:pPr>
              <w:spacing w:after="0" w:line="276" w:lineRule="auto"/>
              <w:jc w:val="right"/>
              <w:rPr>
                <w:rFonts w:cs="Arial"/>
                <w:sz w:val="16"/>
                <w:szCs w:val="16"/>
              </w:rPr>
            </w:pPr>
            <w:r w:rsidRPr="003E6404">
              <w:rPr>
                <w:rFonts w:cs="Arial"/>
                <w:sz w:val="16"/>
                <w:szCs w:val="16"/>
              </w:rPr>
              <w:t>7.969</w:t>
            </w:r>
          </w:p>
        </w:tc>
        <w:tc>
          <w:tcPr>
            <w:tcW w:w="835" w:type="dxa"/>
            <w:tcBorders>
              <w:top w:val="nil"/>
              <w:bottom w:val="nil"/>
            </w:tcBorders>
            <w:noWrap/>
            <w:vAlign w:val="center"/>
          </w:tcPr>
          <w:p w14:paraId="4E88678A" w14:textId="41E2856D" w:rsidR="000F34B4" w:rsidRPr="003E6404" w:rsidRDefault="000F34B4" w:rsidP="000F34B4">
            <w:pPr>
              <w:spacing w:after="0" w:line="276" w:lineRule="auto"/>
              <w:jc w:val="right"/>
              <w:rPr>
                <w:rFonts w:cs="Arial"/>
                <w:sz w:val="16"/>
                <w:szCs w:val="16"/>
              </w:rPr>
            </w:pPr>
            <w:r w:rsidRPr="003E6404">
              <w:rPr>
                <w:rFonts w:cs="Arial"/>
                <w:sz w:val="16"/>
                <w:szCs w:val="16"/>
              </w:rPr>
              <w:t>7.000</w:t>
            </w:r>
          </w:p>
        </w:tc>
        <w:tc>
          <w:tcPr>
            <w:tcW w:w="829" w:type="dxa"/>
            <w:tcBorders>
              <w:top w:val="nil"/>
              <w:bottom w:val="nil"/>
              <w:right w:val="single" w:sz="2" w:space="0" w:color="A6A6A6" w:themeColor="background1" w:themeShade="A6"/>
            </w:tcBorders>
            <w:noWrap/>
            <w:vAlign w:val="center"/>
          </w:tcPr>
          <w:p w14:paraId="61F8F30C" w14:textId="2A2575A6" w:rsidR="000F34B4" w:rsidRPr="003E6404" w:rsidRDefault="000F34B4" w:rsidP="000F34B4">
            <w:pPr>
              <w:spacing w:after="0" w:line="276" w:lineRule="auto"/>
              <w:jc w:val="right"/>
              <w:rPr>
                <w:rFonts w:cs="Arial"/>
                <w:sz w:val="16"/>
                <w:szCs w:val="16"/>
              </w:rPr>
            </w:pPr>
            <w:r w:rsidRPr="003E6404">
              <w:rPr>
                <w:rFonts w:cs="Arial"/>
                <w:sz w:val="16"/>
                <w:szCs w:val="16"/>
              </w:rPr>
              <w:t>7.000</w:t>
            </w:r>
          </w:p>
        </w:tc>
      </w:tr>
      <w:tr w:rsidR="000F34B4" w:rsidRPr="00C41AD3" w14:paraId="34781AEA" w14:textId="77777777" w:rsidTr="00026496">
        <w:trPr>
          <w:cantSplit/>
          <w:trHeight w:val="283"/>
          <w:jc w:val="center"/>
        </w:trPr>
        <w:tc>
          <w:tcPr>
            <w:tcW w:w="3782" w:type="dxa"/>
            <w:tcBorders>
              <w:top w:val="nil"/>
              <w:left w:val="single" w:sz="2" w:space="0" w:color="A6A6A6" w:themeColor="background1" w:themeShade="A6"/>
              <w:bottom w:val="nil"/>
            </w:tcBorders>
            <w:vAlign w:val="center"/>
            <w:hideMark/>
          </w:tcPr>
          <w:p w14:paraId="20BA9145" w14:textId="77777777" w:rsidR="000F34B4" w:rsidRPr="003E6404" w:rsidRDefault="000F34B4" w:rsidP="000F34B4">
            <w:pPr>
              <w:spacing w:after="0" w:line="276" w:lineRule="auto"/>
              <w:jc w:val="left"/>
              <w:rPr>
                <w:rFonts w:cs="Arial"/>
                <w:sz w:val="16"/>
                <w:szCs w:val="16"/>
              </w:rPr>
            </w:pPr>
            <w:r w:rsidRPr="003E6404">
              <w:rPr>
                <w:rFonts w:cs="Arial"/>
                <w:sz w:val="16"/>
                <w:szCs w:val="16"/>
              </w:rPr>
              <w:t>Δάνεια</w:t>
            </w:r>
          </w:p>
        </w:tc>
        <w:tc>
          <w:tcPr>
            <w:tcW w:w="835" w:type="dxa"/>
            <w:tcBorders>
              <w:top w:val="nil"/>
              <w:bottom w:val="nil"/>
            </w:tcBorders>
            <w:noWrap/>
            <w:vAlign w:val="center"/>
          </w:tcPr>
          <w:p w14:paraId="3063D2AB" w14:textId="7A1F2CFB" w:rsidR="000F34B4" w:rsidRPr="003E6404" w:rsidRDefault="000F34B4" w:rsidP="000F34B4">
            <w:pPr>
              <w:spacing w:after="0" w:line="276" w:lineRule="auto"/>
              <w:jc w:val="right"/>
              <w:rPr>
                <w:rFonts w:cs="Arial"/>
                <w:sz w:val="16"/>
                <w:szCs w:val="16"/>
              </w:rPr>
            </w:pPr>
            <w:r w:rsidRPr="003E6404">
              <w:rPr>
                <w:rFonts w:cs="Arial"/>
                <w:sz w:val="16"/>
                <w:szCs w:val="16"/>
              </w:rPr>
              <w:t>253.618</w:t>
            </w:r>
          </w:p>
        </w:tc>
        <w:tc>
          <w:tcPr>
            <w:tcW w:w="835" w:type="dxa"/>
            <w:tcBorders>
              <w:top w:val="nil"/>
              <w:bottom w:val="nil"/>
            </w:tcBorders>
            <w:noWrap/>
            <w:vAlign w:val="center"/>
          </w:tcPr>
          <w:p w14:paraId="0095B25B" w14:textId="190D848F" w:rsidR="000F34B4" w:rsidRPr="003E6404" w:rsidRDefault="000F34B4" w:rsidP="000F34B4">
            <w:pPr>
              <w:spacing w:after="0" w:line="276" w:lineRule="auto"/>
              <w:jc w:val="right"/>
              <w:rPr>
                <w:rFonts w:cs="Arial"/>
                <w:sz w:val="16"/>
                <w:szCs w:val="16"/>
              </w:rPr>
            </w:pPr>
            <w:r w:rsidRPr="003E6404">
              <w:rPr>
                <w:rFonts w:cs="Arial"/>
                <w:sz w:val="16"/>
                <w:szCs w:val="16"/>
              </w:rPr>
              <w:t>249.537</w:t>
            </w:r>
          </w:p>
        </w:tc>
        <w:tc>
          <w:tcPr>
            <w:tcW w:w="835" w:type="dxa"/>
            <w:tcBorders>
              <w:top w:val="nil"/>
              <w:bottom w:val="nil"/>
            </w:tcBorders>
            <w:noWrap/>
            <w:vAlign w:val="center"/>
          </w:tcPr>
          <w:p w14:paraId="09E8046F" w14:textId="36A320AA" w:rsidR="000F34B4" w:rsidRPr="003E6404" w:rsidRDefault="000F34B4" w:rsidP="000F34B4">
            <w:pPr>
              <w:spacing w:after="0" w:line="276" w:lineRule="auto"/>
              <w:jc w:val="right"/>
              <w:rPr>
                <w:rFonts w:cs="Arial"/>
                <w:sz w:val="16"/>
                <w:szCs w:val="16"/>
              </w:rPr>
            </w:pPr>
            <w:r w:rsidRPr="003E6404">
              <w:rPr>
                <w:rFonts w:cs="Arial"/>
                <w:sz w:val="16"/>
                <w:szCs w:val="16"/>
              </w:rPr>
              <w:t>241.631</w:t>
            </w:r>
          </w:p>
        </w:tc>
        <w:tc>
          <w:tcPr>
            <w:tcW w:w="835" w:type="dxa"/>
            <w:tcBorders>
              <w:top w:val="nil"/>
              <w:bottom w:val="nil"/>
            </w:tcBorders>
            <w:noWrap/>
            <w:vAlign w:val="center"/>
          </w:tcPr>
          <w:p w14:paraId="24FED2B8" w14:textId="2B28F4DF" w:rsidR="000F34B4" w:rsidRPr="003E6404" w:rsidRDefault="000F34B4" w:rsidP="000F34B4">
            <w:pPr>
              <w:spacing w:after="0" w:line="276" w:lineRule="auto"/>
              <w:jc w:val="right"/>
              <w:rPr>
                <w:rFonts w:cs="Arial"/>
                <w:sz w:val="16"/>
                <w:szCs w:val="16"/>
              </w:rPr>
            </w:pPr>
            <w:r w:rsidRPr="003E6404">
              <w:rPr>
                <w:rFonts w:cs="Arial"/>
                <w:sz w:val="16"/>
                <w:szCs w:val="16"/>
              </w:rPr>
              <w:t>234.601</w:t>
            </w:r>
          </w:p>
        </w:tc>
        <w:tc>
          <w:tcPr>
            <w:tcW w:w="835" w:type="dxa"/>
            <w:tcBorders>
              <w:top w:val="nil"/>
              <w:bottom w:val="nil"/>
            </w:tcBorders>
            <w:noWrap/>
            <w:vAlign w:val="center"/>
          </w:tcPr>
          <w:p w14:paraId="5EE6AB41" w14:textId="5D46E40E" w:rsidR="000F34B4" w:rsidRPr="003E6404" w:rsidRDefault="000F34B4" w:rsidP="000F34B4">
            <w:pPr>
              <w:spacing w:after="0" w:line="276" w:lineRule="auto"/>
              <w:jc w:val="right"/>
              <w:rPr>
                <w:rFonts w:cs="Arial"/>
                <w:sz w:val="16"/>
                <w:szCs w:val="16"/>
              </w:rPr>
            </w:pPr>
            <w:r w:rsidRPr="003E6404">
              <w:rPr>
                <w:rFonts w:cs="Arial"/>
                <w:sz w:val="16"/>
                <w:szCs w:val="16"/>
              </w:rPr>
              <w:t>229.764</w:t>
            </w:r>
          </w:p>
        </w:tc>
        <w:tc>
          <w:tcPr>
            <w:tcW w:w="829" w:type="dxa"/>
            <w:tcBorders>
              <w:top w:val="nil"/>
              <w:bottom w:val="nil"/>
              <w:right w:val="single" w:sz="2" w:space="0" w:color="A6A6A6" w:themeColor="background1" w:themeShade="A6"/>
            </w:tcBorders>
            <w:noWrap/>
            <w:vAlign w:val="center"/>
          </w:tcPr>
          <w:p w14:paraId="5244CCF8" w14:textId="03A7CD26" w:rsidR="000F34B4" w:rsidRPr="003E6404" w:rsidRDefault="000F34B4" w:rsidP="000F34B4">
            <w:pPr>
              <w:spacing w:after="0" w:line="276" w:lineRule="auto"/>
              <w:jc w:val="right"/>
              <w:rPr>
                <w:rFonts w:cs="Arial"/>
                <w:sz w:val="16"/>
                <w:szCs w:val="16"/>
              </w:rPr>
            </w:pPr>
            <w:r w:rsidRPr="003E6404">
              <w:rPr>
                <w:rFonts w:cs="Arial"/>
                <w:sz w:val="16"/>
                <w:szCs w:val="16"/>
              </w:rPr>
              <w:t>221.574</w:t>
            </w:r>
          </w:p>
        </w:tc>
      </w:tr>
      <w:tr w:rsidR="000F34B4" w:rsidRPr="00C41AD3" w14:paraId="72652CDA" w14:textId="77777777" w:rsidTr="00026496">
        <w:trPr>
          <w:cantSplit/>
          <w:trHeight w:val="283"/>
          <w:jc w:val="center"/>
        </w:trPr>
        <w:tc>
          <w:tcPr>
            <w:tcW w:w="3782" w:type="dxa"/>
            <w:tcBorders>
              <w:top w:val="nil"/>
              <w:left w:val="single" w:sz="2" w:space="0" w:color="A6A6A6" w:themeColor="background1" w:themeShade="A6"/>
              <w:bottom w:val="nil"/>
            </w:tcBorders>
            <w:vAlign w:val="center"/>
            <w:hideMark/>
          </w:tcPr>
          <w:p w14:paraId="7EAD4E28" w14:textId="23A19DD5" w:rsidR="000F34B4" w:rsidRPr="003E6404" w:rsidRDefault="000F34B4" w:rsidP="000F34B4">
            <w:pPr>
              <w:spacing w:after="0" w:line="276" w:lineRule="auto"/>
              <w:jc w:val="left"/>
              <w:rPr>
                <w:rFonts w:cs="Arial"/>
                <w:sz w:val="16"/>
                <w:szCs w:val="16"/>
              </w:rPr>
            </w:pPr>
            <w:r w:rsidRPr="003E6404">
              <w:rPr>
                <w:rFonts w:cs="Arial"/>
                <w:sz w:val="16"/>
                <w:szCs w:val="16"/>
              </w:rPr>
              <w:t>Βραχυπρόθεσμα δάνεια</w:t>
            </w:r>
          </w:p>
        </w:tc>
        <w:tc>
          <w:tcPr>
            <w:tcW w:w="835" w:type="dxa"/>
            <w:tcBorders>
              <w:top w:val="nil"/>
              <w:bottom w:val="nil"/>
            </w:tcBorders>
            <w:noWrap/>
            <w:vAlign w:val="center"/>
          </w:tcPr>
          <w:p w14:paraId="599C5BDA" w14:textId="5775D909" w:rsidR="000F34B4" w:rsidRPr="003E6404" w:rsidRDefault="000F34B4" w:rsidP="000F34B4">
            <w:pPr>
              <w:spacing w:after="0" w:line="276" w:lineRule="auto"/>
              <w:jc w:val="right"/>
              <w:rPr>
                <w:rFonts w:cs="Arial"/>
                <w:sz w:val="16"/>
                <w:szCs w:val="16"/>
              </w:rPr>
            </w:pPr>
            <w:r w:rsidRPr="003E6404">
              <w:rPr>
                <w:rFonts w:cs="Arial"/>
                <w:sz w:val="16"/>
                <w:szCs w:val="16"/>
              </w:rPr>
              <w:t>49.925</w:t>
            </w:r>
          </w:p>
        </w:tc>
        <w:tc>
          <w:tcPr>
            <w:tcW w:w="835" w:type="dxa"/>
            <w:tcBorders>
              <w:top w:val="nil"/>
              <w:bottom w:val="nil"/>
            </w:tcBorders>
            <w:noWrap/>
            <w:vAlign w:val="center"/>
          </w:tcPr>
          <w:p w14:paraId="5E7C95D5" w14:textId="5F140AE1" w:rsidR="000F34B4" w:rsidRPr="003E6404" w:rsidRDefault="000F34B4" w:rsidP="000F34B4">
            <w:pPr>
              <w:spacing w:after="0" w:line="276" w:lineRule="auto"/>
              <w:jc w:val="right"/>
              <w:rPr>
                <w:rFonts w:cs="Arial"/>
                <w:sz w:val="16"/>
                <w:szCs w:val="16"/>
              </w:rPr>
            </w:pPr>
            <w:r w:rsidRPr="003E6404">
              <w:rPr>
                <w:rFonts w:cs="Arial"/>
                <w:sz w:val="16"/>
                <w:szCs w:val="16"/>
              </w:rPr>
              <w:t>54.539</w:t>
            </w:r>
          </w:p>
        </w:tc>
        <w:tc>
          <w:tcPr>
            <w:tcW w:w="835" w:type="dxa"/>
            <w:tcBorders>
              <w:top w:val="nil"/>
              <w:bottom w:val="nil"/>
            </w:tcBorders>
            <w:noWrap/>
            <w:vAlign w:val="center"/>
          </w:tcPr>
          <w:p w14:paraId="6C8CEBD6" w14:textId="1EF24710" w:rsidR="000F34B4" w:rsidRPr="003E6404" w:rsidRDefault="000F34B4" w:rsidP="000F34B4">
            <w:pPr>
              <w:spacing w:after="0" w:line="276" w:lineRule="auto"/>
              <w:jc w:val="right"/>
              <w:rPr>
                <w:rFonts w:cs="Arial"/>
                <w:sz w:val="16"/>
                <w:szCs w:val="16"/>
              </w:rPr>
            </w:pPr>
            <w:r w:rsidRPr="003E6404">
              <w:rPr>
                <w:rFonts w:cs="Arial"/>
                <w:sz w:val="16"/>
                <w:szCs w:val="16"/>
              </w:rPr>
              <w:t>56.944</w:t>
            </w:r>
          </w:p>
        </w:tc>
        <w:tc>
          <w:tcPr>
            <w:tcW w:w="835" w:type="dxa"/>
            <w:tcBorders>
              <w:top w:val="nil"/>
              <w:bottom w:val="nil"/>
            </w:tcBorders>
            <w:noWrap/>
            <w:vAlign w:val="center"/>
          </w:tcPr>
          <w:p w14:paraId="75405A50" w14:textId="4F9CE4D0" w:rsidR="000F34B4" w:rsidRPr="003E6404" w:rsidRDefault="000F34B4" w:rsidP="000F34B4">
            <w:pPr>
              <w:spacing w:after="0" w:line="276" w:lineRule="auto"/>
              <w:jc w:val="right"/>
              <w:rPr>
                <w:rFonts w:cs="Arial"/>
                <w:sz w:val="16"/>
                <w:szCs w:val="16"/>
              </w:rPr>
            </w:pPr>
            <w:r w:rsidRPr="003E6404">
              <w:rPr>
                <w:rFonts w:cs="Arial"/>
                <w:sz w:val="16"/>
                <w:szCs w:val="16"/>
              </w:rPr>
              <w:t>62.851</w:t>
            </w:r>
          </w:p>
        </w:tc>
        <w:tc>
          <w:tcPr>
            <w:tcW w:w="835" w:type="dxa"/>
            <w:tcBorders>
              <w:top w:val="nil"/>
              <w:bottom w:val="nil"/>
            </w:tcBorders>
            <w:noWrap/>
            <w:vAlign w:val="center"/>
          </w:tcPr>
          <w:p w14:paraId="40D5ACB8" w14:textId="5102DBA6" w:rsidR="000F34B4" w:rsidRPr="003E6404" w:rsidRDefault="000F34B4" w:rsidP="000F34B4">
            <w:pPr>
              <w:spacing w:after="0" w:line="276" w:lineRule="auto"/>
              <w:jc w:val="right"/>
              <w:rPr>
                <w:rFonts w:cs="Arial"/>
                <w:sz w:val="16"/>
                <w:szCs w:val="16"/>
              </w:rPr>
            </w:pPr>
            <w:r w:rsidRPr="003E6404">
              <w:rPr>
                <w:rFonts w:cs="Arial"/>
                <w:sz w:val="16"/>
                <w:szCs w:val="16"/>
              </w:rPr>
              <w:t>75.000</w:t>
            </w:r>
          </w:p>
        </w:tc>
        <w:tc>
          <w:tcPr>
            <w:tcW w:w="829" w:type="dxa"/>
            <w:tcBorders>
              <w:top w:val="nil"/>
              <w:bottom w:val="nil"/>
              <w:right w:val="single" w:sz="2" w:space="0" w:color="A6A6A6" w:themeColor="background1" w:themeShade="A6"/>
            </w:tcBorders>
            <w:noWrap/>
            <w:vAlign w:val="center"/>
          </w:tcPr>
          <w:p w14:paraId="604FD9D8" w14:textId="75B15235" w:rsidR="000F34B4" w:rsidRPr="003E6404" w:rsidRDefault="000F34B4" w:rsidP="000F34B4">
            <w:pPr>
              <w:spacing w:after="0" w:line="276" w:lineRule="auto"/>
              <w:jc w:val="right"/>
              <w:rPr>
                <w:rFonts w:cs="Arial"/>
                <w:sz w:val="16"/>
                <w:szCs w:val="16"/>
              </w:rPr>
            </w:pPr>
            <w:r w:rsidRPr="003E6404">
              <w:rPr>
                <w:rFonts w:cs="Arial"/>
                <w:sz w:val="16"/>
                <w:szCs w:val="16"/>
              </w:rPr>
              <w:t>76.000</w:t>
            </w:r>
          </w:p>
        </w:tc>
      </w:tr>
      <w:tr w:rsidR="000F34B4" w:rsidRPr="00C41AD3" w14:paraId="60247426" w14:textId="77777777" w:rsidTr="00026496">
        <w:trPr>
          <w:cantSplit/>
          <w:trHeight w:val="283"/>
          <w:jc w:val="center"/>
        </w:trPr>
        <w:tc>
          <w:tcPr>
            <w:tcW w:w="3782" w:type="dxa"/>
            <w:tcBorders>
              <w:top w:val="nil"/>
              <w:left w:val="single" w:sz="2" w:space="0" w:color="A6A6A6" w:themeColor="background1" w:themeShade="A6"/>
              <w:bottom w:val="nil"/>
            </w:tcBorders>
            <w:noWrap/>
            <w:vAlign w:val="center"/>
            <w:hideMark/>
          </w:tcPr>
          <w:p w14:paraId="2E768AED"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Α. Χρέος Κεντρικής Διοίκησης</w:t>
            </w:r>
          </w:p>
        </w:tc>
        <w:tc>
          <w:tcPr>
            <w:tcW w:w="835" w:type="dxa"/>
            <w:tcBorders>
              <w:top w:val="nil"/>
              <w:bottom w:val="nil"/>
            </w:tcBorders>
            <w:noWrap/>
            <w:vAlign w:val="center"/>
          </w:tcPr>
          <w:p w14:paraId="14BC76F3" w14:textId="2EABB277" w:rsidR="000F34B4" w:rsidRPr="003E6404" w:rsidRDefault="000F34B4" w:rsidP="000F34B4">
            <w:pPr>
              <w:spacing w:after="0" w:line="276" w:lineRule="auto"/>
              <w:jc w:val="right"/>
              <w:rPr>
                <w:rFonts w:cs="Arial"/>
                <w:b/>
                <w:bCs/>
                <w:sz w:val="16"/>
                <w:szCs w:val="16"/>
              </w:rPr>
            </w:pPr>
            <w:r w:rsidRPr="003E6404">
              <w:rPr>
                <w:rFonts w:cs="Arial"/>
                <w:b/>
                <w:bCs/>
                <w:sz w:val="16"/>
                <w:szCs w:val="16"/>
              </w:rPr>
              <w:t>400.276</w:t>
            </w:r>
          </w:p>
        </w:tc>
        <w:tc>
          <w:tcPr>
            <w:tcW w:w="835" w:type="dxa"/>
            <w:tcBorders>
              <w:top w:val="nil"/>
              <w:bottom w:val="nil"/>
            </w:tcBorders>
            <w:noWrap/>
            <w:vAlign w:val="center"/>
          </w:tcPr>
          <w:p w14:paraId="1D2BFB62" w14:textId="0BEA58C6" w:rsidR="000F34B4" w:rsidRPr="003E6404" w:rsidRDefault="000F34B4" w:rsidP="000F34B4">
            <w:pPr>
              <w:spacing w:after="0" w:line="276" w:lineRule="auto"/>
              <w:jc w:val="right"/>
              <w:rPr>
                <w:rFonts w:cs="Arial"/>
                <w:b/>
                <w:bCs/>
                <w:sz w:val="16"/>
                <w:szCs w:val="16"/>
              </w:rPr>
            </w:pPr>
            <w:r w:rsidRPr="003E6404">
              <w:rPr>
                <w:rFonts w:cs="Arial"/>
                <w:b/>
                <w:bCs/>
                <w:sz w:val="16"/>
                <w:szCs w:val="16"/>
              </w:rPr>
              <w:t>406.523</w:t>
            </w:r>
          </w:p>
        </w:tc>
        <w:tc>
          <w:tcPr>
            <w:tcW w:w="835" w:type="dxa"/>
            <w:tcBorders>
              <w:top w:val="nil"/>
              <w:bottom w:val="nil"/>
            </w:tcBorders>
            <w:noWrap/>
            <w:vAlign w:val="center"/>
          </w:tcPr>
          <w:p w14:paraId="3B578D6F" w14:textId="385C59BB" w:rsidR="000F34B4" w:rsidRPr="003E6404" w:rsidRDefault="000F34B4" w:rsidP="000F34B4">
            <w:pPr>
              <w:spacing w:after="0" w:line="276" w:lineRule="auto"/>
              <w:jc w:val="right"/>
              <w:rPr>
                <w:rFonts w:cs="Arial"/>
                <w:b/>
                <w:bCs/>
                <w:sz w:val="16"/>
                <w:szCs w:val="16"/>
              </w:rPr>
            </w:pPr>
            <w:r w:rsidRPr="003E6404">
              <w:rPr>
                <w:rFonts w:cs="Arial"/>
                <w:b/>
                <w:bCs/>
                <w:sz w:val="16"/>
                <w:szCs w:val="16"/>
              </w:rPr>
              <w:t>403.861</w:t>
            </w:r>
          </w:p>
        </w:tc>
        <w:tc>
          <w:tcPr>
            <w:tcW w:w="835" w:type="dxa"/>
            <w:tcBorders>
              <w:top w:val="nil"/>
              <w:bottom w:val="nil"/>
            </w:tcBorders>
            <w:noWrap/>
            <w:vAlign w:val="center"/>
          </w:tcPr>
          <w:p w14:paraId="28D9A2F5" w14:textId="49EB1E72" w:rsidR="000F34B4" w:rsidRPr="003E6404" w:rsidRDefault="000F34B4" w:rsidP="000F34B4">
            <w:pPr>
              <w:spacing w:after="0" w:line="276" w:lineRule="auto"/>
              <w:jc w:val="right"/>
              <w:rPr>
                <w:rFonts w:cs="Arial"/>
                <w:b/>
                <w:bCs/>
                <w:sz w:val="16"/>
                <w:szCs w:val="16"/>
              </w:rPr>
            </w:pPr>
            <w:r w:rsidRPr="003E6404">
              <w:rPr>
                <w:rFonts w:cs="Arial"/>
                <w:b/>
                <w:bCs/>
                <w:sz w:val="16"/>
                <w:szCs w:val="16"/>
              </w:rPr>
              <w:t>406.181</w:t>
            </w:r>
          </w:p>
        </w:tc>
        <w:tc>
          <w:tcPr>
            <w:tcW w:w="835" w:type="dxa"/>
            <w:tcBorders>
              <w:top w:val="nil"/>
              <w:bottom w:val="nil"/>
            </w:tcBorders>
            <w:noWrap/>
            <w:vAlign w:val="center"/>
          </w:tcPr>
          <w:p w14:paraId="404D5D5B" w14:textId="5BFBC824" w:rsidR="000F34B4" w:rsidRPr="003E6404" w:rsidRDefault="000F34B4" w:rsidP="000F34B4">
            <w:pPr>
              <w:spacing w:after="0" w:line="276" w:lineRule="auto"/>
              <w:jc w:val="right"/>
              <w:rPr>
                <w:rFonts w:cs="Arial"/>
                <w:b/>
                <w:bCs/>
                <w:sz w:val="16"/>
                <w:szCs w:val="16"/>
              </w:rPr>
            </w:pPr>
            <w:r w:rsidRPr="003E6404">
              <w:rPr>
                <w:rFonts w:cs="Arial"/>
                <w:b/>
                <w:bCs/>
                <w:sz w:val="16"/>
                <w:szCs w:val="16"/>
              </w:rPr>
              <w:t>411.579</w:t>
            </w:r>
          </w:p>
        </w:tc>
        <w:tc>
          <w:tcPr>
            <w:tcW w:w="829" w:type="dxa"/>
            <w:tcBorders>
              <w:top w:val="nil"/>
              <w:bottom w:val="nil"/>
              <w:right w:val="single" w:sz="2" w:space="0" w:color="A6A6A6" w:themeColor="background1" w:themeShade="A6"/>
            </w:tcBorders>
            <w:noWrap/>
            <w:vAlign w:val="center"/>
          </w:tcPr>
          <w:p w14:paraId="7303496B" w14:textId="6539E6EA" w:rsidR="000F34B4" w:rsidRPr="003E6404" w:rsidRDefault="000F34B4" w:rsidP="000F34B4">
            <w:pPr>
              <w:spacing w:after="0" w:line="276" w:lineRule="auto"/>
              <w:jc w:val="right"/>
              <w:rPr>
                <w:rFonts w:cs="Arial"/>
                <w:b/>
                <w:bCs/>
                <w:sz w:val="16"/>
                <w:szCs w:val="16"/>
              </w:rPr>
            </w:pPr>
            <w:r w:rsidRPr="003E6404">
              <w:rPr>
                <w:rFonts w:cs="Arial"/>
                <w:b/>
                <w:bCs/>
                <w:sz w:val="16"/>
                <w:szCs w:val="16"/>
              </w:rPr>
              <w:t>406.252</w:t>
            </w:r>
          </w:p>
        </w:tc>
      </w:tr>
      <w:tr w:rsidR="000F34B4" w:rsidRPr="00C41AD3" w14:paraId="3A4AA724" w14:textId="77777777" w:rsidTr="00026496">
        <w:trPr>
          <w:cantSplit/>
          <w:trHeight w:val="283"/>
          <w:jc w:val="center"/>
        </w:trPr>
        <w:tc>
          <w:tcPr>
            <w:tcW w:w="3782" w:type="dxa"/>
            <w:tcBorders>
              <w:top w:val="nil"/>
              <w:left w:val="single" w:sz="2" w:space="0" w:color="A6A6A6" w:themeColor="background1" w:themeShade="A6"/>
              <w:bottom w:val="nil"/>
            </w:tcBorders>
            <w:noWrap/>
            <w:vAlign w:val="center"/>
            <w:hideMark/>
          </w:tcPr>
          <w:p w14:paraId="7188AD65"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2370E27F" w14:textId="795C970A" w:rsidR="000F34B4" w:rsidRPr="003E6404" w:rsidRDefault="000F34B4" w:rsidP="000F34B4">
            <w:pPr>
              <w:spacing w:after="0" w:line="276" w:lineRule="auto"/>
              <w:jc w:val="right"/>
              <w:rPr>
                <w:rFonts w:cs="Arial"/>
                <w:b/>
                <w:bCs/>
                <w:sz w:val="16"/>
                <w:szCs w:val="16"/>
              </w:rPr>
            </w:pPr>
            <w:r w:rsidRPr="003E6404">
              <w:rPr>
                <w:rFonts w:cs="Arial"/>
                <w:b/>
                <w:bCs/>
                <w:sz w:val="16"/>
                <w:szCs w:val="16"/>
              </w:rPr>
              <w:t>193,4%</w:t>
            </w:r>
          </w:p>
        </w:tc>
        <w:tc>
          <w:tcPr>
            <w:tcW w:w="835" w:type="dxa"/>
            <w:tcBorders>
              <w:top w:val="nil"/>
              <w:bottom w:val="nil"/>
            </w:tcBorders>
            <w:noWrap/>
            <w:vAlign w:val="center"/>
          </w:tcPr>
          <w:p w14:paraId="3CADDDB5" w14:textId="701B5A62" w:rsidR="000F34B4" w:rsidRPr="003E6404" w:rsidRDefault="000F34B4" w:rsidP="000F34B4">
            <w:pPr>
              <w:spacing w:after="0" w:line="276" w:lineRule="auto"/>
              <w:jc w:val="right"/>
              <w:rPr>
                <w:rFonts w:cs="Arial"/>
                <w:b/>
                <w:bCs/>
                <w:sz w:val="16"/>
                <w:szCs w:val="16"/>
              </w:rPr>
            </w:pPr>
            <w:r w:rsidRPr="003E6404">
              <w:rPr>
                <w:rFonts w:cs="Arial"/>
                <w:b/>
                <w:bCs/>
                <w:sz w:val="16"/>
                <w:szCs w:val="16"/>
              </w:rPr>
              <w:t>180,9%</w:t>
            </w:r>
          </w:p>
        </w:tc>
        <w:tc>
          <w:tcPr>
            <w:tcW w:w="835" w:type="dxa"/>
            <w:tcBorders>
              <w:top w:val="nil"/>
              <w:bottom w:val="nil"/>
            </w:tcBorders>
            <w:noWrap/>
            <w:vAlign w:val="center"/>
          </w:tcPr>
          <w:p w14:paraId="751F2BBD" w14:textId="64675643" w:rsidR="000F34B4" w:rsidRPr="003E6404" w:rsidRDefault="000F34B4" w:rsidP="000F34B4">
            <w:pPr>
              <w:spacing w:after="0" w:line="276" w:lineRule="auto"/>
              <w:jc w:val="right"/>
              <w:rPr>
                <w:rFonts w:cs="Arial"/>
                <w:b/>
                <w:bCs/>
                <w:sz w:val="16"/>
                <w:szCs w:val="16"/>
              </w:rPr>
            </w:pPr>
            <w:r w:rsidRPr="003E6404">
              <w:rPr>
                <w:rFonts w:cs="Arial"/>
                <w:b/>
                <w:bCs/>
                <w:sz w:val="16"/>
                <w:szCs w:val="16"/>
              </w:rPr>
              <w:t>170,6%</w:t>
            </w:r>
          </w:p>
        </w:tc>
        <w:tc>
          <w:tcPr>
            <w:tcW w:w="835" w:type="dxa"/>
            <w:tcBorders>
              <w:top w:val="nil"/>
              <w:bottom w:val="nil"/>
            </w:tcBorders>
            <w:noWrap/>
            <w:vAlign w:val="center"/>
          </w:tcPr>
          <w:p w14:paraId="47DDDA56" w14:textId="6B65417F" w:rsidR="000F34B4" w:rsidRPr="003E6404" w:rsidRDefault="000F34B4" w:rsidP="000F34B4">
            <w:pPr>
              <w:spacing w:after="0" w:line="276" w:lineRule="auto"/>
              <w:jc w:val="right"/>
              <w:rPr>
                <w:rFonts w:cs="Arial"/>
                <w:b/>
                <w:bCs/>
                <w:sz w:val="16"/>
                <w:szCs w:val="16"/>
              </w:rPr>
            </w:pPr>
            <w:r w:rsidRPr="003E6404">
              <w:rPr>
                <w:rFonts w:cs="Arial"/>
                <w:b/>
                <w:bCs/>
                <w:sz w:val="16"/>
                <w:szCs w:val="16"/>
              </w:rPr>
              <w:t>163,5%</w:t>
            </w:r>
          </w:p>
        </w:tc>
        <w:tc>
          <w:tcPr>
            <w:tcW w:w="835" w:type="dxa"/>
            <w:tcBorders>
              <w:top w:val="nil"/>
              <w:bottom w:val="nil"/>
            </w:tcBorders>
            <w:noWrap/>
            <w:vAlign w:val="center"/>
          </w:tcPr>
          <w:p w14:paraId="250DE5A4" w14:textId="268E9A54" w:rsidR="000F34B4" w:rsidRPr="003E6404" w:rsidRDefault="000F34B4" w:rsidP="000F34B4">
            <w:pPr>
              <w:spacing w:after="0" w:line="276" w:lineRule="auto"/>
              <w:jc w:val="right"/>
              <w:rPr>
                <w:rFonts w:cs="Arial"/>
                <w:b/>
                <w:bCs/>
                <w:sz w:val="16"/>
                <w:szCs w:val="16"/>
              </w:rPr>
            </w:pPr>
            <w:r w:rsidRPr="003E6404">
              <w:rPr>
                <w:rFonts w:cs="Arial"/>
                <w:b/>
                <w:bCs/>
                <w:sz w:val="16"/>
                <w:szCs w:val="16"/>
              </w:rPr>
              <w:t>157,1%</w:t>
            </w:r>
          </w:p>
        </w:tc>
        <w:tc>
          <w:tcPr>
            <w:tcW w:w="829" w:type="dxa"/>
            <w:tcBorders>
              <w:top w:val="nil"/>
              <w:bottom w:val="nil"/>
              <w:right w:val="single" w:sz="2" w:space="0" w:color="A6A6A6" w:themeColor="background1" w:themeShade="A6"/>
            </w:tcBorders>
            <w:noWrap/>
            <w:vAlign w:val="center"/>
          </w:tcPr>
          <w:p w14:paraId="212F9A99" w14:textId="47C33F4A" w:rsidR="000F34B4" w:rsidRPr="003E6404" w:rsidRDefault="000F34B4" w:rsidP="000F34B4">
            <w:pPr>
              <w:spacing w:after="0" w:line="276" w:lineRule="auto"/>
              <w:jc w:val="right"/>
              <w:rPr>
                <w:rFonts w:cs="Arial"/>
                <w:b/>
                <w:bCs/>
                <w:sz w:val="16"/>
                <w:szCs w:val="16"/>
              </w:rPr>
            </w:pPr>
            <w:r w:rsidRPr="003E6404">
              <w:rPr>
                <w:rFonts w:cs="Arial"/>
                <w:b/>
                <w:bCs/>
                <w:sz w:val="16"/>
                <w:szCs w:val="16"/>
              </w:rPr>
              <w:t>147,9%</w:t>
            </w:r>
          </w:p>
        </w:tc>
      </w:tr>
      <w:tr w:rsidR="000F34B4" w:rsidRPr="00C41AD3" w14:paraId="520A4E75" w14:textId="77777777" w:rsidTr="00026496">
        <w:trPr>
          <w:cantSplit/>
          <w:trHeight w:val="283"/>
          <w:jc w:val="center"/>
        </w:trPr>
        <w:tc>
          <w:tcPr>
            <w:tcW w:w="3782" w:type="dxa"/>
            <w:tcBorders>
              <w:top w:val="nil"/>
              <w:left w:val="single" w:sz="2" w:space="0" w:color="A6A6A6" w:themeColor="background1" w:themeShade="A6"/>
              <w:bottom w:val="nil"/>
            </w:tcBorders>
            <w:vAlign w:val="center"/>
            <w:hideMark/>
          </w:tcPr>
          <w:p w14:paraId="5CFAD576" w14:textId="77777777" w:rsidR="000F34B4" w:rsidRPr="003E6404" w:rsidRDefault="000F34B4" w:rsidP="000F34B4">
            <w:pPr>
              <w:spacing w:after="0" w:line="276" w:lineRule="auto"/>
              <w:jc w:val="left"/>
              <w:rPr>
                <w:rFonts w:cs="Arial"/>
                <w:sz w:val="16"/>
                <w:szCs w:val="16"/>
              </w:rPr>
            </w:pPr>
            <w:r w:rsidRPr="003E6404">
              <w:rPr>
                <w:rFonts w:cs="Arial"/>
                <w:sz w:val="16"/>
                <w:szCs w:val="16"/>
              </w:rPr>
              <w:t>Β. Χρέος ΝΠΔΔ, κέρματα κ.λπ. μείον επενδύσεις σε τίτλους Ελληνικού Δημοσίου</w:t>
            </w:r>
          </w:p>
        </w:tc>
        <w:tc>
          <w:tcPr>
            <w:tcW w:w="835" w:type="dxa"/>
            <w:tcBorders>
              <w:top w:val="nil"/>
              <w:bottom w:val="nil"/>
            </w:tcBorders>
            <w:noWrap/>
            <w:vAlign w:val="center"/>
          </w:tcPr>
          <w:p w14:paraId="1DDBF15A" w14:textId="285FCB42" w:rsidR="000F34B4" w:rsidRPr="003E6404" w:rsidRDefault="000F34B4" w:rsidP="000F34B4">
            <w:pPr>
              <w:spacing w:after="0" w:line="276" w:lineRule="auto"/>
              <w:jc w:val="right"/>
              <w:rPr>
                <w:rFonts w:cs="Arial"/>
                <w:sz w:val="16"/>
                <w:szCs w:val="16"/>
              </w:rPr>
            </w:pPr>
            <w:r w:rsidRPr="003E6404">
              <w:rPr>
                <w:rFonts w:cs="Arial"/>
                <w:sz w:val="16"/>
                <w:szCs w:val="16"/>
              </w:rPr>
              <w:t>-7.720</w:t>
            </w:r>
          </w:p>
        </w:tc>
        <w:tc>
          <w:tcPr>
            <w:tcW w:w="835" w:type="dxa"/>
            <w:tcBorders>
              <w:top w:val="nil"/>
              <w:bottom w:val="nil"/>
            </w:tcBorders>
            <w:noWrap/>
            <w:vAlign w:val="center"/>
          </w:tcPr>
          <w:p w14:paraId="19C6C93D" w14:textId="7E05607D" w:rsidR="000F34B4" w:rsidRPr="003E6404" w:rsidRDefault="000F34B4" w:rsidP="000F34B4">
            <w:pPr>
              <w:spacing w:after="0" w:line="276" w:lineRule="auto"/>
              <w:jc w:val="right"/>
              <w:rPr>
                <w:rFonts w:cs="Arial"/>
                <w:sz w:val="16"/>
                <w:szCs w:val="16"/>
              </w:rPr>
            </w:pPr>
            <w:r w:rsidRPr="003E6404">
              <w:rPr>
                <w:rFonts w:cs="Arial"/>
                <w:sz w:val="16"/>
                <w:szCs w:val="16"/>
              </w:rPr>
              <w:t>-11.913</w:t>
            </w:r>
          </w:p>
        </w:tc>
        <w:tc>
          <w:tcPr>
            <w:tcW w:w="835" w:type="dxa"/>
            <w:tcBorders>
              <w:top w:val="nil"/>
              <w:bottom w:val="nil"/>
            </w:tcBorders>
            <w:noWrap/>
            <w:vAlign w:val="center"/>
          </w:tcPr>
          <w:p w14:paraId="7A22DDD5" w14:textId="2F53A07C" w:rsidR="000F34B4" w:rsidRPr="003E6404" w:rsidRDefault="000F34B4" w:rsidP="000F34B4">
            <w:pPr>
              <w:spacing w:after="0" w:line="276" w:lineRule="auto"/>
              <w:jc w:val="right"/>
              <w:rPr>
                <w:rFonts w:cs="Arial"/>
                <w:sz w:val="16"/>
                <w:szCs w:val="16"/>
              </w:rPr>
            </w:pPr>
            <w:r w:rsidRPr="003E6404">
              <w:rPr>
                <w:rFonts w:cs="Arial"/>
                <w:sz w:val="16"/>
                <w:szCs w:val="16"/>
              </w:rPr>
              <w:t>-14.487</w:t>
            </w:r>
          </w:p>
        </w:tc>
        <w:tc>
          <w:tcPr>
            <w:tcW w:w="835" w:type="dxa"/>
            <w:tcBorders>
              <w:top w:val="nil"/>
              <w:bottom w:val="nil"/>
            </w:tcBorders>
            <w:noWrap/>
            <w:vAlign w:val="center"/>
          </w:tcPr>
          <w:p w14:paraId="26A528D2" w14:textId="36407F4D" w:rsidR="000F34B4" w:rsidRPr="003E6404" w:rsidRDefault="000F34B4" w:rsidP="000F34B4">
            <w:pPr>
              <w:spacing w:after="0" w:line="276" w:lineRule="auto"/>
              <w:jc w:val="right"/>
              <w:rPr>
                <w:rFonts w:cs="Arial"/>
                <w:sz w:val="16"/>
                <w:szCs w:val="16"/>
              </w:rPr>
            </w:pPr>
            <w:r w:rsidRPr="003E6404">
              <w:rPr>
                <w:rFonts w:cs="Arial"/>
                <w:sz w:val="16"/>
                <w:szCs w:val="16"/>
              </w:rPr>
              <w:t>-17.485</w:t>
            </w:r>
          </w:p>
        </w:tc>
        <w:tc>
          <w:tcPr>
            <w:tcW w:w="835" w:type="dxa"/>
            <w:tcBorders>
              <w:top w:val="nil"/>
              <w:bottom w:val="nil"/>
            </w:tcBorders>
            <w:noWrap/>
            <w:vAlign w:val="center"/>
          </w:tcPr>
          <w:p w14:paraId="291BBE42" w14:textId="63608709" w:rsidR="000F34B4" w:rsidRPr="003E6404" w:rsidRDefault="000F34B4" w:rsidP="000F34B4">
            <w:pPr>
              <w:spacing w:after="0" w:line="276" w:lineRule="auto"/>
              <w:jc w:val="right"/>
              <w:rPr>
                <w:rFonts w:cs="Arial"/>
                <w:sz w:val="16"/>
                <w:szCs w:val="16"/>
              </w:rPr>
            </w:pPr>
            <w:r w:rsidRPr="003E6404">
              <w:rPr>
                <w:rFonts w:cs="Arial"/>
                <w:sz w:val="16"/>
                <w:szCs w:val="16"/>
              </w:rPr>
              <w:t>-23.615</w:t>
            </w:r>
          </w:p>
        </w:tc>
        <w:tc>
          <w:tcPr>
            <w:tcW w:w="829" w:type="dxa"/>
            <w:tcBorders>
              <w:top w:val="nil"/>
              <w:bottom w:val="nil"/>
              <w:right w:val="single" w:sz="2" w:space="0" w:color="A6A6A6" w:themeColor="background1" w:themeShade="A6"/>
            </w:tcBorders>
            <w:noWrap/>
            <w:vAlign w:val="center"/>
          </w:tcPr>
          <w:p w14:paraId="285EA5C5" w14:textId="09294ADA" w:rsidR="000F34B4" w:rsidRPr="003E6404" w:rsidRDefault="000F34B4" w:rsidP="000F34B4">
            <w:pPr>
              <w:spacing w:after="0" w:line="276" w:lineRule="auto"/>
              <w:jc w:val="right"/>
              <w:rPr>
                <w:rFonts w:cs="Arial"/>
                <w:sz w:val="16"/>
                <w:szCs w:val="16"/>
              </w:rPr>
            </w:pPr>
            <w:r w:rsidRPr="003E6404">
              <w:rPr>
                <w:rFonts w:cs="Arial"/>
                <w:sz w:val="16"/>
                <w:szCs w:val="16"/>
              </w:rPr>
              <w:t>-22.698</w:t>
            </w:r>
          </w:p>
        </w:tc>
      </w:tr>
      <w:tr w:rsidR="000F34B4" w:rsidRPr="00C41AD3" w14:paraId="157E01FF" w14:textId="77777777" w:rsidTr="00026496">
        <w:trPr>
          <w:cantSplit/>
          <w:trHeight w:val="283"/>
          <w:jc w:val="center"/>
        </w:trPr>
        <w:tc>
          <w:tcPr>
            <w:tcW w:w="3782" w:type="dxa"/>
            <w:tcBorders>
              <w:top w:val="nil"/>
              <w:left w:val="single" w:sz="2" w:space="0" w:color="A6A6A6" w:themeColor="background1" w:themeShade="A6"/>
              <w:bottom w:val="nil"/>
            </w:tcBorders>
            <w:vAlign w:val="center"/>
            <w:hideMark/>
          </w:tcPr>
          <w:p w14:paraId="7070BAD0" w14:textId="6425C7CF" w:rsidR="000F34B4" w:rsidRPr="003E6404" w:rsidRDefault="000F34B4" w:rsidP="000F34B4">
            <w:pPr>
              <w:spacing w:after="0" w:line="276" w:lineRule="auto"/>
              <w:jc w:val="left"/>
              <w:rPr>
                <w:rFonts w:cs="Arial"/>
                <w:b/>
                <w:bCs/>
                <w:sz w:val="16"/>
                <w:szCs w:val="16"/>
              </w:rPr>
            </w:pPr>
            <w:r w:rsidRPr="003E6404">
              <w:rPr>
                <w:rFonts w:cs="Arial"/>
                <w:b/>
                <w:bCs/>
                <w:sz w:val="16"/>
                <w:szCs w:val="16"/>
              </w:rPr>
              <w:t>Γ. Χρέος Κεντρικής Κυβέρνησης κατά ESA (A+B)</w:t>
            </w:r>
          </w:p>
        </w:tc>
        <w:tc>
          <w:tcPr>
            <w:tcW w:w="835" w:type="dxa"/>
            <w:tcBorders>
              <w:top w:val="nil"/>
              <w:bottom w:val="nil"/>
            </w:tcBorders>
            <w:vAlign w:val="center"/>
          </w:tcPr>
          <w:p w14:paraId="2FBBB560" w14:textId="102933DD" w:rsidR="000F34B4" w:rsidRPr="003E6404" w:rsidRDefault="000F34B4" w:rsidP="000F34B4">
            <w:pPr>
              <w:spacing w:after="0" w:line="276" w:lineRule="auto"/>
              <w:jc w:val="right"/>
              <w:rPr>
                <w:rFonts w:cs="Arial"/>
                <w:b/>
                <w:bCs/>
                <w:sz w:val="16"/>
                <w:szCs w:val="16"/>
              </w:rPr>
            </w:pPr>
            <w:r w:rsidRPr="003E6404">
              <w:rPr>
                <w:rFonts w:cs="Arial"/>
                <w:b/>
                <w:bCs/>
                <w:sz w:val="16"/>
                <w:szCs w:val="16"/>
              </w:rPr>
              <w:t>392.556</w:t>
            </w:r>
          </w:p>
        </w:tc>
        <w:tc>
          <w:tcPr>
            <w:tcW w:w="835" w:type="dxa"/>
            <w:tcBorders>
              <w:top w:val="nil"/>
              <w:bottom w:val="nil"/>
            </w:tcBorders>
            <w:vAlign w:val="center"/>
          </w:tcPr>
          <w:p w14:paraId="4F29E86F" w14:textId="17B74E46" w:rsidR="000F34B4" w:rsidRPr="003E6404" w:rsidRDefault="000F34B4" w:rsidP="000F34B4">
            <w:pPr>
              <w:spacing w:after="0" w:line="276" w:lineRule="auto"/>
              <w:jc w:val="right"/>
              <w:rPr>
                <w:rFonts w:cs="Arial"/>
                <w:b/>
                <w:bCs/>
                <w:sz w:val="16"/>
                <w:szCs w:val="16"/>
              </w:rPr>
            </w:pPr>
            <w:r w:rsidRPr="003E6404">
              <w:rPr>
                <w:rFonts w:cs="Arial"/>
                <w:b/>
                <w:bCs/>
                <w:sz w:val="16"/>
                <w:szCs w:val="16"/>
              </w:rPr>
              <w:t>394.610</w:t>
            </w:r>
          </w:p>
        </w:tc>
        <w:tc>
          <w:tcPr>
            <w:tcW w:w="835" w:type="dxa"/>
            <w:tcBorders>
              <w:top w:val="nil"/>
              <w:bottom w:val="nil"/>
            </w:tcBorders>
            <w:vAlign w:val="center"/>
          </w:tcPr>
          <w:p w14:paraId="15C6CBE2" w14:textId="6E42949D" w:rsidR="000F34B4" w:rsidRPr="003E6404" w:rsidRDefault="000F34B4" w:rsidP="000F34B4">
            <w:pPr>
              <w:spacing w:after="0" w:line="276" w:lineRule="auto"/>
              <w:jc w:val="right"/>
              <w:rPr>
                <w:rFonts w:cs="Arial"/>
                <w:b/>
                <w:bCs/>
                <w:sz w:val="16"/>
                <w:szCs w:val="16"/>
              </w:rPr>
            </w:pPr>
            <w:r w:rsidRPr="003E6404">
              <w:rPr>
                <w:rFonts w:cs="Arial"/>
                <w:b/>
                <w:bCs/>
                <w:sz w:val="16"/>
                <w:szCs w:val="16"/>
              </w:rPr>
              <w:t>389.374</w:t>
            </w:r>
          </w:p>
        </w:tc>
        <w:tc>
          <w:tcPr>
            <w:tcW w:w="835" w:type="dxa"/>
            <w:tcBorders>
              <w:top w:val="nil"/>
              <w:bottom w:val="nil"/>
            </w:tcBorders>
            <w:vAlign w:val="center"/>
          </w:tcPr>
          <w:p w14:paraId="0688639D" w14:textId="0B4C4C4A" w:rsidR="000F34B4" w:rsidRPr="003E6404" w:rsidRDefault="000F34B4" w:rsidP="000F34B4">
            <w:pPr>
              <w:spacing w:after="0" w:line="276" w:lineRule="auto"/>
              <w:jc w:val="right"/>
              <w:rPr>
                <w:rFonts w:cs="Arial"/>
                <w:b/>
                <w:bCs/>
                <w:sz w:val="16"/>
                <w:szCs w:val="16"/>
              </w:rPr>
            </w:pPr>
            <w:r w:rsidRPr="003E6404">
              <w:rPr>
                <w:rFonts w:cs="Arial"/>
                <w:b/>
                <w:bCs/>
                <w:sz w:val="16"/>
                <w:szCs w:val="16"/>
              </w:rPr>
              <w:t>388.696</w:t>
            </w:r>
          </w:p>
        </w:tc>
        <w:tc>
          <w:tcPr>
            <w:tcW w:w="835" w:type="dxa"/>
            <w:tcBorders>
              <w:top w:val="nil"/>
              <w:bottom w:val="nil"/>
            </w:tcBorders>
            <w:vAlign w:val="center"/>
          </w:tcPr>
          <w:p w14:paraId="39622E97" w14:textId="0917731A" w:rsidR="000F34B4" w:rsidRPr="003E6404" w:rsidRDefault="000F34B4" w:rsidP="000F34B4">
            <w:pPr>
              <w:spacing w:after="0" w:line="276" w:lineRule="auto"/>
              <w:jc w:val="right"/>
              <w:rPr>
                <w:rFonts w:cs="Arial"/>
                <w:b/>
                <w:bCs/>
                <w:sz w:val="16"/>
                <w:szCs w:val="16"/>
              </w:rPr>
            </w:pPr>
            <w:r w:rsidRPr="003E6404">
              <w:rPr>
                <w:rFonts w:cs="Arial"/>
                <w:b/>
                <w:bCs/>
                <w:sz w:val="16"/>
                <w:szCs w:val="16"/>
              </w:rPr>
              <w:t>387.964</w:t>
            </w:r>
          </w:p>
        </w:tc>
        <w:tc>
          <w:tcPr>
            <w:tcW w:w="829" w:type="dxa"/>
            <w:tcBorders>
              <w:top w:val="nil"/>
              <w:bottom w:val="nil"/>
              <w:right w:val="single" w:sz="2" w:space="0" w:color="A6A6A6" w:themeColor="background1" w:themeShade="A6"/>
            </w:tcBorders>
            <w:vAlign w:val="center"/>
          </w:tcPr>
          <w:p w14:paraId="06A2254F" w14:textId="63A7531B" w:rsidR="000F34B4" w:rsidRPr="003E6404" w:rsidRDefault="000F34B4" w:rsidP="000F34B4">
            <w:pPr>
              <w:spacing w:after="0" w:line="276" w:lineRule="auto"/>
              <w:jc w:val="right"/>
              <w:rPr>
                <w:rFonts w:cs="Arial"/>
                <w:b/>
                <w:bCs/>
                <w:sz w:val="16"/>
                <w:szCs w:val="16"/>
              </w:rPr>
            </w:pPr>
            <w:r w:rsidRPr="003E6404">
              <w:rPr>
                <w:rFonts w:cs="Arial"/>
                <w:b/>
                <w:bCs/>
                <w:sz w:val="16"/>
                <w:szCs w:val="16"/>
              </w:rPr>
              <w:t>383.554</w:t>
            </w:r>
          </w:p>
        </w:tc>
      </w:tr>
      <w:tr w:rsidR="000F34B4" w:rsidRPr="00C41AD3" w14:paraId="21BD6DA0" w14:textId="77777777" w:rsidTr="00026496">
        <w:trPr>
          <w:cantSplit/>
          <w:trHeight w:val="283"/>
          <w:jc w:val="center"/>
        </w:trPr>
        <w:tc>
          <w:tcPr>
            <w:tcW w:w="3782" w:type="dxa"/>
            <w:tcBorders>
              <w:top w:val="nil"/>
              <w:left w:val="single" w:sz="2" w:space="0" w:color="A6A6A6" w:themeColor="background1" w:themeShade="A6"/>
              <w:bottom w:val="nil"/>
            </w:tcBorders>
            <w:noWrap/>
            <w:vAlign w:val="center"/>
            <w:hideMark/>
          </w:tcPr>
          <w:p w14:paraId="1E1F5341"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32C9A042" w14:textId="252C2886" w:rsidR="000F34B4" w:rsidRPr="003E6404" w:rsidRDefault="000F34B4" w:rsidP="000F34B4">
            <w:pPr>
              <w:spacing w:after="0" w:line="276" w:lineRule="auto"/>
              <w:jc w:val="right"/>
              <w:rPr>
                <w:rFonts w:cs="Arial"/>
                <w:b/>
                <w:bCs/>
                <w:sz w:val="16"/>
                <w:szCs w:val="16"/>
              </w:rPr>
            </w:pPr>
            <w:r w:rsidRPr="003E6404">
              <w:rPr>
                <w:rFonts w:cs="Arial"/>
                <w:b/>
                <w:bCs/>
                <w:sz w:val="16"/>
                <w:szCs w:val="16"/>
              </w:rPr>
              <w:t>189,6%</w:t>
            </w:r>
          </w:p>
        </w:tc>
        <w:tc>
          <w:tcPr>
            <w:tcW w:w="835" w:type="dxa"/>
            <w:tcBorders>
              <w:top w:val="nil"/>
              <w:bottom w:val="nil"/>
            </w:tcBorders>
            <w:noWrap/>
            <w:vAlign w:val="center"/>
          </w:tcPr>
          <w:p w14:paraId="7C15CDED" w14:textId="2A1B5DDE" w:rsidR="000F34B4" w:rsidRPr="003E6404" w:rsidRDefault="000F34B4" w:rsidP="000F34B4">
            <w:pPr>
              <w:spacing w:after="0" w:line="276" w:lineRule="auto"/>
              <w:jc w:val="right"/>
              <w:rPr>
                <w:rFonts w:cs="Arial"/>
                <w:b/>
                <w:bCs/>
                <w:sz w:val="16"/>
                <w:szCs w:val="16"/>
              </w:rPr>
            </w:pPr>
            <w:r w:rsidRPr="003E6404">
              <w:rPr>
                <w:rFonts w:cs="Arial"/>
                <w:b/>
                <w:bCs/>
                <w:sz w:val="16"/>
                <w:szCs w:val="16"/>
              </w:rPr>
              <w:t>175,6%</w:t>
            </w:r>
          </w:p>
        </w:tc>
        <w:tc>
          <w:tcPr>
            <w:tcW w:w="835" w:type="dxa"/>
            <w:tcBorders>
              <w:top w:val="nil"/>
              <w:bottom w:val="nil"/>
            </w:tcBorders>
            <w:noWrap/>
            <w:vAlign w:val="center"/>
          </w:tcPr>
          <w:p w14:paraId="6B8A0803" w14:textId="76ECE889" w:rsidR="000F34B4" w:rsidRPr="003E6404" w:rsidRDefault="000F34B4" w:rsidP="000F34B4">
            <w:pPr>
              <w:spacing w:after="0" w:line="276" w:lineRule="auto"/>
              <w:jc w:val="right"/>
              <w:rPr>
                <w:rFonts w:cs="Arial"/>
                <w:b/>
                <w:bCs/>
                <w:sz w:val="16"/>
                <w:szCs w:val="16"/>
              </w:rPr>
            </w:pPr>
            <w:r w:rsidRPr="003E6404">
              <w:rPr>
                <w:rFonts w:cs="Arial"/>
                <w:b/>
                <w:bCs/>
                <w:sz w:val="16"/>
                <w:szCs w:val="16"/>
              </w:rPr>
              <w:t>164,5%</w:t>
            </w:r>
          </w:p>
        </w:tc>
        <w:tc>
          <w:tcPr>
            <w:tcW w:w="835" w:type="dxa"/>
            <w:tcBorders>
              <w:top w:val="nil"/>
              <w:bottom w:val="nil"/>
            </w:tcBorders>
            <w:noWrap/>
            <w:vAlign w:val="center"/>
          </w:tcPr>
          <w:p w14:paraId="2962524D" w14:textId="79A1B645" w:rsidR="000F34B4" w:rsidRPr="003E6404" w:rsidRDefault="000F34B4" w:rsidP="000F34B4">
            <w:pPr>
              <w:spacing w:after="0" w:line="276" w:lineRule="auto"/>
              <w:jc w:val="right"/>
              <w:rPr>
                <w:rFonts w:cs="Arial"/>
                <w:b/>
                <w:bCs/>
                <w:sz w:val="16"/>
                <w:szCs w:val="16"/>
              </w:rPr>
            </w:pPr>
            <w:r w:rsidRPr="003E6404">
              <w:rPr>
                <w:rFonts w:cs="Arial"/>
                <w:b/>
                <w:bCs/>
                <w:sz w:val="16"/>
                <w:szCs w:val="16"/>
              </w:rPr>
              <w:t>156,5%</w:t>
            </w:r>
          </w:p>
        </w:tc>
        <w:tc>
          <w:tcPr>
            <w:tcW w:w="835" w:type="dxa"/>
            <w:tcBorders>
              <w:top w:val="nil"/>
              <w:bottom w:val="nil"/>
            </w:tcBorders>
            <w:noWrap/>
            <w:vAlign w:val="center"/>
          </w:tcPr>
          <w:p w14:paraId="3BFC2D83" w14:textId="4BDA617D" w:rsidR="000F34B4" w:rsidRPr="003E6404" w:rsidRDefault="000F34B4" w:rsidP="000F34B4">
            <w:pPr>
              <w:spacing w:after="0" w:line="276" w:lineRule="auto"/>
              <w:jc w:val="right"/>
              <w:rPr>
                <w:rFonts w:cs="Arial"/>
                <w:b/>
                <w:bCs/>
                <w:sz w:val="16"/>
                <w:szCs w:val="16"/>
              </w:rPr>
            </w:pPr>
            <w:r w:rsidRPr="003E6404">
              <w:rPr>
                <w:rFonts w:cs="Arial"/>
                <w:b/>
                <w:bCs/>
                <w:sz w:val="16"/>
                <w:szCs w:val="16"/>
              </w:rPr>
              <w:t>148,1%</w:t>
            </w:r>
          </w:p>
        </w:tc>
        <w:tc>
          <w:tcPr>
            <w:tcW w:w="829" w:type="dxa"/>
            <w:tcBorders>
              <w:top w:val="nil"/>
              <w:bottom w:val="nil"/>
              <w:right w:val="single" w:sz="2" w:space="0" w:color="A6A6A6" w:themeColor="background1" w:themeShade="A6"/>
            </w:tcBorders>
            <w:noWrap/>
            <w:vAlign w:val="center"/>
          </w:tcPr>
          <w:p w14:paraId="546AD6C0" w14:textId="13DACBF5" w:rsidR="000F34B4" w:rsidRPr="003E6404" w:rsidRDefault="000F34B4" w:rsidP="000F34B4">
            <w:pPr>
              <w:spacing w:after="0" w:line="276" w:lineRule="auto"/>
              <w:jc w:val="right"/>
              <w:rPr>
                <w:rFonts w:cs="Arial"/>
                <w:b/>
                <w:bCs/>
                <w:sz w:val="16"/>
                <w:szCs w:val="16"/>
              </w:rPr>
            </w:pPr>
            <w:r w:rsidRPr="003E6404">
              <w:rPr>
                <w:rFonts w:cs="Arial"/>
                <w:b/>
                <w:bCs/>
                <w:sz w:val="16"/>
                <w:szCs w:val="16"/>
              </w:rPr>
              <w:t>139,7%</w:t>
            </w:r>
          </w:p>
        </w:tc>
      </w:tr>
      <w:tr w:rsidR="000F34B4" w:rsidRPr="00C41AD3" w14:paraId="65A76407" w14:textId="77777777" w:rsidTr="00026496">
        <w:trPr>
          <w:cantSplit/>
          <w:trHeight w:val="283"/>
          <w:jc w:val="center"/>
        </w:trPr>
        <w:tc>
          <w:tcPr>
            <w:tcW w:w="3782" w:type="dxa"/>
            <w:tcBorders>
              <w:top w:val="nil"/>
              <w:left w:val="single" w:sz="2" w:space="0" w:color="A6A6A6" w:themeColor="background1" w:themeShade="A6"/>
              <w:bottom w:val="nil"/>
            </w:tcBorders>
            <w:noWrap/>
            <w:vAlign w:val="center"/>
            <w:hideMark/>
          </w:tcPr>
          <w:p w14:paraId="7B235FD9" w14:textId="77777777" w:rsidR="000F34B4" w:rsidRPr="003E6404" w:rsidRDefault="000F34B4" w:rsidP="000F34B4">
            <w:pPr>
              <w:spacing w:after="0" w:line="276" w:lineRule="auto"/>
              <w:jc w:val="left"/>
              <w:rPr>
                <w:rFonts w:cs="Arial"/>
                <w:sz w:val="16"/>
                <w:szCs w:val="16"/>
              </w:rPr>
            </w:pPr>
            <w:r w:rsidRPr="003E6404">
              <w:rPr>
                <w:rFonts w:cs="Arial"/>
                <w:sz w:val="16"/>
                <w:szCs w:val="16"/>
              </w:rPr>
              <w:t>Δ. Χρέος ΟΤΑ, ΟΚΑ μείον ενδοκυβερνητικό χρέος</w:t>
            </w:r>
          </w:p>
        </w:tc>
        <w:tc>
          <w:tcPr>
            <w:tcW w:w="835" w:type="dxa"/>
            <w:tcBorders>
              <w:top w:val="nil"/>
              <w:bottom w:val="nil"/>
            </w:tcBorders>
            <w:noWrap/>
            <w:vAlign w:val="center"/>
          </w:tcPr>
          <w:p w14:paraId="1721080A" w14:textId="4BCF3DC9" w:rsidR="000F34B4" w:rsidRPr="003E6404" w:rsidRDefault="000F34B4" w:rsidP="000F34B4">
            <w:pPr>
              <w:spacing w:after="0" w:line="276" w:lineRule="auto"/>
              <w:jc w:val="right"/>
              <w:rPr>
                <w:rFonts w:cs="Arial"/>
                <w:sz w:val="16"/>
                <w:szCs w:val="16"/>
              </w:rPr>
            </w:pPr>
            <w:r w:rsidRPr="003E6404">
              <w:rPr>
                <w:rFonts w:cs="Arial"/>
                <w:sz w:val="16"/>
                <w:szCs w:val="16"/>
              </w:rPr>
              <w:t>-24.551</w:t>
            </w:r>
          </w:p>
        </w:tc>
        <w:tc>
          <w:tcPr>
            <w:tcW w:w="835" w:type="dxa"/>
            <w:tcBorders>
              <w:top w:val="nil"/>
              <w:bottom w:val="nil"/>
            </w:tcBorders>
            <w:noWrap/>
            <w:vAlign w:val="center"/>
          </w:tcPr>
          <w:p w14:paraId="693E1304" w14:textId="6882224E" w:rsidR="000F34B4" w:rsidRPr="003E6404" w:rsidRDefault="000F34B4" w:rsidP="000F34B4">
            <w:pPr>
              <w:spacing w:after="0" w:line="276" w:lineRule="auto"/>
              <w:jc w:val="right"/>
              <w:rPr>
                <w:rFonts w:cs="Arial"/>
                <w:sz w:val="16"/>
                <w:szCs w:val="16"/>
              </w:rPr>
            </w:pPr>
            <w:r w:rsidRPr="003E6404">
              <w:rPr>
                <w:rFonts w:cs="Arial"/>
                <w:sz w:val="16"/>
                <w:szCs w:val="16"/>
              </w:rPr>
              <w:t>-25.500</w:t>
            </w:r>
          </w:p>
        </w:tc>
        <w:tc>
          <w:tcPr>
            <w:tcW w:w="835" w:type="dxa"/>
            <w:tcBorders>
              <w:top w:val="nil"/>
              <w:bottom w:val="nil"/>
            </w:tcBorders>
            <w:noWrap/>
            <w:vAlign w:val="center"/>
          </w:tcPr>
          <w:p w14:paraId="0D6C60D0" w14:textId="636B05D1" w:rsidR="000F34B4" w:rsidRPr="003E6404" w:rsidRDefault="000F34B4" w:rsidP="000F34B4">
            <w:pPr>
              <w:spacing w:after="0" w:line="276" w:lineRule="auto"/>
              <w:jc w:val="right"/>
              <w:rPr>
                <w:rFonts w:cs="Arial"/>
                <w:sz w:val="16"/>
                <w:szCs w:val="16"/>
              </w:rPr>
            </w:pPr>
            <w:r w:rsidRPr="003E6404">
              <w:rPr>
                <w:rFonts w:cs="Arial"/>
                <w:sz w:val="16"/>
                <w:szCs w:val="16"/>
              </w:rPr>
              <w:t>-24.410</w:t>
            </w:r>
          </w:p>
        </w:tc>
        <w:tc>
          <w:tcPr>
            <w:tcW w:w="835" w:type="dxa"/>
            <w:tcBorders>
              <w:top w:val="nil"/>
              <w:bottom w:val="nil"/>
            </w:tcBorders>
            <w:noWrap/>
            <w:vAlign w:val="center"/>
          </w:tcPr>
          <w:p w14:paraId="11CAD5AB" w14:textId="1BCB09F4" w:rsidR="000F34B4" w:rsidRPr="003E6404" w:rsidRDefault="000F34B4" w:rsidP="000F34B4">
            <w:pPr>
              <w:spacing w:after="0" w:line="276" w:lineRule="auto"/>
              <w:jc w:val="right"/>
              <w:rPr>
                <w:rFonts w:cs="Arial"/>
                <w:sz w:val="16"/>
                <w:szCs w:val="16"/>
              </w:rPr>
            </w:pPr>
            <w:r w:rsidRPr="003E6404">
              <w:rPr>
                <w:rFonts w:cs="Arial"/>
                <w:sz w:val="16"/>
                <w:szCs w:val="16"/>
              </w:rPr>
              <w:t>-25.771</w:t>
            </w:r>
          </w:p>
        </w:tc>
        <w:tc>
          <w:tcPr>
            <w:tcW w:w="835" w:type="dxa"/>
            <w:tcBorders>
              <w:top w:val="nil"/>
              <w:bottom w:val="nil"/>
            </w:tcBorders>
            <w:noWrap/>
            <w:vAlign w:val="center"/>
          </w:tcPr>
          <w:p w14:paraId="2D73CD40" w14:textId="5749A61D" w:rsidR="000F34B4" w:rsidRPr="003E6404" w:rsidRDefault="000F34B4" w:rsidP="000F34B4">
            <w:pPr>
              <w:spacing w:after="0" w:line="276" w:lineRule="auto"/>
              <w:jc w:val="right"/>
              <w:rPr>
                <w:rFonts w:cs="Arial"/>
                <w:sz w:val="16"/>
                <w:szCs w:val="16"/>
              </w:rPr>
            </w:pPr>
            <w:r w:rsidRPr="003E6404">
              <w:rPr>
                <w:rFonts w:cs="Arial"/>
                <w:sz w:val="16"/>
                <w:szCs w:val="16"/>
              </w:rPr>
              <w:t>-29.864</w:t>
            </w:r>
          </w:p>
        </w:tc>
        <w:tc>
          <w:tcPr>
            <w:tcW w:w="829" w:type="dxa"/>
            <w:tcBorders>
              <w:top w:val="nil"/>
              <w:bottom w:val="nil"/>
              <w:right w:val="single" w:sz="2" w:space="0" w:color="A6A6A6" w:themeColor="background1" w:themeShade="A6"/>
            </w:tcBorders>
            <w:noWrap/>
            <w:vAlign w:val="center"/>
          </w:tcPr>
          <w:p w14:paraId="4E95D8B5" w14:textId="3F768386" w:rsidR="000F34B4" w:rsidRPr="003E6404" w:rsidRDefault="000F34B4" w:rsidP="000F34B4">
            <w:pPr>
              <w:spacing w:after="0" w:line="276" w:lineRule="auto"/>
              <w:jc w:val="right"/>
              <w:rPr>
                <w:rFonts w:cs="Arial"/>
                <w:sz w:val="16"/>
                <w:szCs w:val="16"/>
              </w:rPr>
            </w:pPr>
            <w:r w:rsidRPr="003E6404">
              <w:rPr>
                <w:rFonts w:cs="Arial"/>
                <w:sz w:val="16"/>
                <w:szCs w:val="16"/>
              </w:rPr>
              <w:t>-29.864</w:t>
            </w:r>
          </w:p>
        </w:tc>
      </w:tr>
      <w:tr w:rsidR="000F34B4" w:rsidRPr="00C41AD3" w14:paraId="505AFB9C" w14:textId="77777777" w:rsidTr="00026496">
        <w:trPr>
          <w:cantSplit/>
          <w:trHeight w:val="283"/>
          <w:jc w:val="center"/>
        </w:trPr>
        <w:tc>
          <w:tcPr>
            <w:tcW w:w="3782" w:type="dxa"/>
            <w:tcBorders>
              <w:top w:val="nil"/>
              <w:left w:val="single" w:sz="2" w:space="0" w:color="A6A6A6" w:themeColor="background1" w:themeShade="A6"/>
              <w:bottom w:val="nil"/>
            </w:tcBorders>
            <w:vAlign w:val="center"/>
            <w:hideMark/>
          </w:tcPr>
          <w:p w14:paraId="61B55D4C" w14:textId="32C4E60A" w:rsidR="000F34B4" w:rsidRPr="003E6404" w:rsidRDefault="000F34B4" w:rsidP="000F34B4">
            <w:pPr>
              <w:spacing w:after="0" w:line="276" w:lineRule="auto"/>
              <w:jc w:val="left"/>
              <w:rPr>
                <w:rFonts w:cs="Arial"/>
                <w:b/>
                <w:bCs/>
                <w:sz w:val="16"/>
                <w:szCs w:val="16"/>
              </w:rPr>
            </w:pPr>
            <w:r w:rsidRPr="003E6404">
              <w:rPr>
                <w:rFonts w:cs="Arial"/>
                <w:b/>
                <w:bCs/>
                <w:sz w:val="16"/>
                <w:szCs w:val="16"/>
              </w:rPr>
              <w:t>Ε. Χρέος Γενικής Κυβέρνησης (Γ+Δ)</w:t>
            </w:r>
          </w:p>
        </w:tc>
        <w:tc>
          <w:tcPr>
            <w:tcW w:w="835" w:type="dxa"/>
            <w:tcBorders>
              <w:top w:val="nil"/>
              <w:bottom w:val="nil"/>
            </w:tcBorders>
            <w:noWrap/>
            <w:vAlign w:val="center"/>
          </w:tcPr>
          <w:p w14:paraId="05C91703" w14:textId="40A06F1E" w:rsidR="000F34B4" w:rsidRPr="003E6404" w:rsidRDefault="000F34B4" w:rsidP="000F34B4">
            <w:pPr>
              <w:spacing w:after="0" w:line="276" w:lineRule="auto"/>
              <w:jc w:val="right"/>
              <w:rPr>
                <w:rFonts w:cs="Arial"/>
                <w:b/>
                <w:bCs/>
                <w:sz w:val="16"/>
                <w:szCs w:val="16"/>
              </w:rPr>
            </w:pPr>
            <w:r w:rsidRPr="003E6404">
              <w:rPr>
                <w:rFonts w:cs="Arial"/>
                <w:b/>
                <w:bCs/>
                <w:sz w:val="16"/>
                <w:szCs w:val="16"/>
              </w:rPr>
              <w:t>368.005</w:t>
            </w:r>
          </w:p>
        </w:tc>
        <w:tc>
          <w:tcPr>
            <w:tcW w:w="835" w:type="dxa"/>
            <w:tcBorders>
              <w:top w:val="nil"/>
              <w:bottom w:val="nil"/>
            </w:tcBorders>
            <w:noWrap/>
            <w:vAlign w:val="center"/>
          </w:tcPr>
          <w:p w14:paraId="0E847EDF" w14:textId="65D397A8" w:rsidR="000F34B4" w:rsidRPr="003E6404" w:rsidRDefault="000F34B4" w:rsidP="000F34B4">
            <w:pPr>
              <w:spacing w:after="0" w:line="276" w:lineRule="auto"/>
              <w:jc w:val="right"/>
              <w:rPr>
                <w:rFonts w:cs="Arial"/>
                <w:b/>
                <w:bCs/>
                <w:sz w:val="16"/>
                <w:szCs w:val="16"/>
              </w:rPr>
            </w:pPr>
            <w:r w:rsidRPr="003E6404">
              <w:rPr>
                <w:rFonts w:cs="Arial"/>
                <w:b/>
                <w:bCs/>
                <w:sz w:val="16"/>
                <w:szCs w:val="16"/>
              </w:rPr>
              <w:t>369.110</w:t>
            </w:r>
          </w:p>
        </w:tc>
        <w:tc>
          <w:tcPr>
            <w:tcW w:w="835" w:type="dxa"/>
            <w:tcBorders>
              <w:top w:val="nil"/>
              <w:bottom w:val="nil"/>
            </w:tcBorders>
            <w:noWrap/>
            <w:vAlign w:val="center"/>
          </w:tcPr>
          <w:p w14:paraId="0C03EE02" w14:textId="016DE5FF" w:rsidR="000F34B4" w:rsidRPr="003E6404" w:rsidRDefault="000F34B4" w:rsidP="000F34B4">
            <w:pPr>
              <w:spacing w:after="0" w:line="276" w:lineRule="auto"/>
              <w:jc w:val="right"/>
              <w:rPr>
                <w:rFonts w:cs="Arial"/>
                <w:b/>
                <w:bCs/>
                <w:sz w:val="16"/>
                <w:szCs w:val="16"/>
              </w:rPr>
            </w:pPr>
            <w:r w:rsidRPr="003E6404">
              <w:rPr>
                <w:rFonts w:cs="Arial"/>
                <w:b/>
                <w:bCs/>
                <w:sz w:val="16"/>
                <w:szCs w:val="16"/>
              </w:rPr>
              <w:t>364.964</w:t>
            </w:r>
          </w:p>
        </w:tc>
        <w:tc>
          <w:tcPr>
            <w:tcW w:w="835" w:type="dxa"/>
            <w:tcBorders>
              <w:top w:val="nil"/>
              <w:bottom w:val="nil"/>
            </w:tcBorders>
            <w:noWrap/>
            <w:vAlign w:val="center"/>
          </w:tcPr>
          <w:p w14:paraId="0DCE70A9" w14:textId="701D1291" w:rsidR="000F34B4" w:rsidRPr="003E6404" w:rsidRDefault="000F34B4" w:rsidP="000F34B4">
            <w:pPr>
              <w:spacing w:after="0" w:line="276" w:lineRule="auto"/>
              <w:jc w:val="right"/>
              <w:rPr>
                <w:rFonts w:cs="Arial"/>
                <w:b/>
                <w:bCs/>
                <w:sz w:val="16"/>
                <w:szCs w:val="16"/>
              </w:rPr>
            </w:pPr>
            <w:r w:rsidRPr="003E6404">
              <w:rPr>
                <w:rFonts w:cs="Arial"/>
                <w:b/>
                <w:bCs/>
                <w:sz w:val="16"/>
                <w:szCs w:val="16"/>
              </w:rPr>
              <w:t>362.925</w:t>
            </w:r>
          </w:p>
        </w:tc>
        <w:tc>
          <w:tcPr>
            <w:tcW w:w="835" w:type="dxa"/>
            <w:tcBorders>
              <w:top w:val="nil"/>
              <w:bottom w:val="nil"/>
            </w:tcBorders>
            <w:noWrap/>
            <w:vAlign w:val="center"/>
          </w:tcPr>
          <w:p w14:paraId="43C4C422" w14:textId="265E47F4" w:rsidR="000F34B4" w:rsidRPr="003E6404" w:rsidRDefault="000F34B4" w:rsidP="000F34B4">
            <w:pPr>
              <w:spacing w:after="0" w:line="276" w:lineRule="auto"/>
              <w:jc w:val="right"/>
              <w:rPr>
                <w:rFonts w:cs="Arial"/>
                <w:b/>
                <w:bCs/>
                <w:sz w:val="16"/>
                <w:szCs w:val="16"/>
              </w:rPr>
            </w:pPr>
            <w:r w:rsidRPr="003E6404">
              <w:rPr>
                <w:rFonts w:cs="Arial"/>
                <w:b/>
                <w:bCs/>
                <w:sz w:val="16"/>
                <w:szCs w:val="16"/>
              </w:rPr>
              <w:t>358.100</w:t>
            </w:r>
          </w:p>
        </w:tc>
        <w:tc>
          <w:tcPr>
            <w:tcW w:w="829" w:type="dxa"/>
            <w:tcBorders>
              <w:top w:val="nil"/>
              <w:bottom w:val="nil"/>
              <w:right w:val="single" w:sz="2" w:space="0" w:color="A6A6A6" w:themeColor="background1" w:themeShade="A6"/>
            </w:tcBorders>
            <w:noWrap/>
            <w:vAlign w:val="center"/>
          </w:tcPr>
          <w:p w14:paraId="6EA523CA" w14:textId="09FB23A6" w:rsidR="000F34B4" w:rsidRPr="003E6404" w:rsidRDefault="000F34B4" w:rsidP="000F34B4">
            <w:pPr>
              <w:spacing w:after="0" w:line="276" w:lineRule="auto"/>
              <w:jc w:val="right"/>
              <w:rPr>
                <w:rFonts w:cs="Arial"/>
                <w:b/>
                <w:bCs/>
                <w:sz w:val="16"/>
                <w:szCs w:val="16"/>
              </w:rPr>
            </w:pPr>
            <w:r w:rsidRPr="003E6404">
              <w:rPr>
                <w:rFonts w:cs="Arial"/>
                <w:b/>
                <w:bCs/>
                <w:sz w:val="16"/>
                <w:szCs w:val="16"/>
              </w:rPr>
              <w:t>353.690</w:t>
            </w:r>
          </w:p>
        </w:tc>
      </w:tr>
      <w:tr w:rsidR="000F34B4" w:rsidRPr="00C41AD3" w14:paraId="7E36471F" w14:textId="77777777" w:rsidTr="00026496">
        <w:trPr>
          <w:cantSplit/>
          <w:trHeight w:val="283"/>
          <w:jc w:val="center"/>
        </w:trPr>
        <w:tc>
          <w:tcPr>
            <w:tcW w:w="3782" w:type="dxa"/>
            <w:tcBorders>
              <w:top w:val="nil"/>
              <w:left w:val="single" w:sz="2" w:space="0" w:color="A6A6A6" w:themeColor="background1" w:themeShade="A6"/>
              <w:bottom w:val="nil"/>
            </w:tcBorders>
            <w:noWrap/>
            <w:vAlign w:val="center"/>
            <w:hideMark/>
          </w:tcPr>
          <w:p w14:paraId="4D7379FF"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621BFBCF" w14:textId="02936024" w:rsidR="000F34B4" w:rsidRPr="003E6404" w:rsidRDefault="000F34B4" w:rsidP="000F34B4">
            <w:pPr>
              <w:spacing w:after="0" w:line="276" w:lineRule="auto"/>
              <w:jc w:val="right"/>
              <w:rPr>
                <w:rFonts w:cs="Arial"/>
                <w:b/>
                <w:bCs/>
                <w:sz w:val="16"/>
                <w:szCs w:val="16"/>
              </w:rPr>
            </w:pPr>
            <w:r w:rsidRPr="003E6404">
              <w:rPr>
                <w:rFonts w:cs="Arial"/>
                <w:b/>
                <w:bCs/>
                <w:sz w:val="16"/>
                <w:szCs w:val="16"/>
              </w:rPr>
              <w:t>177,8%</w:t>
            </w:r>
          </w:p>
        </w:tc>
        <w:tc>
          <w:tcPr>
            <w:tcW w:w="835" w:type="dxa"/>
            <w:tcBorders>
              <w:top w:val="nil"/>
              <w:bottom w:val="nil"/>
            </w:tcBorders>
            <w:noWrap/>
            <w:vAlign w:val="center"/>
          </w:tcPr>
          <w:p w14:paraId="66981BAC" w14:textId="6ADBE778" w:rsidR="000F34B4" w:rsidRPr="003E6404" w:rsidRDefault="000F34B4" w:rsidP="000F34B4">
            <w:pPr>
              <w:spacing w:after="0" w:line="276" w:lineRule="auto"/>
              <w:jc w:val="right"/>
              <w:rPr>
                <w:rFonts w:cs="Arial"/>
                <w:b/>
                <w:bCs/>
                <w:sz w:val="16"/>
                <w:szCs w:val="16"/>
              </w:rPr>
            </w:pPr>
            <w:r w:rsidRPr="003E6404">
              <w:rPr>
                <w:rFonts w:cs="Arial"/>
                <w:b/>
                <w:bCs/>
                <w:sz w:val="16"/>
                <w:szCs w:val="16"/>
              </w:rPr>
              <w:t>164,3%</w:t>
            </w:r>
          </w:p>
        </w:tc>
        <w:tc>
          <w:tcPr>
            <w:tcW w:w="835" w:type="dxa"/>
            <w:tcBorders>
              <w:top w:val="nil"/>
              <w:bottom w:val="nil"/>
            </w:tcBorders>
            <w:noWrap/>
            <w:vAlign w:val="center"/>
          </w:tcPr>
          <w:p w14:paraId="746A8FC4" w14:textId="114BCEC0" w:rsidR="000F34B4" w:rsidRPr="003E6404" w:rsidRDefault="000F34B4" w:rsidP="000F34B4">
            <w:pPr>
              <w:spacing w:after="0" w:line="276" w:lineRule="auto"/>
              <w:jc w:val="right"/>
              <w:rPr>
                <w:rFonts w:cs="Arial"/>
                <w:b/>
                <w:bCs/>
                <w:sz w:val="16"/>
                <w:szCs w:val="16"/>
              </w:rPr>
            </w:pPr>
            <w:r w:rsidRPr="003E6404">
              <w:rPr>
                <w:rFonts w:cs="Arial"/>
                <w:b/>
                <w:bCs/>
                <w:sz w:val="16"/>
                <w:szCs w:val="16"/>
              </w:rPr>
              <w:t>154,2%</w:t>
            </w:r>
          </w:p>
        </w:tc>
        <w:tc>
          <w:tcPr>
            <w:tcW w:w="835" w:type="dxa"/>
            <w:tcBorders>
              <w:top w:val="nil"/>
              <w:bottom w:val="nil"/>
            </w:tcBorders>
            <w:noWrap/>
            <w:vAlign w:val="center"/>
          </w:tcPr>
          <w:p w14:paraId="371A3CD4" w14:textId="24475260" w:rsidR="000F34B4" w:rsidRPr="003E6404" w:rsidRDefault="000F34B4" w:rsidP="000F34B4">
            <w:pPr>
              <w:spacing w:after="0" w:line="276" w:lineRule="auto"/>
              <w:jc w:val="right"/>
              <w:rPr>
                <w:rFonts w:cs="Arial"/>
                <w:b/>
                <w:bCs/>
                <w:sz w:val="16"/>
                <w:szCs w:val="16"/>
              </w:rPr>
            </w:pPr>
            <w:r w:rsidRPr="003E6404">
              <w:rPr>
                <w:rFonts w:cs="Arial"/>
                <w:b/>
                <w:bCs/>
                <w:sz w:val="16"/>
                <w:szCs w:val="16"/>
              </w:rPr>
              <w:t>146,1%</w:t>
            </w:r>
          </w:p>
        </w:tc>
        <w:tc>
          <w:tcPr>
            <w:tcW w:w="835" w:type="dxa"/>
            <w:tcBorders>
              <w:top w:val="nil"/>
              <w:bottom w:val="nil"/>
            </w:tcBorders>
            <w:noWrap/>
            <w:vAlign w:val="center"/>
          </w:tcPr>
          <w:p w14:paraId="049C56C7" w14:textId="5F2FF04F" w:rsidR="000F34B4" w:rsidRPr="003E6404" w:rsidRDefault="000F34B4" w:rsidP="000F34B4">
            <w:pPr>
              <w:spacing w:after="0" w:line="276" w:lineRule="auto"/>
              <w:jc w:val="right"/>
              <w:rPr>
                <w:rFonts w:cs="Arial"/>
                <w:b/>
                <w:bCs/>
                <w:sz w:val="16"/>
                <w:szCs w:val="16"/>
              </w:rPr>
            </w:pPr>
            <w:r w:rsidRPr="003E6404">
              <w:rPr>
                <w:rFonts w:cs="Arial"/>
                <w:b/>
                <w:bCs/>
                <w:sz w:val="16"/>
                <w:szCs w:val="16"/>
              </w:rPr>
              <w:t>136,7%</w:t>
            </w:r>
          </w:p>
        </w:tc>
        <w:tc>
          <w:tcPr>
            <w:tcW w:w="829" w:type="dxa"/>
            <w:tcBorders>
              <w:top w:val="nil"/>
              <w:bottom w:val="nil"/>
              <w:right w:val="single" w:sz="2" w:space="0" w:color="A6A6A6" w:themeColor="background1" w:themeShade="A6"/>
            </w:tcBorders>
            <w:noWrap/>
            <w:vAlign w:val="center"/>
          </w:tcPr>
          <w:p w14:paraId="7CB9C7E3" w14:textId="4D22F2D2" w:rsidR="000F34B4" w:rsidRPr="003E6404" w:rsidRDefault="000F34B4" w:rsidP="000F34B4">
            <w:pPr>
              <w:spacing w:after="0" w:line="276" w:lineRule="auto"/>
              <w:jc w:val="right"/>
              <w:rPr>
                <w:rFonts w:cs="Arial"/>
                <w:b/>
                <w:bCs/>
                <w:sz w:val="16"/>
                <w:szCs w:val="16"/>
              </w:rPr>
            </w:pPr>
            <w:r w:rsidRPr="003E6404">
              <w:rPr>
                <w:rFonts w:cs="Arial"/>
                <w:b/>
                <w:bCs/>
                <w:sz w:val="16"/>
                <w:szCs w:val="16"/>
              </w:rPr>
              <w:t>128,8%</w:t>
            </w:r>
          </w:p>
        </w:tc>
      </w:tr>
      <w:tr w:rsidR="000F34B4" w:rsidRPr="00C41AD3" w14:paraId="6886855F" w14:textId="77777777" w:rsidTr="00026496">
        <w:trPr>
          <w:cantSplit/>
          <w:trHeight w:val="283"/>
          <w:jc w:val="center"/>
        </w:trPr>
        <w:tc>
          <w:tcPr>
            <w:tcW w:w="3782" w:type="dxa"/>
            <w:tcBorders>
              <w:top w:val="nil"/>
              <w:left w:val="single" w:sz="2" w:space="0" w:color="A6A6A6" w:themeColor="background1" w:themeShade="A6"/>
              <w:bottom w:val="single" w:sz="2" w:space="0" w:color="A6A6A6" w:themeColor="background1" w:themeShade="A6"/>
            </w:tcBorders>
            <w:noWrap/>
            <w:vAlign w:val="center"/>
            <w:hideMark/>
          </w:tcPr>
          <w:p w14:paraId="0353739D" w14:textId="5D5C7FF9" w:rsidR="000F34B4" w:rsidRPr="003E6404" w:rsidRDefault="000F34B4" w:rsidP="000F34B4">
            <w:pPr>
              <w:spacing w:after="0" w:line="276" w:lineRule="auto"/>
              <w:jc w:val="left"/>
              <w:rPr>
                <w:rFonts w:cs="Arial"/>
                <w:sz w:val="16"/>
                <w:szCs w:val="16"/>
              </w:rPr>
            </w:pPr>
            <w:r w:rsidRPr="003E6404">
              <w:rPr>
                <w:rFonts w:cs="Arial"/>
                <w:sz w:val="16"/>
                <w:szCs w:val="16"/>
              </w:rPr>
              <w:t>ΑΕΠ</w:t>
            </w:r>
          </w:p>
        </w:tc>
        <w:tc>
          <w:tcPr>
            <w:tcW w:w="835" w:type="dxa"/>
            <w:tcBorders>
              <w:top w:val="nil"/>
              <w:bottom w:val="single" w:sz="2" w:space="0" w:color="A6A6A6" w:themeColor="background1" w:themeShade="A6"/>
            </w:tcBorders>
            <w:noWrap/>
            <w:vAlign w:val="center"/>
          </w:tcPr>
          <w:p w14:paraId="3387118C" w14:textId="50CA4040" w:rsidR="000F34B4" w:rsidRPr="003E6404" w:rsidRDefault="000F34B4" w:rsidP="000F34B4">
            <w:pPr>
              <w:spacing w:after="0" w:line="276" w:lineRule="auto"/>
              <w:jc w:val="right"/>
              <w:rPr>
                <w:rFonts w:cs="Arial"/>
                <w:sz w:val="16"/>
                <w:szCs w:val="16"/>
              </w:rPr>
            </w:pPr>
            <w:r w:rsidRPr="003E6404">
              <w:rPr>
                <w:rFonts w:cs="Arial"/>
                <w:sz w:val="16"/>
                <w:szCs w:val="16"/>
              </w:rPr>
              <w:t>207.009</w:t>
            </w:r>
          </w:p>
        </w:tc>
        <w:tc>
          <w:tcPr>
            <w:tcW w:w="835" w:type="dxa"/>
            <w:tcBorders>
              <w:top w:val="nil"/>
              <w:bottom w:val="single" w:sz="2" w:space="0" w:color="A6A6A6" w:themeColor="background1" w:themeShade="A6"/>
            </w:tcBorders>
            <w:noWrap/>
            <w:vAlign w:val="center"/>
          </w:tcPr>
          <w:p w14:paraId="5FB8F496" w14:textId="7A0FA88B" w:rsidR="000F34B4" w:rsidRPr="003E6404" w:rsidRDefault="000F34B4" w:rsidP="000F34B4">
            <w:pPr>
              <w:spacing w:after="0" w:line="276" w:lineRule="auto"/>
              <w:jc w:val="right"/>
              <w:rPr>
                <w:rFonts w:cs="Arial"/>
                <w:sz w:val="16"/>
                <w:szCs w:val="16"/>
              </w:rPr>
            </w:pPr>
            <w:r w:rsidRPr="003E6404">
              <w:rPr>
                <w:rFonts w:cs="Arial"/>
                <w:sz w:val="16"/>
                <w:szCs w:val="16"/>
              </w:rPr>
              <w:t>224.686</w:t>
            </w:r>
          </w:p>
        </w:tc>
        <w:tc>
          <w:tcPr>
            <w:tcW w:w="835" w:type="dxa"/>
            <w:tcBorders>
              <w:top w:val="nil"/>
              <w:bottom w:val="single" w:sz="2" w:space="0" w:color="A6A6A6" w:themeColor="background1" w:themeShade="A6"/>
            </w:tcBorders>
            <w:noWrap/>
            <w:vAlign w:val="center"/>
          </w:tcPr>
          <w:p w14:paraId="558C0F55" w14:textId="45C1DFC5" w:rsidR="000F34B4" w:rsidRPr="003E6404" w:rsidRDefault="000F34B4" w:rsidP="000F34B4">
            <w:pPr>
              <w:spacing w:after="0" w:line="276" w:lineRule="auto"/>
              <w:jc w:val="right"/>
              <w:rPr>
                <w:rFonts w:cs="Arial"/>
                <w:sz w:val="16"/>
                <w:szCs w:val="16"/>
              </w:rPr>
            </w:pPr>
            <w:r w:rsidRPr="003E6404">
              <w:rPr>
                <w:rFonts w:cs="Arial"/>
                <w:sz w:val="16"/>
                <w:szCs w:val="16"/>
              </w:rPr>
              <w:t>236.736</w:t>
            </w:r>
          </w:p>
        </w:tc>
        <w:tc>
          <w:tcPr>
            <w:tcW w:w="835" w:type="dxa"/>
            <w:tcBorders>
              <w:top w:val="nil"/>
              <w:bottom w:val="single" w:sz="2" w:space="0" w:color="A6A6A6" w:themeColor="background1" w:themeShade="A6"/>
            </w:tcBorders>
            <w:noWrap/>
            <w:vAlign w:val="center"/>
          </w:tcPr>
          <w:p w14:paraId="79351ED8" w14:textId="39B26B66" w:rsidR="000F34B4" w:rsidRPr="003E6404" w:rsidRDefault="000F34B4" w:rsidP="000F34B4">
            <w:pPr>
              <w:spacing w:after="0" w:line="276" w:lineRule="auto"/>
              <w:jc w:val="right"/>
              <w:rPr>
                <w:rFonts w:cs="Arial"/>
                <w:sz w:val="16"/>
                <w:szCs w:val="16"/>
              </w:rPr>
            </w:pPr>
            <w:r w:rsidRPr="003E6404">
              <w:rPr>
                <w:rFonts w:cs="Arial"/>
                <w:sz w:val="16"/>
                <w:szCs w:val="16"/>
              </w:rPr>
              <w:t>248.354</w:t>
            </w:r>
          </w:p>
        </w:tc>
        <w:tc>
          <w:tcPr>
            <w:tcW w:w="835" w:type="dxa"/>
            <w:tcBorders>
              <w:top w:val="nil"/>
              <w:bottom w:val="single" w:sz="2" w:space="0" w:color="A6A6A6" w:themeColor="background1" w:themeShade="A6"/>
            </w:tcBorders>
            <w:noWrap/>
            <w:vAlign w:val="center"/>
          </w:tcPr>
          <w:p w14:paraId="05ED450D" w14:textId="0CCEF1F0" w:rsidR="000F34B4" w:rsidRPr="003E6404" w:rsidRDefault="000F34B4" w:rsidP="000F34B4">
            <w:pPr>
              <w:spacing w:after="0" w:line="276" w:lineRule="auto"/>
              <w:jc w:val="right"/>
              <w:rPr>
                <w:rFonts w:cs="Arial"/>
                <w:sz w:val="16"/>
                <w:szCs w:val="16"/>
              </w:rPr>
            </w:pPr>
            <w:r w:rsidRPr="003E6404">
              <w:rPr>
                <w:rFonts w:cs="Arial"/>
                <w:sz w:val="16"/>
                <w:szCs w:val="16"/>
              </w:rPr>
              <w:t>262.012</w:t>
            </w:r>
          </w:p>
        </w:tc>
        <w:tc>
          <w:tcPr>
            <w:tcW w:w="829" w:type="dxa"/>
            <w:tcBorders>
              <w:top w:val="nil"/>
              <w:bottom w:val="single" w:sz="2" w:space="0" w:color="A6A6A6" w:themeColor="background1" w:themeShade="A6"/>
              <w:right w:val="single" w:sz="2" w:space="0" w:color="A6A6A6" w:themeColor="background1" w:themeShade="A6"/>
            </w:tcBorders>
            <w:noWrap/>
            <w:vAlign w:val="center"/>
          </w:tcPr>
          <w:p w14:paraId="7A7EAB82" w14:textId="7A243B68" w:rsidR="000F34B4" w:rsidRPr="003E6404" w:rsidRDefault="000F34B4" w:rsidP="000F34B4">
            <w:pPr>
              <w:spacing w:after="0" w:line="276" w:lineRule="auto"/>
              <w:jc w:val="right"/>
              <w:rPr>
                <w:rFonts w:cs="Arial"/>
                <w:sz w:val="16"/>
                <w:szCs w:val="16"/>
              </w:rPr>
            </w:pPr>
            <w:r w:rsidRPr="003E6404">
              <w:rPr>
                <w:rFonts w:cs="Arial"/>
                <w:sz w:val="16"/>
                <w:szCs w:val="16"/>
              </w:rPr>
              <w:t>274.592</w:t>
            </w:r>
          </w:p>
        </w:tc>
      </w:tr>
      <w:tr w:rsidR="000F34B4" w:rsidRPr="00C41AD3" w14:paraId="1A5487B5" w14:textId="77777777" w:rsidTr="00026496">
        <w:trPr>
          <w:cantSplit/>
          <w:trHeight w:val="283"/>
          <w:jc w:val="center"/>
        </w:trPr>
        <w:tc>
          <w:tcPr>
            <w:tcW w:w="8786" w:type="dxa"/>
            <w:gridSpan w:val="7"/>
            <w:tcBorders>
              <w:top w:val="single" w:sz="2" w:space="0" w:color="A6A6A6" w:themeColor="background1" w:themeShade="A6"/>
              <w:left w:val="nil"/>
              <w:bottom w:val="nil"/>
              <w:right w:val="nil"/>
            </w:tcBorders>
            <w:noWrap/>
            <w:vAlign w:val="center"/>
          </w:tcPr>
          <w:p w14:paraId="494D94C2" w14:textId="77777777" w:rsidR="000F34B4" w:rsidRPr="003E6404" w:rsidRDefault="000F34B4" w:rsidP="00BE2019">
            <w:pPr>
              <w:tabs>
                <w:tab w:val="left" w:pos="113"/>
              </w:tabs>
              <w:spacing w:before="60" w:after="0" w:line="276" w:lineRule="auto"/>
              <w:jc w:val="left"/>
              <w:rPr>
                <w:rFonts w:cs="Arial"/>
                <w:sz w:val="16"/>
                <w:szCs w:val="16"/>
              </w:rPr>
            </w:pPr>
            <w:r w:rsidRPr="003E6404">
              <w:rPr>
                <w:rFonts w:cs="Arial"/>
                <w:sz w:val="16"/>
                <w:szCs w:val="16"/>
                <w:vertAlign w:val="superscript"/>
              </w:rPr>
              <w:t>1</w:t>
            </w:r>
            <w:r w:rsidRPr="003E6404">
              <w:rPr>
                <w:rFonts w:cs="Arial"/>
                <w:sz w:val="16"/>
                <w:szCs w:val="16"/>
              </w:rPr>
              <w:tab/>
              <w:t>Εκτιμήσεις</w:t>
            </w:r>
          </w:p>
          <w:p w14:paraId="0BB78420" w14:textId="04303AD4" w:rsidR="000F34B4" w:rsidRPr="003E6404" w:rsidRDefault="000F34B4" w:rsidP="00BE2019">
            <w:pPr>
              <w:tabs>
                <w:tab w:val="left" w:pos="113"/>
              </w:tabs>
              <w:spacing w:before="60" w:after="0" w:line="276" w:lineRule="auto"/>
              <w:jc w:val="left"/>
              <w:rPr>
                <w:rFonts w:cs="Arial"/>
                <w:sz w:val="16"/>
                <w:szCs w:val="16"/>
              </w:rPr>
            </w:pPr>
            <w:r w:rsidRPr="003E6404">
              <w:rPr>
                <w:rFonts w:cs="Arial"/>
                <w:sz w:val="16"/>
                <w:szCs w:val="16"/>
                <w:vertAlign w:val="superscript"/>
              </w:rPr>
              <w:t>2</w:t>
            </w:r>
            <w:r w:rsidRPr="003E6404">
              <w:rPr>
                <w:rFonts w:cs="Arial"/>
                <w:sz w:val="16"/>
                <w:szCs w:val="16"/>
              </w:rPr>
              <w:tab/>
              <w:t>Προβλέψεις</w:t>
            </w:r>
          </w:p>
        </w:tc>
      </w:tr>
    </w:tbl>
    <w:p w14:paraId="7527F2DE" w14:textId="78E56548" w:rsidR="009A6D53" w:rsidRPr="00B81C79" w:rsidRDefault="009A6D53" w:rsidP="00B24394">
      <w:pPr>
        <w:pStyle w:val="4"/>
      </w:pPr>
      <w:bookmarkStart w:id="553" w:name="_Toc242019572"/>
      <w:bookmarkEnd w:id="552"/>
      <w:r w:rsidRPr="00B81C79">
        <w:t>Δομή και χαρακτηριστικά του χρέους της Κεντρικής Διοίκησης</w:t>
      </w:r>
      <w:bookmarkEnd w:id="553"/>
    </w:p>
    <w:p w14:paraId="18F11638" w14:textId="71E2E7FB" w:rsidR="002A7150" w:rsidRPr="008C0FFB" w:rsidRDefault="002A7150" w:rsidP="002A7150">
      <w:pPr>
        <w:rPr>
          <w:szCs w:val="22"/>
        </w:rPr>
      </w:pPr>
      <w:r w:rsidRPr="009F55B3">
        <w:rPr>
          <w:szCs w:val="22"/>
        </w:rPr>
        <w:t xml:space="preserve">Ο χρονικός ορίζοντας των λήξεων του χρέους της </w:t>
      </w:r>
      <w:r w:rsidRPr="007B5805">
        <w:rPr>
          <w:szCs w:val="22"/>
        </w:rPr>
        <w:t>Κεντρικής Διοίκησης</w:t>
      </w:r>
      <w:r w:rsidRPr="007B5805">
        <w:rPr>
          <w:rStyle w:val="ab"/>
          <w:szCs w:val="22"/>
        </w:rPr>
        <w:footnoteReference w:id="7"/>
      </w:r>
      <w:r w:rsidRPr="007B5805">
        <w:rPr>
          <w:szCs w:val="22"/>
        </w:rPr>
        <w:t xml:space="preserve"> </w:t>
      </w:r>
      <w:r w:rsidR="00026496" w:rsidRPr="007B5805">
        <w:rPr>
          <w:szCs w:val="22"/>
        </w:rPr>
        <w:t>τη</w:t>
      </w:r>
      <w:r w:rsidR="002F4C10" w:rsidRPr="007B5805">
        <w:rPr>
          <w:szCs w:val="22"/>
        </w:rPr>
        <w:t>ν</w:t>
      </w:r>
      <w:r w:rsidRPr="007B5805">
        <w:rPr>
          <w:szCs w:val="22"/>
        </w:rPr>
        <w:t xml:space="preserve"> 31</w:t>
      </w:r>
      <w:r w:rsidR="00026496" w:rsidRPr="007B5805">
        <w:rPr>
          <w:szCs w:val="22"/>
        </w:rPr>
        <w:t>η</w:t>
      </w:r>
      <w:r w:rsidRPr="002F4C10">
        <w:rPr>
          <w:szCs w:val="22"/>
        </w:rPr>
        <w:t>.8.2026 εκτείνεται</w:t>
      </w:r>
      <w:r w:rsidRPr="008C0FFB">
        <w:rPr>
          <w:szCs w:val="22"/>
        </w:rPr>
        <w:t xml:space="preserve"> μέχρι το έτος 207</w:t>
      </w:r>
      <w:r>
        <w:rPr>
          <w:szCs w:val="22"/>
        </w:rPr>
        <w:t>1</w:t>
      </w:r>
      <w:r w:rsidRPr="008C0FFB">
        <w:rPr>
          <w:szCs w:val="22"/>
        </w:rPr>
        <w:t xml:space="preserve">. Η περαιτέρω δανειοδότηση του Ελληνικού Δημοσίου μέσω των αγορών τα επόμενα έτη αναμένεται να </w:t>
      </w:r>
      <w:r>
        <w:rPr>
          <w:szCs w:val="22"/>
        </w:rPr>
        <w:t>αντικαθιστά</w:t>
      </w:r>
      <w:r w:rsidRPr="008C0FFB">
        <w:rPr>
          <w:szCs w:val="22"/>
        </w:rPr>
        <w:t xml:space="preserve"> </w:t>
      </w:r>
      <w:r>
        <w:rPr>
          <w:szCs w:val="22"/>
        </w:rPr>
        <w:t>ολοένα και περισσότερο</w:t>
      </w:r>
      <w:r w:rsidRPr="008C0FFB">
        <w:rPr>
          <w:szCs w:val="22"/>
        </w:rPr>
        <w:t xml:space="preserve"> τα δάνεια με </w:t>
      </w:r>
      <w:r w:rsidRPr="00190924">
        <w:rPr>
          <w:szCs w:val="22"/>
        </w:rPr>
        <w:t>ομόλογα</w:t>
      </w:r>
      <w:r w:rsidRPr="00190924">
        <w:rPr>
          <w:szCs w:val="20"/>
        </w:rPr>
        <w:t xml:space="preserve"> (</w:t>
      </w:r>
      <w:r w:rsidR="00EB680C" w:rsidRPr="00190924">
        <w:rPr>
          <w:szCs w:val="20"/>
        </w:rPr>
        <w:fldChar w:fldCharType="begin"/>
      </w:r>
      <w:r w:rsidR="00EB680C" w:rsidRPr="00190924">
        <w:rPr>
          <w:szCs w:val="20"/>
        </w:rPr>
        <w:instrText xml:space="preserve"> REF _Ref241413975 \h  \* MERGEFORMAT </w:instrText>
      </w:r>
      <w:r w:rsidR="00EB680C" w:rsidRPr="00190924">
        <w:rPr>
          <w:szCs w:val="20"/>
        </w:rPr>
      </w:r>
      <w:r w:rsidR="00EB680C" w:rsidRPr="00190924">
        <w:rPr>
          <w:szCs w:val="20"/>
        </w:rPr>
        <w:fldChar w:fldCharType="separate"/>
      </w:r>
      <w:r w:rsidR="007F6D9C" w:rsidRPr="00190924">
        <w:rPr>
          <w:rFonts w:cs="Arial"/>
          <w:szCs w:val="20"/>
        </w:rPr>
        <w:t>Διάγραμμα 3.1</w:t>
      </w:r>
      <w:r w:rsidR="00EB680C" w:rsidRPr="00190924">
        <w:rPr>
          <w:szCs w:val="20"/>
        </w:rPr>
        <w:fldChar w:fldCharType="end"/>
      </w:r>
      <w:r w:rsidR="002F4C10" w:rsidRPr="00190924">
        <w:rPr>
          <w:szCs w:val="20"/>
        </w:rPr>
        <w:t>.</w:t>
      </w:r>
      <w:r w:rsidRPr="00190924">
        <w:rPr>
          <w:szCs w:val="20"/>
        </w:rPr>
        <w:t>).</w:t>
      </w:r>
    </w:p>
    <w:p w14:paraId="5D977B7F" w14:textId="307EA6AC" w:rsidR="00C32D6B" w:rsidRPr="00F023E4" w:rsidRDefault="00F023E4" w:rsidP="00027CAA">
      <w:pPr>
        <w:pStyle w:val="afc"/>
        <w:keepNext/>
        <w:spacing w:before="240" w:after="60" w:line="276" w:lineRule="auto"/>
        <w:jc w:val="center"/>
        <w:rPr>
          <w:rFonts w:cs="Arial"/>
          <w:sz w:val="18"/>
          <w:szCs w:val="18"/>
        </w:rPr>
      </w:pPr>
      <w:bookmarkStart w:id="554" w:name="_Ref241413975"/>
      <w:bookmarkStart w:id="555" w:name="_Ref210047042"/>
      <w:bookmarkStart w:id="556" w:name="_Toc241773293"/>
      <w:r w:rsidRPr="00F023E4">
        <w:rPr>
          <w:rFonts w:cs="Arial"/>
          <w:sz w:val="18"/>
          <w:szCs w:val="18"/>
        </w:rPr>
        <w:t>Διάγραμμα 3.</w:t>
      </w:r>
      <w:r w:rsidRPr="00F023E4">
        <w:rPr>
          <w:rFonts w:cs="Arial"/>
          <w:sz w:val="18"/>
          <w:szCs w:val="18"/>
        </w:rPr>
        <w:fldChar w:fldCharType="begin"/>
      </w:r>
      <w:r w:rsidRPr="00F023E4">
        <w:rPr>
          <w:rFonts w:cs="Arial"/>
          <w:sz w:val="18"/>
          <w:szCs w:val="18"/>
        </w:rPr>
        <w:instrText xml:space="preserve"> SEQ Διάγραμμα_3. \* ARABIC </w:instrText>
      </w:r>
      <w:r w:rsidRPr="00F023E4">
        <w:rPr>
          <w:rFonts w:cs="Arial"/>
          <w:sz w:val="18"/>
          <w:szCs w:val="18"/>
        </w:rPr>
        <w:fldChar w:fldCharType="separate"/>
      </w:r>
      <w:r w:rsidR="007F6D9C">
        <w:rPr>
          <w:rFonts w:cs="Arial"/>
          <w:noProof/>
          <w:sz w:val="18"/>
          <w:szCs w:val="18"/>
        </w:rPr>
        <w:t>1</w:t>
      </w:r>
      <w:r w:rsidRPr="00F023E4">
        <w:rPr>
          <w:rFonts w:cs="Arial"/>
          <w:sz w:val="18"/>
          <w:szCs w:val="18"/>
        </w:rPr>
        <w:fldChar w:fldCharType="end"/>
      </w:r>
      <w:bookmarkEnd w:id="554"/>
      <w:r w:rsidRPr="00F023E4">
        <w:rPr>
          <w:rFonts w:cs="Arial"/>
          <w:sz w:val="18"/>
          <w:szCs w:val="18"/>
        </w:rPr>
        <w:t>.:</w:t>
      </w:r>
      <w:bookmarkEnd w:id="555"/>
      <w:r w:rsidR="00C32D6B" w:rsidRPr="00F023E4">
        <w:rPr>
          <w:rFonts w:cs="Arial"/>
          <w:sz w:val="18"/>
          <w:szCs w:val="18"/>
        </w:rPr>
        <w:t xml:space="preserve"> Χρονοδιάγραμμα λήξης χρέους της Κεντρικής Διοίκησης την 31</w:t>
      </w:r>
      <w:r w:rsidR="005D3166" w:rsidRPr="00F023E4">
        <w:rPr>
          <w:rFonts w:cs="Arial"/>
          <w:sz w:val="18"/>
          <w:szCs w:val="18"/>
        </w:rPr>
        <w:t>η</w:t>
      </w:r>
      <w:r w:rsidR="00C32D6B" w:rsidRPr="00F023E4">
        <w:rPr>
          <w:rFonts w:cs="Arial"/>
          <w:sz w:val="18"/>
          <w:szCs w:val="18"/>
        </w:rPr>
        <w:t>.8.202</w:t>
      </w:r>
      <w:r w:rsidR="001B634C" w:rsidRPr="00F023E4">
        <w:rPr>
          <w:rFonts w:cs="Arial"/>
          <w:sz w:val="18"/>
          <w:szCs w:val="18"/>
        </w:rPr>
        <w:t>6</w:t>
      </w:r>
      <w:r w:rsidR="00C32D6B" w:rsidRPr="00F023E4">
        <w:rPr>
          <w:rFonts w:cs="Arial"/>
          <w:sz w:val="18"/>
          <w:szCs w:val="18"/>
        </w:rPr>
        <w:t xml:space="preserve"> (σε εκατ. ευρώ)</w:t>
      </w:r>
      <w:bookmarkEnd w:id="556"/>
    </w:p>
    <w:p w14:paraId="35B15989" w14:textId="43CEFE6A" w:rsidR="00E05064" w:rsidRDefault="00E05064" w:rsidP="00027CAA">
      <w:pPr>
        <w:spacing w:after="0"/>
        <w:jc w:val="center"/>
      </w:pPr>
      <w:r>
        <w:rPr>
          <w:noProof/>
        </w:rPr>
        <w:drawing>
          <wp:inline distT="0" distB="0" distL="0" distR="0" wp14:anchorId="770302DE" wp14:editId="778ECA3B">
            <wp:extent cx="5759450" cy="2520000"/>
            <wp:effectExtent l="0" t="0" r="12700" b="13970"/>
            <wp:docPr id="2" name="Γράφημα 2">
              <a:extLst xmlns:a="http://schemas.openxmlformats.org/drawingml/2006/main">
                <a:ext uri="{FF2B5EF4-FFF2-40B4-BE49-F238E27FC236}">
                  <a16:creationId xmlns:a16="http://schemas.microsoft.com/office/drawing/2014/main" id="{CE5A9076-C122-4C8F-BFC5-3EEE367C32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7C63A2C" w14:textId="77777777" w:rsidR="00183732" w:rsidRPr="00183732" w:rsidRDefault="00183732" w:rsidP="00DB4604">
      <w:pPr>
        <w:spacing w:before="60" w:after="240" w:line="276" w:lineRule="auto"/>
        <w:rPr>
          <w:sz w:val="16"/>
        </w:rPr>
      </w:pPr>
      <w:r w:rsidRPr="00F023E4">
        <w:rPr>
          <w:sz w:val="16"/>
        </w:rPr>
        <w:t>Πηγή: ΟΔΔΗΧ</w:t>
      </w:r>
    </w:p>
    <w:p w14:paraId="1AB29296" w14:textId="77777777" w:rsidR="009A6D53" w:rsidRPr="00AB1AA8" w:rsidRDefault="009A6D53" w:rsidP="001758A7">
      <w:pPr>
        <w:pStyle w:val="3"/>
        <w:keepNext w:val="0"/>
      </w:pPr>
      <w:bookmarkStart w:id="557" w:name="_Toc242019573"/>
      <w:r w:rsidRPr="00D348F3">
        <w:t>Δαπάνες</w:t>
      </w:r>
      <w:r w:rsidRPr="00AB1AA8">
        <w:t xml:space="preserve"> εξυπηρέτησης χρέους</w:t>
      </w:r>
      <w:bookmarkEnd w:id="557"/>
    </w:p>
    <w:p w14:paraId="5B4C352A" w14:textId="3BFD9181" w:rsidR="003F5FF9" w:rsidRDefault="0066008A" w:rsidP="006F1164">
      <w:pPr>
        <w:spacing w:after="240"/>
      </w:pPr>
      <w:r w:rsidRPr="00E40AE8">
        <w:t xml:space="preserve">Όπως </w:t>
      </w:r>
      <w:r w:rsidRPr="00190924">
        <w:t xml:space="preserve">αποτυπώνεται παρακάτω </w:t>
      </w:r>
      <w:r w:rsidRPr="00190924">
        <w:rPr>
          <w:szCs w:val="20"/>
        </w:rPr>
        <w:t>(</w:t>
      </w:r>
      <w:r w:rsidR="00747837" w:rsidRPr="00190924">
        <w:rPr>
          <w:szCs w:val="20"/>
        </w:rPr>
        <w:fldChar w:fldCharType="begin"/>
      </w:r>
      <w:r w:rsidR="00747837" w:rsidRPr="00190924">
        <w:rPr>
          <w:szCs w:val="20"/>
        </w:rPr>
        <w:instrText xml:space="preserve"> REF _Ref146821971 \h  \* MERGEFORMAT </w:instrText>
      </w:r>
      <w:r w:rsidR="00747837" w:rsidRPr="00190924">
        <w:rPr>
          <w:szCs w:val="20"/>
        </w:rPr>
      </w:r>
      <w:r w:rsidR="00747837" w:rsidRPr="00190924">
        <w:rPr>
          <w:szCs w:val="20"/>
        </w:rPr>
        <w:fldChar w:fldCharType="separate"/>
      </w:r>
      <w:r w:rsidR="007F6D9C" w:rsidRPr="00190924">
        <w:rPr>
          <w:bCs/>
          <w:szCs w:val="20"/>
        </w:rPr>
        <w:t>Πίνακας 3.2</w:t>
      </w:r>
      <w:r w:rsidR="00747837" w:rsidRPr="00190924">
        <w:rPr>
          <w:szCs w:val="20"/>
        </w:rPr>
        <w:fldChar w:fldCharType="end"/>
      </w:r>
      <w:r w:rsidR="00B81454" w:rsidRPr="00190924">
        <w:rPr>
          <w:szCs w:val="20"/>
        </w:rPr>
        <w:t>.</w:t>
      </w:r>
      <w:r w:rsidRPr="00190924">
        <w:rPr>
          <w:szCs w:val="20"/>
        </w:rPr>
        <w:t>)</w:t>
      </w:r>
      <w:r w:rsidRPr="00190924">
        <w:t>, οι δαπάνες</w:t>
      </w:r>
      <w:r w:rsidRPr="00E40AE8">
        <w:t xml:space="preserve"> για </w:t>
      </w:r>
      <w:r w:rsidRPr="00076EA8">
        <w:t xml:space="preserve">τόκους μετά </w:t>
      </w:r>
      <w:r w:rsidRPr="00076EA8">
        <w:rPr>
          <w:lang w:val="en-US"/>
        </w:rPr>
        <w:t>swap</w:t>
      </w:r>
      <w:r w:rsidRPr="00076EA8">
        <w:t xml:space="preserve"> του</w:t>
      </w:r>
      <w:r w:rsidRPr="00E40AE8">
        <w:t xml:space="preserve"> χρέους της Κεντρικής Διοίκησης μετά το 202</w:t>
      </w:r>
      <w:r>
        <w:t>2</w:t>
      </w:r>
      <w:r w:rsidRPr="00E40AE8">
        <w:t xml:space="preserve"> διαμορφώνονται </w:t>
      </w:r>
      <w:r w:rsidR="00034128">
        <w:t xml:space="preserve">κυρίως </w:t>
      </w:r>
      <w:r w:rsidRPr="00E40AE8">
        <w:t xml:space="preserve">κοντά στα επίπεδα </w:t>
      </w:r>
      <w:r w:rsidRPr="00FF229F">
        <w:t>των 6.000 - 7.800 εκατ</w:t>
      </w:r>
      <w:r w:rsidRPr="00E40AE8">
        <w:t xml:space="preserve">. ευρώ, ήτοι 2,9% - 3,0% περίπου ως ποσοστό του ΑΕΠ. Σε επίπεδο Γενικής Κυβέρνησης οι δαπάνες για τόκους μετά </w:t>
      </w:r>
      <w:r w:rsidRPr="00660B22">
        <w:t>swap αναμένεται να διαμορφωθούν στα επίπεδα των 5.</w:t>
      </w:r>
      <w:r>
        <w:t>07</w:t>
      </w:r>
      <w:r w:rsidRPr="00660B22">
        <w:t>0 - 5.2</w:t>
      </w:r>
      <w:r>
        <w:t>4</w:t>
      </w:r>
      <w:r w:rsidRPr="00660B22">
        <w:t xml:space="preserve">0 εκατ. ευρώ για τα έτη 2026 και </w:t>
      </w:r>
      <w:r w:rsidRPr="00076EA8">
        <w:t>2027, ήτοι 1,9% ως ποσοστό του ΑΕΠ. Οι μειωμένες</w:t>
      </w:r>
      <w:r w:rsidRPr="00660B22">
        <w:t xml:space="preserve"> δαπάνες τόκων τα τελευταία </w:t>
      </w:r>
      <w:r>
        <w:t>έτη</w:t>
      </w:r>
      <w:r w:rsidRPr="00660B22">
        <w:t xml:space="preserve"> οφείλονται στη μείωση του ύψους του δημ</w:t>
      </w:r>
      <w:r w:rsidR="00E315D4">
        <w:t>ο</w:t>
      </w:r>
      <w:r w:rsidRPr="00660B22">
        <w:t>σ</w:t>
      </w:r>
      <w:r w:rsidR="00E315D4">
        <w:t>ί</w:t>
      </w:r>
      <w:r w:rsidRPr="00660B22">
        <w:t xml:space="preserve">ου χρέους μετά την ανταλλαγή των ομολόγων (PSI) του Μαρτίου 2012 και την επαναγορά του Δεκεμβρίου 2012, στη μείωση των επιτοκίων των δανείων του Μηχανισμού Στήριξης και </w:t>
      </w:r>
      <w:r>
        <w:t>σ</w:t>
      </w:r>
      <w:r w:rsidRPr="00660B22">
        <w:t>την αναβολή</w:t>
      </w:r>
      <w:r>
        <w:t xml:space="preserve"> της</w:t>
      </w:r>
      <w:r w:rsidRPr="00660B22">
        <w:t xml:space="preserve"> καταβολής τόκων για τα δάνεια που χορηγήθηκαν </w:t>
      </w:r>
      <w:r w:rsidRPr="00E315D4">
        <w:t>από το Ε</w:t>
      </w:r>
      <w:r w:rsidR="00E315D4" w:rsidRPr="00E315D4">
        <w:t>ΤΧΣ</w:t>
      </w:r>
      <w:r w:rsidRPr="00E315D4">
        <w:t xml:space="preserve"> καθώς επίσης</w:t>
      </w:r>
      <w:r w:rsidRPr="00660B22">
        <w:t xml:space="preserve"> </w:t>
      </w:r>
      <w:r>
        <w:t xml:space="preserve">και </w:t>
      </w:r>
      <w:r w:rsidRPr="00660B22">
        <w:t>στις συμφωνίες ανταλλαγής επιτοκίων</w:t>
      </w:r>
      <w:r w:rsidRPr="000F1D07">
        <w:t xml:space="preserve"> </w:t>
      </w:r>
      <w:r>
        <w:t xml:space="preserve">και </w:t>
      </w:r>
      <w:r w:rsidR="00E315D4">
        <w:t>σ</w:t>
      </w:r>
      <w:r>
        <w:t>τις πρόωρες αποπληρωμές χρέους</w:t>
      </w:r>
      <w:r w:rsidRPr="00660B22">
        <w:t>.</w:t>
      </w:r>
    </w:p>
    <w:p w14:paraId="50AA3739" w14:textId="1B16D0FC" w:rsidR="003F5FF9" w:rsidRDefault="003F5FF9">
      <w:pPr>
        <w:spacing w:after="0" w:line="240" w:lineRule="auto"/>
        <w:jc w:val="left"/>
      </w:pPr>
    </w:p>
    <w:p w14:paraId="555C1782" w14:textId="48FEA666" w:rsidR="003F5FF9" w:rsidRDefault="003F5FF9">
      <w:pPr>
        <w:spacing w:after="0" w:line="240" w:lineRule="auto"/>
        <w:jc w:val="left"/>
      </w:pPr>
    </w:p>
    <w:p w14:paraId="6C427E87" w14:textId="7CAC5CF9" w:rsidR="003F5FF9" w:rsidRDefault="003F5FF9">
      <w:pPr>
        <w:spacing w:after="0" w:line="240" w:lineRule="auto"/>
        <w:jc w:val="left"/>
      </w:pPr>
    </w:p>
    <w:p w14:paraId="7B77B9F5" w14:textId="2DC0F55D" w:rsidR="003F5FF9" w:rsidRDefault="003F5FF9">
      <w:pPr>
        <w:spacing w:after="0" w:line="240" w:lineRule="auto"/>
        <w:jc w:val="left"/>
      </w:pPr>
    </w:p>
    <w:p w14:paraId="5E91C47B" w14:textId="08C1801A" w:rsidR="003F5FF9" w:rsidRDefault="003F5FF9">
      <w:pPr>
        <w:spacing w:after="0" w:line="240" w:lineRule="auto"/>
        <w:jc w:val="left"/>
      </w:pPr>
    </w:p>
    <w:p w14:paraId="025C1F12" w14:textId="7E67DFD6" w:rsidR="003F5FF9" w:rsidRDefault="003F5FF9">
      <w:pPr>
        <w:spacing w:after="0" w:line="240" w:lineRule="auto"/>
        <w:jc w:val="left"/>
      </w:pPr>
    </w:p>
    <w:p w14:paraId="72030FEC" w14:textId="371996B0" w:rsidR="003F5FF9" w:rsidRDefault="003F5FF9">
      <w:pPr>
        <w:spacing w:after="0" w:line="240" w:lineRule="auto"/>
        <w:jc w:val="left"/>
      </w:pPr>
    </w:p>
    <w:p w14:paraId="6BB6B24E" w14:textId="0C974B8F" w:rsidR="003F5FF9" w:rsidRDefault="003F5FF9">
      <w:pPr>
        <w:spacing w:after="0" w:line="240" w:lineRule="auto"/>
        <w:jc w:val="left"/>
      </w:pPr>
    </w:p>
    <w:p w14:paraId="233A691E" w14:textId="36119D40" w:rsidR="003F5FF9" w:rsidRDefault="003F5FF9">
      <w:pPr>
        <w:spacing w:after="0" w:line="240" w:lineRule="auto"/>
        <w:jc w:val="left"/>
      </w:pPr>
    </w:p>
    <w:p w14:paraId="5CCA797D" w14:textId="7016146D" w:rsidR="003F5FF9" w:rsidRDefault="003F5FF9">
      <w:pPr>
        <w:spacing w:after="0" w:line="240" w:lineRule="auto"/>
        <w:jc w:val="left"/>
      </w:pPr>
    </w:p>
    <w:p w14:paraId="1A1A8187" w14:textId="42824CCC" w:rsidR="003F5FF9" w:rsidRDefault="003F5FF9">
      <w:pPr>
        <w:spacing w:after="0" w:line="240" w:lineRule="auto"/>
        <w:jc w:val="left"/>
      </w:pPr>
    </w:p>
    <w:p w14:paraId="1BC916B6" w14:textId="2806B98A" w:rsidR="003F5FF9" w:rsidRDefault="003F5FF9">
      <w:pPr>
        <w:spacing w:after="0" w:line="240" w:lineRule="auto"/>
        <w:jc w:val="left"/>
      </w:pPr>
    </w:p>
    <w:p w14:paraId="2508AC1D" w14:textId="77777777" w:rsidR="00CC3F92" w:rsidRDefault="00CC3F92">
      <w:pPr>
        <w:spacing w:after="0" w:line="240" w:lineRule="auto"/>
        <w:jc w:val="left"/>
      </w:pPr>
    </w:p>
    <w:p w14:paraId="0B4C4CC8" w14:textId="5271E331" w:rsidR="003F5FF9" w:rsidRDefault="003F5FF9">
      <w:pPr>
        <w:spacing w:after="0" w:line="240" w:lineRule="auto"/>
        <w:jc w:val="left"/>
      </w:pPr>
    </w:p>
    <w:tbl>
      <w:tblPr>
        <w:tblW w:w="9121" w:type="dxa"/>
        <w:jc w:val="center"/>
        <w:tblLook w:val="04A0" w:firstRow="1" w:lastRow="0" w:firstColumn="1" w:lastColumn="0" w:noHBand="0" w:noVBand="1"/>
      </w:tblPr>
      <w:tblGrid>
        <w:gridCol w:w="3357"/>
        <w:gridCol w:w="964"/>
        <w:gridCol w:w="975"/>
        <w:gridCol w:w="975"/>
        <w:gridCol w:w="949"/>
        <w:gridCol w:w="949"/>
        <w:gridCol w:w="952"/>
      </w:tblGrid>
      <w:tr w:rsidR="00EC6BE6" w:rsidRPr="007E1D14" w14:paraId="04C18EBB" w14:textId="77777777" w:rsidTr="00747837">
        <w:trPr>
          <w:cantSplit/>
          <w:trHeight w:val="567"/>
          <w:jc w:val="center"/>
        </w:trPr>
        <w:tc>
          <w:tcPr>
            <w:tcW w:w="9121" w:type="dxa"/>
            <w:gridSpan w:val="7"/>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auto" w:fill="D5DCE4"/>
            <w:noWrap/>
            <w:vAlign w:val="center"/>
            <w:hideMark/>
          </w:tcPr>
          <w:p w14:paraId="67495EAA" w14:textId="2A12DAF9" w:rsidR="00EC6BE6" w:rsidRPr="007E1D14" w:rsidRDefault="00EA0338" w:rsidP="00787B59">
            <w:pPr>
              <w:spacing w:after="0" w:line="276" w:lineRule="auto"/>
              <w:jc w:val="center"/>
              <w:rPr>
                <w:b/>
                <w:bCs/>
                <w:sz w:val="18"/>
                <w:szCs w:val="18"/>
              </w:rPr>
            </w:pPr>
            <w:bookmarkStart w:id="558" w:name="_Ref146821971"/>
            <w:bookmarkStart w:id="559" w:name="_Toc241773183"/>
            <w:r w:rsidRPr="006F1164">
              <w:rPr>
                <w:b/>
                <w:bCs/>
                <w:sz w:val="18"/>
                <w:szCs w:val="18"/>
              </w:rPr>
              <w:t>Πίνακας 3.</w:t>
            </w:r>
            <w:r w:rsidRPr="006F1164">
              <w:rPr>
                <w:b/>
                <w:bCs/>
                <w:sz w:val="18"/>
                <w:szCs w:val="18"/>
              </w:rPr>
              <w:fldChar w:fldCharType="begin"/>
            </w:r>
            <w:r w:rsidRPr="006F1164">
              <w:rPr>
                <w:b/>
                <w:bCs/>
                <w:sz w:val="18"/>
                <w:szCs w:val="18"/>
              </w:rPr>
              <w:instrText xml:space="preserve"> SEQ Πίνακας_3. \* ARABIC </w:instrText>
            </w:r>
            <w:r w:rsidRPr="006F1164">
              <w:rPr>
                <w:b/>
                <w:bCs/>
                <w:sz w:val="18"/>
                <w:szCs w:val="18"/>
              </w:rPr>
              <w:fldChar w:fldCharType="separate"/>
            </w:r>
            <w:r w:rsidR="007F6D9C">
              <w:rPr>
                <w:b/>
                <w:bCs/>
                <w:noProof/>
                <w:sz w:val="18"/>
                <w:szCs w:val="18"/>
              </w:rPr>
              <w:t>2</w:t>
            </w:r>
            <w:r w:rsidRPr="006F1164">
              <w:rPr>
                <w:b/>
                <w:bCs/>
                <w:sz w:val="18"/>
                <w:szCs w:val="18"/>
              </w:rPr>
              <w:fldChar w:fldCharType="end"/>
            </w:r>
            <w:bookmarkEnd w:id="558"/>
            <w:r w:rsidR="00551A4F" w:rsidRPr="006F1164">
              <w:rPr>
                <w:b/>
                <w:bCs/>
                <w:sz w:val="18"/>
                <w:szCs w:val="18"/>
              </w:rPr>
              <w:t xml:space="preserve">.: </w:t>
            </w:r>
            <w:r w:rsidR="00EC6BE6" w:rsidRPr="006F1164">
              <w:rPr>
                <w:b/>
                <w:bCs/>
                <w:sz w:val="18"/>
                <w:szCs w:val="18"/>
              </w:rPr>
              <w:t>Ύψος δαπανών για τόκους χρέους</w:t>
            </w:r>
            <w:bookmarkEnd w:id="559"/>
            <w:r w:rsidR="00787B59">
              <w:rPr>
                <w:b/>
                <w:bCs/>
                <w:sz w:val="18"/>
                <w:szCs w:val="18"/>
              </w:rPr>
              <w:br/>
            </w:r>
            <w:r w:rsidR="00C845A5" w:rsidRPr="006F1164">
              <w:rPr>
                <w:b/>
                <w:bCs/>
                <w:sz w:val="18"/>
                <w:szCs w:val="18"/>
              </w:rPr>
              <w:t>(ποσά σε εκατ. ευρώ</w:t>
            </w:r>
            <w:r w:rsidR="0066008A" w:rsidRPr="006F1164">
              <w:rPr>
                <w:b/>
                <w:bCs/>
                <w:sz w:val="18"/>
                <w:szCs w:val="18"/>
              </w:rPr>
              <w:t xml:space="preserve"> και σε ταμειακή βάση</w:t>
            </w:r>
            <w:r w:rsidR="00C845A5" w:rsidRPr="006F1164">
              <w:rPr>
                <w:b/>
                <w:bCs/>
                <w:sz w:val="18"/>
                <w:szCs w:val="18"/>
              </w:rPr>
              <w:t>)</w:t>
            </w:r>
          </w:p>
        </w:tc>
      </w:tr>
      <w:tr w:rsidR="00EC6BE6" w:rsidRPr="007E1D14" w14:paraId="4DD778A3" w14:textId="77777777" w:rsidTr="00F44BB1">
        <w:trPr>
          <w:cantSplit/>
          <w:trHeight w:val="340"/>
          <w:jc w:val="center"/>
        </w:trPr>
        <w:tc>
          <w:tcPr>
            <w:tcW w:w="3357" w:type="dxa"/>
            <w:tcBorders>
              <w:left w:val="single" w:sz="2" w:space="0" w:color="A6A6A6" w:themeColor="background1" w:themeShade="A6"/>
            </w:tcBorders>
            <w:noWrap/>
            <w:vAlign w:val="center"/>
            <w:hideMark/>
          </w:tcPr>
          <w:p w14:paraId="108D4FCA" w14:textId="01BE7010" w:rsidR="00EC6BE6" w:rsidRPr="007E1D14" w:rsidRDefault="00EC6BE6" w:rsidP="00FA515B">
            <w:pPr>
              <w:spacing w:after="0" w:line="276" w:lineRule="auto"/>
              <w:jc w:val="center"/>
              <w:rPr>
                <w:sz w:val="16"/>
                <w:szCs w:val="16"/>
              </w:rPr>
            </w:pPr>
          </w:p>
        </w:tc>
        <w:tc>
          <w:tcPr>
            <w:tcW w:w="964" w:type="dxa"/>
            <w:vAlign w:val="center"/>
            <w:hideMark/>
          </w:tcPr>
          <w:p w14:paraId="183AA02C" w14:textId="5E85228A" w:rsidR="00EC6BE6" w:rsidRPr="00913338" w:rsidRDefault="00EC6BE6" w:rsidP="00FA515B">
            <w:pPr>
              <w:spacing w:after="0" w:line="276" w:lineRule="auto"/>
              <w:jc w:val="center"/>
              <w:rPr>
                <w:b/>
                <w:bCs/>
                <w:sz w:val="16"/>
                <w:szCs w:val="18"/>
              </w:rPr>
            </w:pPr>
            <w:r w:rsidRPr="00913338">
              <w:rPr>
                <w:b/>
                <w:bCs/>
                <w:sz w:val="16"/>
                <w:szCs w:val="18"/>
              </w:rPr>
              <w:t>20</w:t>
            </w:r>
            <w:r w:rsidR="008927CE" w:rsidRPr="00913338">
              <w:rPr>
                <w:b/>
                <w:bCs/>
                <w:sz w:val="16"/>
                <w:szCs w:val="18"/>
              </w:rPr>
              <w:t>2</w:t>
            </w:r>
            <w:r w:rsidR="0066008A" w:rsidRPr="00913338">
              <w:rPr>
                <w:b/>
                <w:bCs/>
                <w:sz w:val="16"/>
                <w:szCs w:val="18"/>
              </w:rPr>
              <w:t>2</w:t>
            </w:r>
          </w:p>
        </w:tc>
        <w:tc>
          <w:tcPr>
            <w:tcW w:w="975" w:type="dxa"/>
            <w:vAlign w:val="center"/>
            <w:hideMark/>
          </w:tcPr>
          <w:p w14:paraId="1C1F7CC5" w14:textId="71205338" w:rsidR="00EC6BE6" w:rsidRPr="00913338" w:rsidRDefault="0066008A" w:rsidP="00FA515B">
            <w:pPr>
              <w:spacing w:after="0" w:line="276" w:lineRule="auto"/>
              <w:jc w:val="center"/>
              <w:rPr>
                <w:b/>
                <w:bCs/>
                <w:sz w:val="16"/>
                <w:szCs w:val="18"/>
              </w:rPr>
            </w:pPr>
            <w:r w:rsidRPr="00913338">
              <w:rPr>
                <w:b/>
                <w:bCs/>
                <w:sz w:val="16"/>
                <w:szCs w:val="18"/>
              </w:rPr>
              <w:t>2023</w:t>
            </w:r>
          </w:p>
        </w:tc>
        <w:tc>
          <w:tcPr>
            <w:tcW w:w="975" w:type="dxa"/>
            <w:vAlign w:val="center"/>
            <w:hideMark/>
          </w:tcPr>
          <w:p w14:paraId="7F0261A9" w14:textId="14BF5F65" w:rsidR="00EC6BE6" w:rsidRPr="00913338" w:rsidRDefault="0066008A" w:rsidP="00FA515B">
            <w:pPr>
              <w:spacing w:after="0" w:line="276" w:lineRule="auto"/>
              <w:jc w:val="center"/>
              <w:rPr>
                <w:b/>
                <w:bCs/>
                <w:sz w:val="16"/>
                <w:szCs w:val="18"/>
              </w:rPr>
            </w:pPr>
            <w:r w:rsidRPr="00913338">
              <w:rPr>
                <w:b/>
                <w:bCs/>
                <w:sz w:val="16"/>
                <w:szCs w:val="18"/>
              </w:rPr>
              <w:t>2024</w:t>
            </w:r>
          </w:p>
        </w:tc>
        <w:tc>
          <w:tcPr>
            <w:tcW w:w="949" w:type="dxa"/>
            <w:noWrap/>
            <w:vAlign w:val="center"/>
            <w:hideMark/>
          </w:tcPr>
          <w:p w14:paraId="19699745" w14:textId="337C70C5" w:rsidR="00EC6BE6" w:rsidRPr="00913338" w:rsidRDefault="0066008A" w:rsidP="00FA515B">
            <w:pPr>
              <w:spacing w:after="0" w:line="276" w:lineRule="auto"/>
              <w:jc w:val="center"/>
              <w:rPr>
                <w:b/>
                <w:bCs/>
                <w:sz w:val="16"/>
                <w:szCs w:val="18"/>
              </w:rPr>
            </w:pPr>
            <w:r w:rsidRPr="00913338">
              <w:rPr>
                <w:b/>
                <w:bCs/>
                <w:sz w:val="16"/>
                <w:szCs w:val="18"/>
              </w:rPr>
              <w:t>2025</w:t>
            </w:r>
          </w:p>
        </w:tc>
        <w:tc>
          <w:tcPr>
            <w:tcW w:w="949" w:type="dxa"/>
            <w:noWrap/>
            <w:vAlign w:val="center"/>
            <w:hideMark/>
          </w:tcPr>
          <w:p w14:paraId="02DCE3BF" w14:textId="23E5402C" w:rsidR="00EC6BE6" w:rsidRPr="00913338" w:rsidRDefault="0066008A" w:rsidP="00FA515B">
            <w:pPr>
              <w:spacing w:after="0" w:line="276" w:lineRule="auto"/>
              <w:jc w:val="center"/>
              <w:rPr>
                <w:b/>
                <w:bCs/>
                <w:sz w:val="16"/>
                <w:szCs w:val="18"/>
              </w:rPr>
            </w:pPr>
            <w:r w:rsidRPr="00913338">
              <w:rPr>
                <w:b/>
                <w:bCs/>
                <w:sz w:val="16"/>
                <w:szCs w:val="18"/>
              </w:rPr>
              <w:t>2026</w:t>
            </w:r>
            <w:r w:rsidRPr="00913338">
              <w:rPr>
                <w:b/>
                <w:bCs/>
                <w:sz w:val="16"/>
                <w:szCs w:val="18"/>
                <w:vertAlign w:val="superscript"/>
              </w:rPr>
              <w:t>1</w:t>
            </w:r>
          </w:p>
        </w:tc>
        <w:tc>
          <w:tcPr>
            <w:tcW w:w="952" w:type="dxa"/>
            <w:tcBorders>
              <w:right w:val="single" w:sz="2" w:space="0" w:color="A6A6A6" w:themeColor="background1" w:themeShade="A6"/>
            </w:tcBorders>
            <w:noWrap/>
            <w:vAlign w:val="center"/>
            <w:hideMark/>
          </w:tcPr>
          <w:p w14:paraId="6F19DA45" w14:textId="62A043B4" w:rsidR="00EC6BE6" w:rsidRPr="00913338" w:rsidRDefault="0066008A" w:rsidP="00FA515B">
            <w:pPr>
              <w:spacing w:after="0" w:line="276" w:lineRule="auto"/>
              <w:jc w:val="center"/>
              <w:rPr>
                <w:b/>
                <w:bCs/>
                <w:sz w:val="16"/>
                <w:szCs w:val="18"/>
              </w:rPr>
            </w:pPr>
            <w:r w:rsidRPr="00913338">
              <w:rPr>
                <w:b/>
                <w:bCs/>
                <w:sz w:val="16"/>
                <w:szCs w:val="18"/>
              </w:rPr>
              <w:t>2027</w:t>
            </w:r>
            <w:r w:rsidRPr="00913338">
              <w:rPr>
                <w:b/>
                <w:bCs/>
                <w:sz w:val="16"/>
                <w:szCs w:val="18"/>
                <w:vertAlign w:val="superscript"/>
              </w:rPr>
              <w:t>2</w:t>
            </w:r>
          </w:p>
        </w:tc>
      </w:tr>
      <w:tr w:rsidR="007E3518" w:rsidRPr="007E1D14" w14:paraId="7BE94D54" w14:textId="77777777" w:rsidTr="00F3421E">
        <w:trPr>
          <w:cantSplit/>
          <w:trHeight w:val="283"/>
          <w:jc w:val="center"/>
        </w:trPr>
        <w:tc>
          <w:tcPr>
            <w:tcW w:w="9121" w:type="dxa"/>
            <w:gridSpan w:val="7"/>
            <w:tcBorders>
              <w:left w:val="single" w:sz="2" w:space="0" w:color="A6A6A6" w:themeColor="background1" w:themeShade="A6"/>
              <w:right w:val="single" w:sz="2" w:space="0" w:color="A6A6A6" w:themeColor="background1" w:themeShade="A6"/>
            </w:tcBorders>
            <w:shd w:val="clear" w:color="auto" w:fill="F2F2F2" w:themeFill="background1" w:themeFillShade="F2"/>
            <w:noWrap/>
            <w:vAlign w:val="center"/>
          </w:tcPr>
          <w:p w14:paraId="08A34DB8" w14:textId="66C05D6A" w:rsidR="007E3518" w:rsidRPr="00921811" w:rsidRDefault="007E3518" w:rsidP="00FA515B">
            <w:pPr>
              <w:spacing w:after="0" w:line="276" w:lineRule="auto"/>
              <w:jc w:val="left"/>
              <w:rPr>
                <w:rFonts w:cs="Arial"/>
                <w:b/>
                <w:bCs/>
                <w:sz w:val="16"/>
                <w:szCs w:val="16"/>
              </w:rPr>
            </w:pPr>
            <w:r w:rsidRPr="00921811">
              <w:rPr>
                <w:rFonts w:cs="Arial"/>
                <w:b/>
                <w:sz w:val="16"/>
                <w:szCs w:val="16"/>
              </w:rPr>
              <w:t>Κεντρική Διοίκηση</w:t>
            </w:r>
          </w:p>
        </w:tc>
      </w:tr>
      <w:tr w:rsidR="006F1164" w:rsidRPr="00EC6BE6" w14:paraId="1DB9B25E" w14:textId="77777777" w:rsidTr="003F5FF9">
        <w:trPr>
          <w:cantSplit/>
          <w:trHeight w:val="283"/>
          <w:jc w:val="center"/>
        </w:trPr>
        <w:tc>
          <w:tcPr>
            <w:tcW w:w="3357" w:type="dxa"/>
            <w:tcBorders>
              <w:left w:val="single" w:sz="2" w:space="0" w:color="A6A6A6" w:themeColor="background1" w:themeShade="A6"/>
            </w:tcBorders>
            <w:noWrap/>
            <w:vAlign w:val="center"/>
            <w:hideMark/>
          </w:tcPr>
          <w:p w14:paraId="5E3BE173" w14:textId="250B2764" w:rsidR="006F1164" w:rsidRPr="00921811" w:rsidRDefault="006F1164" w:rsidP="00FA515B">
            <w:pPr>
              <w:tabs>
                <w:tab w:val="left" w:pos="170"/>
              </w:tabs>
              <w:spacing w:after="0" w:line="276" w:lineRule="auto"/>
              <w:jc w:val="left"/>
              <w:rPr>
                <w:rFonts w:cs="Arial"/>
                <w:sz w:val="16"/>
                <w:szCs w:val="16"/>
              </w:rPr>
            </w:pPr>
            <w:proofErr w:type="spellStart"/>
            <w:r w:rsidRPr="00921811">
              <w:rPr>
                <w:rFonts w:cs="Arial"/>
                <w:sz w:val="16"/>
                <w:szCs w:val="16"/>
                <w:lang w:val="en-US"/>
              </w:rPr>
              <w:t>i</w:t>
            </w:r>
            <w:proofErr w:type="spellEnd"/>
            <w:r w:rsidRPr="00921811">
              <w:rPr>
                <w:rFonts w:cs="Arial"/>
                <w:sz w:val="16"/>
                <w:szCs w:val="16"/>
                <w:lang w:val="en-US"/>
              </w:rPr>
              <w:t>.</w:t>
            </w:r>
            <w:r w:rsidR="007E3518" w:rsidRPr="00921811">
              <w:rPr>
                <w:rFonts w:cs="Arial"/>
                <w:sz w:val="16"/>
                <w:szCs w:val="16"/>
                <w:lang w:val="en-US"/>
              </w:rPr>
              <w:tab/>
            </w:r>
            <w:r w:rsidRPr="00921811">
              <w:rPr>
                <w:rFonts w:cs="Arial"/>
                <w:sz w:val="16"/>
                <w:szCs w:val="16"/>
              </w:rPr>
              <w:t>Τόκοι προ SWAP</w:t>
            </w:r>
          </w:p>
        </w:tc>
        <w:tc>
          <w:tcPr>
            <w:tcW w:w="964" w:type="dxa"/>
            <w:shd w:val="clear" w:color="000000" w:fill="FFFFFF"/>
            <w:noWrap/>
            <w:vAlign w:val="center"/>
          </w:tcPr>
          <w:p w14:paraId="3A44E99F" w14:textId="7945AF95" w:rsidR="006F1164" w:rsidRPr="00921811" w:rsidRDefault="006F1164" w:rsidP="00FA515B">
            <w:pPr>
              <w:spacing w:after="0" w:line="276" w:lineRule="auto"/>
              <w:jc w:val="right"/>
              <w:rPr>
                <w:rFonts w:cs="Arial"/>
                <w:sz w:val="16"/>
                <w:szCs w:val="16"/>
              </w:rPr>
            </w:pPr>
            <w:r w:rsidRPr="00921811">
              <w:rPr>
                <w:rFonts w:cs="Arial"/>
                <w:sz w:val="16"/>
                <w:szCs w:val="16"/>
              </w:rPr>
              <w:t>4.917</w:t>
            </w:r>
          </w:p>
        </w:tc>
        <w:tc>
          <w:tcPr>
            <w:tcW w:w="975" w:type="dxa"/>
            <w:shd w:val="clear" w:color="000000" w:fill="FFFFFF"/>
            <w:noWrap/>
            <w:vAlign w:val="center"/>
          </w:tcPr>
          <w:p w14:paraId="00C3415F" w14:textId="016DD2A8" w:rsidR="006F1164" w:rsidRPr="00921811" w:rsidRDefault="006F1164" w:rsidP="00FA515B">
            <w:pPr>
              <w:spacing w:after="0" w:line="276" w:lineRule="auto"/>
              <w:jc w:val="right"/>
              <w:rPr>
                <w:rFonts w:cs="Arial"/>
                <w:sz w:val="16"/>
                <w:szCs w:val="16"/>
              </w:rPr>
            </w:pPr>
            <w:r w:rsidRPr="00921811">
              <w:rPr>
                <w:rFonts w:cs="Arial"/>
                <w:sz w:val="16"/>
                <w:szCs w:val="16"/>
              </w:rPr>
              <w:t>7.652</w:t>
            </w:r>
          </w:p>
        </w:tc>
        <w:tc>
          <w:tcPr>
            <w:tcW w:w="975" w:type="dxa"/>
            <w:shd w:val="clear" w:color="000000" w:fill="FFFFFF"/>
            <w:noWrap/>
            <w:vAlign w:val="center"/>
          </w:tcPr>
          <w:p w14:paraId="5DAF8D5C" w14:textId="6D371D51" w:rsidR="006F1164" w:rsidRPr="00921811" w:rsidRDefault="006F1164" w:rsidP="00FA515B">
            <w:pPr>
              <w:spacing w:after="0" w:line="276" w:lineRule="auto"/>
              <w:jc w:val="right"/>
              <w:rPr>
                <w:rFonts w:cs="Arial"/>
                <w:sz w:val="16"/>
                <w:szCs w:val="16"/>
              </w:rPr>
            </w:pPr>
            <w:r w:rsidRPr="00921811">
              <w:rPr>
                <w:rFonts w:cs="Arial"/>
                <w:sz w:val="16"/>
                <w:szCs w:val="16"/>
              </w:rPr>
              <w:t>8.279</w:t>
            </w:r>
          </w:p>
        </w:tc>
        <w:tc>
          <w:tcPr>
            <w:tcW w:w="949" w:type="dxa"/>
            <w:noWrap/>
            <w:vAlign w:val="center"/>
          </w:tcPr>
          <w:p w14:paraId="32CEF6F0" w14:textId="766CA5A8" w:rsidR="006F1164" w:rsidRPr="00921811" w:rsidRDefault="006F1164" w:rsidP="00FA515B">
            <w:pPr>
              <w:spacing w:after="0" w:line="276" w:lineRule="auto"/>
              <w:jc w:val="right"/>
              <w:rPr>
                <w:rFonts w:cs="Arial"/>
                <w:sz w:val="16"/>
                <w:szCs w:val="16"/>
              </w:rPr>
            </w:pPr>
            <w:r w:rsidRPr="00921811">
              <w:rPr>
                <w:rFonts w:cs="Arial"/>
                <w:sz w:val="16"/>
                <w:szCs w:val="16"/>
              </w:rPr>
              <w:t>7.941</w:t>
            </w:r>
          </w:p>
        </w:tc>
        <w:tc>
          <w:tcPr>
            <w:tcW w:w="949" w:type="dxa"/>
            <w:noWrap/>
            <w:vAlign w:val="center"/>
          </w:tcPr>
          <w:p w14:paraId="48E4256F" w14:textId="411C25BA" w:rsidR="006F1164" w:rsidRPr="00921811" w:rsidRDefault="006F1164" w:rsidP="00FA515B">
            <w:pPr>
              <w:spacing w:after="0" w:line="276" w:lineRule="auto"/>
              <w:jc w:val="right"/>
              <w:rPr>
                <w:rFonts w:cs="Arial"/>
                <w:sz w:val="16"/>
                <w:szCs w:val="16"/>
              </w:rPr>
            </w:pPr>
            <w:r w:rsidRPr="00921811">
              <w:rPr>
                <w:rFonts w:cs="Arial"/>
                <w:sz w:val="16"/>
                <w:szCs w:val="16"/>
              </w:rPr>
              <w:t>8.555</w:t>
            </w:r>
          </w:p>
        </w:tc>
        <w:tc>
          <w:tcPr>
            <w:tcW w:w="952" w:type="dxa"/>
            <w:tcBorders>
              <w:right w:val="single" w:sz="2" w:space="0" w:color="A6A6A6" w:themeColor="background1" w:themeShade="A6"/>
            </w:tcBorders>
            <w:noWrap/>
            <w:vAlign w:val="center"/>
          </w:tcPr>
          <w:p w14:paraId="737D01C4" w14:textId="6FE0289C" w:rsidR="006F1164" w:rsidRPr="00921811" w:rsidRDefault="006F1164" w:rsidP="00FA515B">
            <w:pPr>
              <w:spacing w:after="0" w:line="276" w:lineRule="auto"/>
              <w:jc w:val="right"/>
              <w:rPr>
                <w:rFonts w:cs="Arial"/>
                <w:sz w:val="16"/>
                <w:szCs w:val="16"/>
              </w:rPr>
            </w:pPr>
            <w:r w:rsidRPr="00921811">
              <w:rPr>
                <w:rFonts w:cs="Arial"/>
                <w:sz w:val="16"/>
                <w:szCs w:val="16"/>
              </w:rPr>
              <w:t>9.100</w:t>
            </w:r>
          </w:p>
        </w:tc>
      </w:tr>
      <w:tr w:rsidR="006F1164" w:rsidRPr="007E1D14" w14:paraId="796965D7" w14:textId="77777777" w:rsidTr="003F5FF9">
        <w:trPr>
          <w:cantSplit/>
          <w:trHeight w:val="283"/>
          <w:jc w:val="center"/>
        </w:trPr>
        <w:tc>
          <w:tcPr>
            <w:tcW w:w="3357" w:type="dxa"/>
            <w:tcBorders>
              <w:left w:val="single" w:sz="2" w:space="0" w:color="A6A6A6" w:themeColor="background1" w:themeShade="A6"/>
            </w:tcBorders>
            <w:noWrap/>
            <w:vAlign w:val="center"/>
            <w:hideMark/>
          </w:tcPr>
          <w:p w14:paraId="77FC84DB" w14:textId="0058621C" w:rsidR="006F1164" w:rsidRPr="00921811" w:rsidRDefault="006F1164" w:rsidP="00FA515B">
            <w:pPr>
              <w:tabs>
                <w:tab w:val="left" w:pos="170"/>
              </w:tabs>
              <w:spacing w:after="0" w:line="276" w:lineRule="auto"/>
              <w:jc w:val="left"/>
              <w:rPr>
                <w:rFonts w:cs="Arial"/>
                <w:sz w:val="16"/>
                <w:szCs w:val="16"/>
              </w:rPr>
            </w:pPr>
            <w:r w:rsidRPr="00921811">
              <w:rPr>
                <w:rFonts w:cs="Arial"/>
                <w:sz w:val="16"/>
                <w:szCs w:val="16"/>
                <w:lang w:val="en-US"/>
              </w:rPr>
              <w:t>ii.</w:t>
            </w:r>
            <w:r w:rsidR="007E3518" w:rsidRPr="00921811">
              <w:rPr>
                <w:rFonts w:cs="Arial"/>
                <w:sz w:val="16"/>
                <w:szCs w:val="16"/>
                <w:lang w:val="en-US"/>
              </w:rPr>
              <w:tab/>
            </w:r>
            <w:r w:rsidRPr="00921811">
              <w:rPr>
                <w:rFonts w:cs="Arial"/>
                <w:sz w:val="16"/>
                <w:szCs w:val="16"/>
              </w:rPr>
              <w:t>Τόκοι μετά SWAP</w:t>
            </w:r>
          </w:p>
        </w:tc>
        <w:tc>
          <w:tcPr>
            <w:tcW w:w="964" w:type="dxa"/>
            <w:noWrap/>
            <w:vAlign w:val="center"/>
          </w:tcPr>
          <w:p w14:paraId="2D81B50E" w14:textId="0582D2ED" w:rsidR="006F1164" w:rsidRPr="00921811" w:rsidRDefault="006F1164" w:rsidP="00FA515B">
            <w:pPr>
              <w:spacing w:after="0" w:line="276" w:lineRule="auto"/>
              <w:jc w:val="right"/>
              <w:rPr>
                <w:rFonts w:cs="Arial"/>
                <w:sz w:val="16"/>
                <w:szCs w:val="16"/>
              </w:rPr>
            </w:pPr>
            <w:r w:rsidRPr="00921811">
              <w:rPr>
                <w:rFonts w:cs="Arial"/>
                <w:sz w:val="16"/>
                <w:szCs w:val="16"/>
              </w:rPr>
              <w:t>6.060</w:t>
            </w:r>
          </w:p>
        </w:tc>
        <w:tc>
          <w:tcPr>
            <w:tcW w:w="975" w:type="dxa"/>
            <w:noWrap/>
            <w:vAlign w:val="center"/>
          </w:tcPr>
          <w:p w14:paraId="640B9859" w14:textId="06E27118" w:rsidR="006F1164" w:rsidRPr="00921811" w:rsidRDefault="006F1164" w:rsidP="00FA515B">
            <w:pPr>
              <w:spacing w:after="0" w:line="276" w:lineRule="auto"/>
              <w:jc w:val="right"/>
              <w:rPr>
                <w:rFonts w:cs="Arial"/>
                <w:sz w:val="16"/>
                <w:szCs w:val="16"/>
              </w:rPr>
            </w:pPr>
            <w:r w:rsidRPr="00921811">
              <w:rPr>
                <w:rFonts w:cs="Arial"/>
                <w:sz w:val="16"/>
                <w:szCs w:val="16"/>
              </w:rPr>
              <w:t>6.475</w:t>
            </w:r>
          </w:p>
        </w:tc>
        <w:tc>
          <w:tcPr>
            <w:tcW w:w="975" w:type="dxa"/>
            <w:noWrap/>
            <w:vAlign w:val="center"/>
          </w:tcPr>
          <w:p w14:paraId="2BE08C5D" w14:textId="38195287" w:rsidR="006F1164" w:rsidRPr="00921811" w:rsidRDefault="006F1164" w:rsidP="00FA515B">
            <w:pPr>
              <w:spacing w:after="0" w:line="276" w:lineRule="auto"/>
              <w:jc w:val="right"/>
              <w:rPr>
                <w:rFonts w:cs="Arial"/>
                <w:sz w:val="16"/>
                <w:szCs w:val="16"/>
              </w:rPr>
            </w:pPr>
            <w:r w:rsidRPr="00921811">
              <w:rPr>
                <w:rFonts w:cs="Arial"/>
                <w:sz w:val="16"/>
                <w:szCs w:val="16"/>
              </w:rPr>
              <w:t>7.045</w:t>
            </w:r>
          </w:p>
        </w:tc>
        <w:tc>
          <w:tcPr>
            <w:tcW w:w="949" w:type="dxa"/>
            <w:noWrap/>
            <w:vAlign w:val="center"/>
          </w:tcPr>
          <w:p w14:paraId="60759331" w14:textId="3E7FD059" w:rsidR="006F1164" w:rsidRPr="00921811" w:rsidRDefault="006F1164" w:rsidP="00FA515B">
            <w:pPr>
              <w:spacing w:after="0" w:line="276" w:lineRule="auto"/>
              <w:jc w:val="right"/>
              <w:rPr>
                <w:rFonts w:cs="Arial"/>
                <w:sz w:val="16"/>
                <w:szCs w:val="16"/>
              </w:rPr>
            </w:pPr>
            <w:r w:rsidRPr="00921811">
              <w:rPr>
                <w:rFonts w:cs="Arial"/>
                <w:sz w:val="16"/>
                <w:szCs w:val="16"/>
              </w:rPr>
              <w:t>7.364</w:t>
            </w:r>
          </w:p>
        </w:tc>
        <w:tc>
          <w:tcPr>
            <w:tcW w:w="949" w:type="dxa"/>
            <w:noWrap/>
            <w:vAlign w:val="center"/>
          </w:tcPr>
          <w:p w14:paraId="199C9C9D" w14:textId="4868AEDD" w:rsidR="006F1164" w:rsidRPr="00921811" w:rsidRDefault="006F1164" w:rsidP="00FA515B">
            <w:pPr>
              <w:spacing w:after="0" w:line="276" w:lineRule="auto"/>
              <w:jc w:val="right"/>
              <w:rPr>
                <w:rFonts w:cs="Arial"/>
                <w:sz w:val="16"/>
                <w:szCs w:val="16"/>
              </w:rPr>
            </w:pPr>
            <w:r w:rsidRPr="00921811">
              <w:rPr>
                <w:rFonts w:cs="Arial"/>
                <w:sz w:val="16"/>
                <w:szCs w:val="16"/>
              </w:rPr>
              <w:t>7.841</w:t>
            </w:r>
          </w:p>
        </w:tc>
        <w:tc>
          <w:tcPr>
            <w:tcW w:w="952" w:type="dxa"/>
            <w:tcBorders>
              <w:right w:val="single" w:sz="2" w:space="0" w:color="A6A6A6" w:themeColor="background1" w:themeShade="A6"/>
            </w:tcBorders>
            <w:noWrap/>
            <w:vAlign w:val="center"/>
          </w:tcPr>
          <w:p w14:paraId="2830F666" w14:textId="73092787" w:rsidR="006F1164" w:rsidRPr="00921811" w:rsidRDefault="006F1164" w:rsidP="00FA515B">
            <w:pPr>
              <w:spacing w:after="0" w:line="276" w:lineRule="auto"/>
              <w:jc w:val="right"/>
              <w:rPr>
                <w:rFonts w:cs="Arial"/>
                <w:sz w:val="16"/>
                <w:szCs w:val="16"/>
              </w:rPr>
            </w:pPr>
            <w:r w:rsidRPr="00921811">
              <w:rPr>
                <w:rFonts w:cs="Arial"/>
                <w:sz w:val="16"/>
                <w:szCs w:val="16"/>
              </w:rPr>
              <w:t>8.237</w:t>
            </w:r>
          </w:p>
        </w:tc>
      </w:tr>
      <w:tr w:rsidR="006F1164" w:rsidRPr="007E1D14" w14:paraId="7C240FC8" w14:textId="77777777" w:rsidTr="003F5FF9">
        <w:trPr>
          <w:cantSplit/>
          <w:trHeight w:val="283"/>
          <w:jc w:val="center"/>
        </w:trPr>
        <w:tc>
          <w:tcPr>
            <w:tcW w:w="3357" w:type="dxa"/>
            <w:tcBorders>
              <w:left w:val="single" w:sz="2" w:space="0" w:color="A6A6A6" w:themeColor="background1" w:themeShade="A6"/>
            </w:tcBorders>
            <w:noWrap/>
            <w:vAlign w:val="center"/>
            <w:hideMark/>
          </w:tcPr>
          <w:p w14:paraId="5B74F18C" w14:textId="675ABE4B" w:rsidR="006F1164" w:rsidRPr="00921811" w:rsidRDefault="006F1164" w:rsidP="00FA515B">
            <w:pPr>
              <w:tabs>
                <w:tab w:val="left" w:pos="170"/>
              </w:tabs>
              <w:spacing w:after="0" w:line="276" w:lineRule="auto"/>
              <w:jc w:val="left"/>
              <w:rPr>
                <w:rFonts w:cs="Arial"/>
                <w:sz w:val="16"/>
                <w:szCs w:val="16"/>
              </w:rPr>
            </w:pPr>
            <w:proofErr w:type="spellStart"/>
            <w:r w:rsidRPr="00921811">
              <w:rPr>
                <w:rFonts w:cs="Arial"/>
                <w:sz w:val="16"/>
                <w:szCs w:val="16"/>
              </w:rPr>
              <w:t>iii</w:t>
            </w:r>
            <w:proofErr w:type="spellEnd"/>
            <w:r w:rsidRPr="00921811">
              <w:rPr>
                <w:rFonts w:cs="Arial"/>
                <w:sz w:val="16"/>
                <w:szCs w:val="16"/>
              </w:rPr>
              <w:t>.</w:t>
            </w:r>
            <w:r w:rsidR="007E3518" w:rsidRPr="00921811">
              <w:rPr>
                <w:rFonts w:cs="Arial"/>
                <w:sz w:val="16"/>
                <w:szCs w:val="16"/>
              </w:rPr>
              <w:tab/>
            </w:r>
            <w:r w:rsidRPr="00921811">
              <w:rPr>
                <w:rFonts w:cs="Arial"/>
                <w:sz w:val="16"/>
                <w:szCs w:val="16"/>
              </w:rPr>
              <w:t>Τόκοι μετά SWAP ως % του ΑΕΠ</w:t>
            </w:r>
          </w:p>
        </w:tc>
        <w:tc>
          <w:tcPr>
            <w:tcW w:w="964" w:type="dxa"/>
            <w:noWrap/>
            <w:vAlign w:val="center"/>
          </w:tcPr>
          <w:p w14:paraId="30637F39" w14:textId="413E5EAE" w:rsidR="006F1164" w:rsidRPr="00921811" w:rsidRDefault="006F1164" w:rsidP="00FA515B">
            <w:pPr>
              <w:spacing w:after="0" w:line="276" w:lineRule="auto"/>
              <w:jc w:val="right"/>
              <w:rPr>
                <w:rFonts w:cs="Arial"/>
                <w:sz w:val="16"/>
                <w:szCs w:val="16"/>
              </w:rPr>
            </w:pPr>
            <w:r w:rsidRPr="00921811">
              <w:rPr>
                <w:rFonts w:cs="Arial"/>
                <w:sz w:val="16"/>
                <w:szCs w:val="16"/>
              </w:rPr>
              <w:t>2,9%</w:t>
            </w:r>
          </w:p>
        </w:tc>
        <w:tc>
          <w:tcPr>
            <w:tcW w:w="975" w:type="dxa"/>
            <w:noWrap/>
            <w:vAlign w:val="center"/>
          </w:tcPr>
          <w:p w14:paraId="74146EBE" w14:textId="10C2FDC6" w:rsidR="006F1164" w:rsidRPr="00921811" w:rsidRDefault="006F1164" w:rsidP="00FA515B">
            <w:pPr>
              <w:spacing w:after="0" w:line="276" w:lineRule="auto"/>
              <w:jc w:val="right"/>
              <w:rPr>
                <w:rFonts w:cs="Arial"/>
                <w:sz w:val="16"/>
                <w:szCs w:val="16"/>
              </w:rPr>
            </w:pPr>
            <w:r w:rsidRPr="00921811">
              <w:rPr>
                <w:rFonts w:cs="Arial"/>
                <w:sz w:val="16"/>
                <w:szCs w:val="16"/>
              </w:rPr>
              <w:t>2,9%</w:t>
            </w:r>
          </w:p>
        </w:tc>
        <w:tc>
          <w:tcPr>
            <w:tcW w:w="975" w:type="dxa"/>
            <w:noWrap/>
            <w:vAlign w:val="center"/>
          </w:tcPr>
          <w:p w14:paraId="4EE96256" w14:textId="238E5020" w:rsidR="006F1164" w:rsidRPr="00921811" w:rsidRDefault="006F1164" w:rsidP="00FA515B">
            <w:pPr>
              <w:spacing w:after="0" w:line="276" w:lineRule="auto"/>
              <w:jc w:val="right"/>
              <w:rPr>
                <w:rFonts w:cs="Arial"/>
                <w:sz w:val="16"/>
                <w:szCs w:val="16"/>
              </w:rPr>
            </w:pPr>
            <w:r w:rsidRPr="00921811">
              <w:rPr>
                <w:rFonts w:cs="Arial"/>
                <w:sz w:val="16"/>
                <w:szCs w:val="16"/>
              </w:rPr>
              <w:t>3,0%</w:t>
            </w:r>
          </w:p>
        </w:tc>
        <w:tc>
          <w:tcPr>
            <w:tcW w:w="949" w:type="dxa"/>
            <w:noWrap/>
            <w:vAlign w:val="center"/>
          </w:tcPr>
          <w:p w14:paraId="6A6E6C0F" w14:textId="25A4A222" w:rsidR="006F1164" w:rsidRPr="00921811" w:rsidRDefault="006F1164" w:rsidP="00FA515B">
            <w:pPr>
              <w:spacing w:after="0" w:line="276" w:lineRule="auto"/>
              <w:jc w:val="right"/>
              <w:rPr>
                <w:rFonts w:cs="Arial"/>
                <w:sz w:val="16"/>
                <w:szCs w:val="16"/>
              </w:rPr>
            </w:pPr>
            <w:r w:rsidRPr="00921811">
              <w:rPr>
                <w:rFonts w:cs="Arial"/>
                <w:sz w:val="16"/>
                <w:szCs w:val="16"/>
              </w:rPr>
              <w:t>3,0%</w:t>
            </w:r>
          </w:p>
        </w:tc>
        <w:tc>
          <w:tcPr>
            <w:tcW w:w="949" w:type="dxa"/>
            <w:noWrap/>
            <w:vAlign w:val="center"/>
          </w:tcPr>
          <w:p w14:paraId="29346E17" w14:textId="37ECC945" w:rsidR="006F1164" w:rsidRPr="00921811" w:rsidRDefault="006F1164" w:rsidP="00FA515B">
            <w:pPr>
              <w:spacing w:after="0" w:line="276" w:lineRule="auto"/>
              <w:jc w:val="right"/>
              <w:rPr>
                <w:rFonts w:cs="Arial"/>
                <w:sz w:val="16"/>
                <w:szCs w:val="16"/>
              </w:rPr>
            </w:pPr>
            <w:r w:rsidRPr="00921811">
              <w:rPr>
                <w:rFonts w:cs="Arial"/>
                <w:sz w:val="16"/>
                <w:szCs w:val="16"/>
              </w:rPr>
              <w:t>3,0%</w:t>
            </w:r>
          </w:p>
        </w:tc>
        <w:tc>
          <w:tcPr>
            <w:tcW w:w="952" w:type="dxa"/>
            <w:tcBorders>
              <w:right w:val="single" w:sz="2" w:space="0" w:color="A6A6A6" w:themeColor="background1" w:themeShade="A6"/>
            </w:tcBorders>
            <w:noWrap/>
            <w:vAlign w:val="center"/>
          </w:tcPr>
          <w:p w14:paraId="5B703EBF" w14:textId="11F22A85" w:rsidR="006F1164" w:rsidRPr="00921811" w:rsidRDefault="006F1164" w:rsidP="00FA515B">
            <w:pPr>
              <w:spacing w:after="0" w:line="276" w:lineRule="auto"/>
              <w:jc w:val="right"/>
              <w:rPr>
                <w:rFonts w:cs="Arial"/>
                <w:sz w:val="16"/>
                <w:szCs w:val="16"/>
              </w:rPr>
            </w:pPr>
            <w:r w:rsidRPr="00921811">
              <w:rPr>
                <w:rFonts w:cs="Arial"/>
                <w:sz w:val="16"/>
                <w:szCs w:val="16"/>
              </w:rPr>
              <w:t>3,0%</w:t>
            </w:r>
          </w:p>
        </w:tc>
      </w:tr>
      <w:tr w:rsidR="00F3421E" w:rsidRPr="007E1D14" w14:paraId="60175DA6" w14:textId="77777777" w:rsidTr="00F3421E">
        <w:trPr>
          <w:cantSplit/>
          <w:trHeight w:val="283"/>
          <w:jc w:val="center"/>
        </w:trPr>
        <w:tc>
          <w:tcPr>
            <w:tcW w:w="9121" w:type="dxa"/>
            <w:gridSpan w:val="7"/>
            <w:tcBorders>
              <w:left w:val="single" w:sz="2" w:space="0" w:color="A6A6A6" w:themeColor="background1" w:themeShade="A6"/>
              <w:right w:val="single" w:sz="2" w:space="0" w:color="A6A6A6" w:themeColor="background1" w:themeShade="A6"/>
            </w:tcBorders>
            <w:shd w:val="clear" w:color="auto" w:fill="F2F2F2" w:themeFill="background1" w:themeFillShade="F2"/>
            <w:noWrap/>
            <w:vAlign w:val="center"/>
          </w:tcPr>
          <w:p w14:paraId="265D306C" w14:textId="2B3CCBBD" w:rsidR="00F3421E" w:rsidRPr="00921811" w:rsidRDefault="00F3421E" w:rsidP="00FA515B">
            <w:pPr>
              <w:spacing w:after="0" w:line="276" w:lineRule="auto"/>
              <w:jc w:val="left"/>
              <w:rPr>
                <w:rFonts w:cs="Arial"/>
                <w:sz w:val="16"/>
                <w:szCs w:val="16"/>
              </w:rPr>
            </w:pPr>
            <w:r w:rsidRPr="00921811">
              <w:rPr>
                <w:rFonts w:cs="Arial"/>
                <w:b/>
                <w:sz w:val="16"/>
                <w:szCs w:val="16"/>
              </w:rPr>
              <w:t>Γενική Κυβέρνηση</w:t>
            </w:r>
          </w:p>
        </w:tc>
      </w:tr>
      <w:tr w:rsidR="007E3518" w:rsidRPr="007E1D14" w14:paraId="247B3940" w14:textId="77777777" w:rsidTr="003F5FF9">
        <w:trPr>
          <w:cantSplit/>
          <w:trHeight w:val="283"/>
          <w:jc w:val="center"/>
        </w:trPr>
        <w:tc>
          <w:tcPr>
            <w:tcW w:w="3357" w:type="dxa"/>
            <w:tcBorders>
              <w:left w:val="single" w:sz="2" w:space="0" w:color="A6A6A6" w:themeColor="background1" w:themeShade="A6"/>
            </w:tcBorders>
            <w:noWrap/>
            <w:vAlign w:val="center"/>
          </w:tcPr>
          <w:p w14:paraId="0E7E692A" w14:textId="375CCC2D" w:rsidR="007E3518" w:rsidRPr="00921811" w:rsidRDefault="007E3518" w:rsidP="00FA515B">
            <w:pPr>
              <w:tabs>
                <w:tab w:val="left" w:pos="170"/>
              </w:tabs>
              <w:spacing w:after="0" w:line="276" w:lineRule="auto"/>
              <w:jc w:val="left"/>
              <w:rPr>
                <w:rFonts w:cs="Arial"/>
                <w:sz w:val="16"/>
                <w:szCs w:val="16"/>
              </w:rPr>
            </w:pPr>
            <w:proofErr w:type="spellStart"/>
            <w:r w:rsidRPr="00921811">
              <w:rPr>
                <w:rFonts w:cs="Arial"/>
                <w:sz w:val="16"/>
                <w:szCs w:val="16"/>
                <w:lang w:val="en-US"/>
              </w:rPr>
              <w:t>i</w:t>
            </w:r>
            <w:proofErr w:type="spellEnd"/>
            <w:r w:rsidRPr="00921811">
              <w:rPr>
                <w:rFonts w:cs="Arial"/>
                <w:sz w:val="16"/>
                <w:szCs w:val="16"/>
                <w:lang w:val="en-US"/>
              </w:rPr>
              <w:t>.</w:t>
            </w:r>
            <w:r w:rsidRPr="00921811">
              <w:rPr>
                <w:rFonts w:cs="Arial"/>
                <w:sz w:val="16"/>
                <w:szCs w:val="16"/>
                <w:lang w:val="en-US"/>
              </w:rPr>
              <w:tab/>
            </w:r>
            <w:r w:rsidRPr="00921811">
              <w:rPr>
                <w:rFonts w:cs="Arial"/>
                <w:sz w:val="16"/>
                <w:szCs w:val="16"/>
              </w:rPr>
              <w:t>Τόκοι προ SWAP</w:t>
            </w:r>
          </w:p>
        </w:tc>
        <w:tc>
          <w:tcPr>
            <w:tcW w:w="964" w:type="dxa"/>
            <w:noWrap/>
            <w:vAlign w:val="center"/>
          </w:tcPr>
          <w:p w14:paraId="22952D54" w14:textId="1FF1F019" w:rsidR="007E3518" w:rsidRPr="00921811" w:rsidRDefault="007E3518" w:rsidP="00FA515B">
            <w:pPr>
              <w:spacing w:after="0" w:line="276" w:lineRule="auto"/>
              <w:jc w:val="right"/>
              <w:rPr>
                <w:rFonts w:cs="Arial"/>
                <w:sz w:val="16"/>
                <w:szCs w:val="16"/>
              </w:rPr>
            </w:pPr>
          </w:p>
        </w:tc>
        <w:tc>
          <w:tcPr>
            <w:tcW w:w="975" w:type="dxa"/>
            <w:noWrap/>
            <w:vAlign w:val="center"/>
          </w:tcPr>
          <w:p w14:paraId="4FF8A46A" w14:textId="63F3EDAD" w:rsidR="007E3518" w:rsidRPr="00921811" w:rsidRDefault="007E3518" w:rsidP="00FA515B">
            <w:pPr>
              <w:spacing w:after="0" w:line="276" w:lineRule="auto"/>
              <w:jc w:val="right"/>
              <w:rPr>
                <w:rFonts w:cs="Arial"/>
                <w:sz w:val="16"/>
                <w:szCs w:val="16"/>
              </w:rPr>
            </w:pPr>
          </w:p>
        </w:tc>
        <w:tc>
          <w:tcPr>
            <w:tcW w:w="975" w:type="dxa"/>
            <w:noWrap/>
            <w:vAlign w:val="center"/>
          </w:tcPr>
          <w:p w14:paraId="10C8597E" w14:textId="20186C00" w:rsidR="007E3518" w:rsidRPr="00921811" w:rsidRDefault="007E3518" w:rsidP="00FA515B">
            <w:pPr>
              <w:spacing w:after="0" w:line="276" w:lineRule="auto"/>
              <w:jc w:val="right"/>
              <w:rPr>
                <w:rFonts w:cs="Arial"/>
                <w:sz w:val="16"/>
                <w:szCs w:val="16"/>
              </w:rPr>
            </w:pPr>
          </w:p>
        </w:tc>
        <w:tc>
          <w:tcPr>
            <w:tcW w:w="949" w:type="dxa"/>
            <w:noWrap/>
            <w:vAlign w:val="center"/>
          </w:tcPr>
          <w:p w14:paraId="711DE839" w14:textId="6B5467A1" w:rsidR="007E3518" w:rsidRPr="00921811" w:rsidRDefault="007E3518" w:rsidP="00FA515B">
            <w:pPr>
              <w:spacing w:after="0" w:line="276" w:lineRule="auto"/>
              <w:jc w:val="right"/>
              <w:rPr>
                <w:rFonts w:cs="Arial"/>
                <w:sz w:val="16"/>
                <w:szCs w:val="16"/>
              </w:rPr>
            </w:pPr>
          </w:p>
        </w:tc>
        <w:tc>
          <w:tcPr>
            <w:tcW w:w="949" w:type="dxa"/>
            <w:noWrap/>
            <w:vAlign w:val="center"/>
          </w:tcPr>
          <w:p w14:paraId="2362CE6A" w14:textId="78729A28" w:rsidR="007E3518" w:rsidRPr="00921811" w:rsidRDefault="007E3518" w:rsidP="00FA515B">
            <w:pPr>
              <w:spacing w:after="0" w:line="276" w:lineRule="auto"/>
              <w:jc w:val="right"/>
              <w:rPr>
                <w:rFonts w:cs="Arial"/>
                <w:sz w:val="16"/>
                <w:szCs w:val="16"/>
              </w:rPr>
            </w:pPr>
            <w:r w:rsidRPr="00921811">
              <w:rPr>
                <w:rFonts w:cs="Arial"/>
                <w:sz w:val="16"/>
                <w:szCs w:val="16"/>
              </w:rPr>
              <w:t>5.785</w:t>
            </w:r>
          </w:p>
        </w:tc>
        <w:tc>
          <w:tcPr>
            <w:tcW w:w="952" w:type="dxa"/>
            <w:tcBorders>
              <w:right w:val="single" w:sz="2" w:space="0" w:color="A6A6A6" w:themeColor="background1" w:themeShade="A6"/>
            </w:tcBorders>
            <w:noWrap/>
            <w:vAlign w:val="center"/>
          </w:tcPr>
          <w:p w14:paraId="20958E27" w14:textId="5F90DF93" w:rsidR="007E3518" w:rsidRPr="00921811" w:rsidRDefault="007E3518" w:rsidP="00FA515B">
            <w:pPr>
              <w:spacing w:after="0" w:line="276" w:lineRule="auto"/>
              <w:jc w:val="right"/>
              <w:rPr>
                <w:rFonts w:cs="Arial"/>
                <w:sz w:val="16"/>
                <w:szCs w:val="16"/>
              </w:rPr>
            </w:pPr>
            <w:r w:rsidRPr="00921811">
              <w:rPr>
                <w:rFonts w:cs="Arial"/>
                <w:sz w:val="16"/>
                <w:szCs w:val="16"/>
              </w:rPr>
              <w:t>6.100</w:t>
            </w:r>
          </w:p>
        </w:tc>
      </w:tr>
      <w:tr w:rsidR="007E3518" w:rsidRPr="007E1D14" w14:paraId="2A558DBC" w14:textId="77777777" w:rsidTr="003F5FF9">
        <w:trPr>
          <w:cantSplit/>
          <w:trHeight w:val="283"/>
          <w:jc w:val="center"/>
        </w:trPr>
        <w:tc>
          <w:tcPr>
            <w:tcW w:w="3357" w:type="dxa"/>
            <w:tcBorders>
              <w:left w:val="single" w:sz="2" w:space="0" w:color="A6A6A6" w:themeColor="background1" w:themeShade="A6"/>
            </w:tcBorders>
            <w:noWrap/>
            <w:vAlign w:val="center"/>
          </w:tcPr>
          <w:p w14:paraId="002B4719" w14:textId="599F47C7" w:rsidR="007E3518" w:rsidRPr="00921811" w:rsidRDefault="007E3518" w:rsidP="00FA515B">
            <w:pPr>
              <w:tabs>
                <w:tab w:val="left" w:pos="170"/>
              </w:tabs>
              <w:spacing w:after="0" w:line="276" w:lineRule="auto"/>
              <w:jc w:val="left"/>
              <w:rPr>
                <w:rFonts w:cs="Arial"/>
                <w:sz w:val="16"/>
                <w:szCs w:val="16"/>
              </w:rPr>
            </w:pPr>
            <w:r w:rsidRPr="00921811">
              <w:rPr>
                <w:rFonts w:cs="Arial"/>
                <w:sz w:val="16"/>
                <w:szCs w:val="16"/>
                <w:lang w:val="en-US"/>
              </w:rPr>
              <w:t xml:space="preserve">ii. </w:t>
            </w:r>
            <w:r w:rsidRPr="00921811">
              <w:rPr>
                <w:rFonts w:cs="Arial"/>
                <w:sz w:val="16"/>
                <w:szCs w:val="16"/>
              </w:rPr>
              <w:t>Τόκοι μετά SWAP</w:t>
            </w:r>
          </w:p>
        </w:tc>
        <w:tc>
          <w:tcPr>
            <w:tcW w:w="964" w:type="dxa"/>
            <w:noWrap/>
            <w:vAlign w:val="center"/>
          </w:tcPr>
          <w:p w14:paraId="17533492" w14:textId="77777777" w:rsidR="007E3518" w:rsidRPr="00921811" w:rsidRDefault="007E3518" w:rsidP="00FA515B">
            <w:pPr>
              <w:spacing w:after="0" w:line="276" w:lineRule="auto"/>
              <w:jc w:val="right"/>
              <w:rPr>
                <w:rFonts w:cs="Arial"/>
                <w:sz w:val="16"/>
                <w:szCs w:val="16"/>
              </w:rPr>
            </w:pPr>
          </w:p>
        </w:tc>
        <w:tc>
          <w:tcPr>
            <w:tcW w:w="975" w:type="dxa"/>
            <w:noWrap/>
            <w:vAlign w:val="center"/>
          </w:tcPr>
          <w:p w14:paraId="6E147824" w14:textId="77777777" w:rsidR="007E3518" w:rsidRPr="00921811" w:rsidRDefault="007E3518" w:rsidP="00FA515B">
            <w:pPr>
              <w:spacing w:after="0" w:line="276" w:lineRule="auto"/>
              <w:jc w:val="right"/>
              <w:rPr>
                <w:rFonts w:cs="Arial"/>
                <w:sz w:val="16"/>
                <w:szCs w:val="16"/>
              </w:rPr>
            </w:pPr>
          </w:p>
        </w:tc>
        <w:tc>
          <w:tcPr>
            <w:tcW w:w="975" w:type="dxa"/>
            <w:noWrap/>
            <w:vAlign w:val="center"/>
          </w:tcPr>
          <w:p w14:paraId="2251E0A4" w14:textId="77777777" w:rsidR="007E3518" w:rsidRPr="00921811" w:rsidRDefault="007E3518" w:rsidP="00FA515B">
            <w:pPr>
              <w:spacing w:after="0" w:line="276" w:lineRule="auto"/>
              <w:jc w:val="right"/>
              <w:rPr>
                <w:rFonts w:cs="Arial"/>
                <w:sz w:val="16"/>
                <w:szCs w:val="16"/>
              </w:rPr>
            </w:pPr>
          </w:p>
        </w:tc>
        <w:tc>
          <w:tcPr>
            <w:tcW w:w="949" w:type="dxa"/>
            <w:noWrap/>
            <w:vAlign w:val="center"/>
          </w:tcPr>
          <w:p w14:paraId="3A23BE48" w14:textId="77777777" w:rsidR="007E3518" w:rsidRPr="00921811" w:rsidRDefault="007E3518" w:rsidP="00FA515B">
            <w:pPr>
              <w:spacing w:after="0" w:line="276" w:lineRule="auto"/>
              <w:jc w:val="right"/>
              <w:rPr>
                <w:rFonts w:cs="Arial"/>
                <w:sz w:val="16"/>
                <w:szCs w:val="16"/>
              </w:rPr>
            </w:pPr>
          </w:p>
        </w:tc>
        <w:tc>
          <w:tcPr>
            <w:tcW w:w="949" w:type="dxa"/>
            <w:noWrap/>
            <w:vAlign w:val="center"/>
          </w:tcPr>
          <w:p w14:paraId="0847ADAC" w14:textId="53DDEBBC" w:rsidR="007E3518" w:rsidRPr="00921811" w:rsidRDefault="007E3518" w:rsidP="00FA515B">
            <w:pPr>
              <w:spacing w:after="0" w:line="276" w:lineRule="auto"/>
              <w:jc w:val="right"/>
              <w:rPr>
                <w:rFonts w:cs="Arial"/>
                <w:sz w:val="16"/>
                <w:szCs w:val="16"/>
              </w:rPr>
            </w:pPr>
            <w:r w:rsidRPr="00921811">
              <w:rPr>
                <w:rFonts w:cs="Arial"/>
                <w:sz w:val="16"/>
                <w:szCs w:val="16"/>
              </w:rPr>
              <w:t>5.070</w:t>
            </w:r>
          </w:p>
        </w:tc>
        <w:tc>
          <w:tcPr>
            <w:tcW w:w="952" w:type="dxa"/>
            <w:tcBorders>
              <w:right w:val="single" w:sz="2" w:space="0" w:color="A6A6A6" w:themeColor="background1" w:themeShade="A6"/>
            </w:tcBorders>
            <w:noWrap/>
            <w:vAlign w:val="center"/>
          </w:tcPr>
          <w:p w14:paraId="40DE46F9" w14:textId="03A96344" w:rsidR="007E3518" w:rsidRPr="00921811" w:rsidRDefault="007E3518" w:rsidP="00FA515B">
            <w:pPr>
              <w:spacing w:after="0" w:line="276" w:lineRule="auto"/>
              <w:jc w:val="right"/>
              <w:rPr>
                <w:rFonts w:cs="Arial"/>
                <w:sz w:val="16"/>
                <w:szCs w:val="16"/>
              </w:rPr>
            </w:pPr>
            <w:r w:rsidRPr="00921811">
              <w:rPr>
                <w:rFonts w:cs="Arial"/>
                <w:sz w:val="16"/>
                <w:szCs w:val="16"/>
              </w:rPr>
              <w:t>5.240</w:t>
            </w:r>
          </w:p>
        </w:tc>
      </w:tr>
      <w:tr w:rsidR="007E3518" w:rsidRPr="007E1D14" w14:paraId="5DAB9AB6" w14:textId="77777777" w:rsidTr="003F5FF9">
        <w:trPr>
          <w:cantSplit/>
          <w:trHeight w:val="283"/>
          <w:jc w:val="center"/>
        </w:trPr>
        <w:tc>
          <w:tcPr>
            <w:tcW w:w="3357" w:type="dxa"/>
            <w:tcBorders>
              <w:left w:val="single" w:sz="2" w:space="0" w:color="A6A6A6" w:themeColor="background1" w:themeShade="A6"/>
            </w:tcBorders>
            <w:noWrap/>
            <w:vAlign w:val="center"/>
          </w:tcPr>
          <w:p w14:paraId="24ED49EF" w14:textId="0E524B70" w:rsidR="007E3518" w:rsidRPr="00921811" w:rsidRDefault="007E3518" w:rsidP="00FA515B">
            <w:pPr>
              <w:tabs>
                <w:tab w:val="left" w:pos="170"/>
              </w:tabs>
              <w:spacing w:after="0" w:line="276" w:lineRule="auto"/>
              <w:jc w:val="left"/>
              <w:rPr>
                <w:rFonts w:cs="Arial"/>
                <w:sz w:val="16"/>
                <w:szCs w:val="16"/>
              </w:rPr>
            </w:pPr>
            <w:proofErr w:type="spellStart"/>
            <w:r w:rsidRPr="00921811">
              <w:rPr>
                <w:rFonts w:cs="Arial"/>
                <w:sz w:val="16"/>
                <w:szCs w:val="16"/>
              </w:rPr>
              <w:t>iii</w:t>
            </w:r>
            <w:proofErr w:type="spellEnd"/>
            <w:r w:rsidRPr="00921811">
              <w:rPr>
                <w:rFonts w:cs="Arial"/>
                <w:sz w:val="16"/>
                <w:szCs w:val="16"/>
              </w:rPr>
              <w:t>.</w:t>
            </w:r>
            <w:r w:rsidRPr="00921811">
              <w:rPr>
                <w:rFonts w:cs="Arial"/>
                <w:sz w:val="16"/>
                <w:szCs w:val="16"/>
              </w:rPr>
              <w:tab/>
              <w:t>Τόκοι μετά SWAP ως % του ΑΕΠ</w:t>
            </w:r>
          </w:p>
        </w:tc>
        <w:tc>
          <w:tcPr>
            <w:tcW w:w="964" w:type="dxa"/>
            <w:noWrap/>
            <w:vAlign w:val="center"/>
          </w:tcPr>
          <w:p w14:paraId="3E3A15E3" w14:textId="77777777" w:rsidR="007E3518" w:rsidRPr="00921811" w:rsidRDefault="007E3518" w:rsidP="00FA515B">
            <w:pPr>
              <w:spacing w:after="0" w:line="276" w:lineRule="auto"/>
              <w:jc w:val="right"/>
              <w:rPr>
                <w:rFonts w:cs="Arial"/>
                <w:sz w:val="16"/>
                <w:szCs w:val="16"/>
              </w:rPr>
            </w:pPr>
          </w:p>
        </w:tc>
        <w:tc>
          <w:tcPr>
            <w:tcW w:w="975" w:type="dxa"/>
            <w:noWrap/>
            <w:vAlign w:val="center"/>
          </w:tcPr>
          <w:p w14:paraId="55668AEB" w14:textId="77777777" w:rsidR="007E3518" w:rsidRPr="00921811" w:rsidRDefault="007E3518" w:rsidP="00FA515B">
            <w:pPr>
              <w:spacing w:after="0" w:line="276" w:lineRule="auto"/>
              <w:jc w:val="right"/>
              <w:rPr>
                <w:rFonts w:cs="Arial"/>
                <w:sz w:val="16"/>
                <w:szCs w:val="16"/>
              </w:rPr>
            </w:pPr>
          </w:p>
        </w:tc>
        <w:tc>
          <w:tcPr>
            <w:tcW w:w="975" w:type="dxa"/>
            <w:noWrap/>
            <w:vAlign w:val="center"/>
          </w:tcPr>
          <w:p w14:paraId="59EC30F6" w14:textId="77777777" w:rsidR="007E3518" w:rsidRPr="00921811" w:rsidRDefault="007E3518" w:rsidP="00FA515B">
            <w:pPr>
              <w:spacing w:after="0" w:line="276" w:lineRule="auto"/>
              <w:jc w:val="right"/>
              <w:rPr>
                <w:rFonts w:cs="Arial"/>
                <w:sz w:val="16"/>
                <w:szCs w:val="16"/>
              </w:rPr>
            </w:pPr>
          </w:p>
        </w:tc>
        <w:tc>
          <w:tcPr>
            <w:tcW w:w="949" w:type="dxa"/>
            <w:noWrap/>
            <w:vAlign w:val="center"/>
          </w:tcPr>
          <w:p w14:paraId="551F342B" w14:textId="77777777" w:rsidR="007E3518" w:rsidRPr="00921811" w:rsidRDefault="007E3518" w:rsidP="00FA515B">
            <w:pPr>
              <w:spacing w:after="0" w:line="276" w:lineRule="auto"/>
              <w:jc w:val="right"/>
              <w:rPr>
                <w:rFonts w:cs="Arial"/>
                <w:sz w:val="16"/>
                <w:szCs w:val="16"/>
              </w:rPr>
            </w:pPr>
          </w:p>
        </w:tc>
        <w:tc>
          <w:tcPr>
            <w:tcW w:w="949" w:type="dxa"/>
            <w:noWrap/>
            <w:vAlign w:val="center"/>
          </w:tcPr>
          <w:p w14:paraId="2921378E" w14:textId="1451E49F" w:rsidR="007E3518" w:rsidRPr="00921811" w:rsidRDefault="007E3518" w:rsidP="00FA515B">
            <w:pPr>
              <w:spacing w:after="0" w:line="276" w:lineRule="auto"/>
              <w:jc w:val="right"/>
              <w:rPr>
                <w:rFonts w:cs="Arial"/>
                <w:sz w:val="16"/>
                <w:szCs w:val="16"/>
              </w:rPr>
            </w:pPr>
            <w:r w:rsidRPr="00921811">
              <w:rPr>
                <w:rFonts w:cs="Arial"/>
                <w:sz w:val="16"/>
                <w:szCs w:val="16"/>
              </w:rPr>
              <w:t>1,9%</w:t>
            </w:r>
          </w:p>
        </w:tc>
        <w:tc>
          <w:tcPr>
            <w:tcW w:w="952" w:type="dxa"/>
            <w:tcBorders>
              <w:right w:val="single" w:sz="2" w:space="0" w:color="A6A6A6" w:themeColor="background1" w:themeShade="A6"/>
            </w:tcBorders>
            <w:noWrap/>
            <w:vAlign w:val="center"/>
          </w:tcPr>
          <w:p w14:paraId="7A5D0592" w14:textId="24BC7517" w:rsidR="007E3518" w:rsidRPr="00921811" w:rsidRDefault="007E3518" w:rsidP="00FA515B">
            <w:pPr>
              <w:spacing w:after="0" w:line="276" w:lineRule="auto"/>
              <w:jc w:val="right"/>
              <w:rPr>
                <w:rFonts w:cs="Arial"/>
                <w:sz w:val="16"/>
                <w:szCs w:val="16"/>
              </w:rPr>
            </w:pPr>
            <w:r w:rsidRPr="00921811">
              <w:rPr>
                <w:rFonts w:cs="Arial"/>
                <w:sz w:val="16"/>
                <w:szCs w:val="16"/>
              </w:rPr>
              <w:t>1,9%</w:t>
            </w:r>
          </w:p>
        </w:tc>
      </w:tr>
      <w:tr w:rsidR="007E3518" w:rsidRPr="007E1D14" w14:paraId="04CA482A" w14:textId="77777777" w:rsidTr="003F5FF9">
        <w:trPr>
          <w:cantSplit/>
          <w:trHeight w:val="283"/>
          <w:jc w:val="center"/>
        </w:trPr>
        <w:tc>
          <w:tcPr>
            <w:tcW w:w="3357" w:type="dxa"/>
            <w:tcBorders>
              <w:left w:val="single" w:sz="2" w:space="0" w:color="A6A6A6" w:themeColor="background1" w:themeShade="A6"/>
              <w:bottom w:val="single" w:sz="2" w:space="0" w:color="A6A6A6" w:themeColor="background1" w:themeShade="A6"/>
            </w:tcBorders>
            <w:noWrap/>
            <w:vAlign w:val="center"/>
          </w:tcPr>
          <w:p w14:paraId="072D781F" w14:textId="528AFDDE" w:rsidR="007E3518" w:rsidRPr="00921811" w:rsidRDefault="007E3518" w:rsidP="00FA515B">
            <w:pPr>
              <w:spacing w:after="0" w:line="276" w:lineRule="auto"/>
              <w:jc w:val="left"/>
              <w:rPr>
                <w:rFonts w:cs="Arial"/>
                <w:sz w:val="16"/>
                <w:szCs w:val="16"/>
              </w:rPr>
            </w:pPr>
            <w:r w:rsidRPr="00921811">
              <w:rPr>
                <w:rFonts w:cs="Arial"/>
                <w:sz w:val="16"/>
                <w:szCs w:val="16"/>
              </w:rPr>
              <w:t>ΑΕΠ</w:t>
            </w:r>
          </w:p>
        </w:tc>
        <w:tc>
          <w:tcPr>
            <w:tcW w:w="964" w:type="dxa"/>
            <w:tcBorders>
              <w:bottom w:val="single" w:sz="2" w:space="0" w:color="A6A6A6" w:themeColor="background1" w:themeShade="A6"/>
            </w:tcBorders>
            <w:noWrap/>
            <w:vAlign w:val="center"/>
          </w:tcPr>
          <w:p w14:paraId="7665FB73" w14:textId="07E4F42F" w:rsidR="007E3518" w:rsidRPr="00921811" w:rsidRDefault="007E3518" w:rsidP="00FA515B">
            <w:pPr>
              <w:spacing w:after="0" w:line="276" w:lineRule="auto"/>
              <w:jc w:val="right"/>
              <w:rPr>
                <w:rFonts w:cs="Arial"/>
                <w:sz w:val="16"/>
                <w:szCs w:val="16"/>
              </w:rPr>
            </w:pPr>
            <w:r w:rsidRPr="00921811">
              <w:rPr>
                <w:rFonts w:cs="Arial"/>
                <w:sz w:val="16"/>
                <w:szCs w:val="16"/>
              </w:rPr>
              <w:t>207.009</w:t>
            </w:r>
          </w:p>
        </w:tc>
        <w:tc>
          <w:tcPr>
            <w:tcW w:w="975" w:type="dxa"/>
            <w:tcBorders>
              <w:bottom w:val="single" w:sz="2" w:space="0" w:color="A6A6A6" w:themeColor="background1" w:themeShade="A6"/>
            </w:tcBorders>
            <w:noWrap/>
            <w:vAlign w:val="center"/>
          </w:tcPr>
          <w:p w14:paraId="416C61D7" w14:textId="75785582" w:rsidR="007E3518" w:rsidRPr="00921811" w:rsidRDefault="007E3518" w:rsidP="00FA515B">
            <w:pPr>
              <w:spacing w:after="0" w:line="276" w:lineRule="auto"/>
              <w:jc w:val="right"/>
              <w:rPr>
                <w:rFonts w:cs="Arial"/>
                <w:sz w:val="16"/>
                <w:szCs w:val="16"/>
              </w:rPr>
            </w:pPr>
            <w:r w:rsidRPr="00921811">
              <w:rPr>
                <w:rFonts w:cs="Arial"/>
                <w:sz w:val="16"/>
                <w:szCs w:val="16"/>
              </w:rPr>
              <w:t>224.686</w:t>
            </w:r>
          </w:p>
        </w:tc>
        <w:tc>
          <w:tcPr>
            <w:tcW w:w="975" w:type="dxa"/>
            <w:tcBorders>
              <w:bottom w:val="single" w:sz="2" w:space="0" w:color="A6A6A6" w:themeColor="background1" w:themeShade="A6"/>
            </w:tcBorders>
            <w:noWrap/>
            <w:vAlign w:val="center"/>
          </w:tcPr>
          <w:p w14:paraId="75F240B5" w14:textId="24756366" w:rsidR="007E3518" w:rsidRPr="00921811" w:rsidRDefault="007E3518" w:rsidP="00FA515B">
            <w:pPr>
              <w:spacing w:after="0" w:line="276" w:lineRule="auto"/>
              <w:jc w:val="right"/>
              <w:rPr>
                <w:rFonts w:cs="Arial"/>
                <w:sz w:val="16"/>
                <w:szCs w:val="16"/>
              </w:rPr>
            </w:pPr>
            <w:r w:rsidRPr="00921811">
              <w:rPr>
                <w:rFonts w:cs="Arial"/>
                <w:sz w:val="16"/>
                <w:szCs w:val="16"/>
              </w:rPr>
              <w:t>236.736</w:t>
            </w:r>
          </w:p>
        </w:tc>
        <w:tc>
          <w:tcPr>
            <w:tcW w:w="949" w:type="dxa"/>
            <w:tcBorders>
              <w:bottom w:val="single" w:sz="2" w:space="0" w:color="A6A6A6" w:themeColor="background1" w:themeShade="A6"/>
            </w:tcBorders>
            <w:noWrap/>
            <w:vAlign w:val="center"/>
          </w:tcPr>
          <w:p w14:paraId="69A94428" w14:textId="46730D9B" w:rsidR="007E3518" w:rsidRPr="00921811" w:rsidRDefault="007E3518" w:rsidP="00FA515B">
            <w:pPr>
              <w:spacing w:after="0" w:line="276" w:lineRule="auto"/>
              <w:jc w:val="right"/>
              <w:rPr>
                <w:rFonts w:cs="Arial"/>
                <w:sz w:val="16"/>
                <w:szCs w:val="16"/>
              </w:rPr>
            </w:pPr>
            <w:r w:rsidRPr="00921811">
              <w:rPr>
                <w:rFonts w:cs="Arial"/>
                <w:sz w:val="16"/>
                <w:szCs w:val="16"/>
              </w:rPr>
              <w:t>248.354</w:t>
            </w:r>
          </w:p>
        </w:tc>
        <w:tc>
          <w:tcPr>
            <w:tcW w:w="949" w:type="dxa"/>
            <w:tcBorders>
              <w:bottom w:val="single" w:sz="2" w:space="0" w:color="A6A6A6" w:themeColor="background1" w:themeShade="A6"/>
            </w:tcBorders>
            <w:noWrap/>
            <w:vAlign w:val="center"/>
          </w:tcPr>
          <w:p w14:paraId="1DA89BA8" w14:textId="46DDCD13" w:rsidR="007E3518" w:rsidRPr="00921811" w:rsidRDefault="007E3518" w:rsidP="00FA515B">
            <w:pPr>
              <w:spacing w:after="0" w:line="276" w:lineRule="auto"/>
              <w:jc w:val="right"/>
              <w:rPr>
                <w:rFonts w:cs="Arial"/>
                <w:sz w:val="16"/>
                <w:szCs w:val="16"/>
              </w:rPr>
            </w:pPr>
            <w:r w:rsidRPr="00921811">
              <w:rPr>
                <w:rFonts w:cs="Arial"/>
                <w:sz w:val="16"/>
                <w:szCs w:val="16"/>
              </w:rPr>
              <w:t>262.012</w:t>
            </w:r>
          </w:p>
        </w:tc>
        <w:tc>
          <w:tcPr>
            <w:tcW w:w="952" w:type="dxa"/>
            <w:tcBorders>
              <w:bottom w:val="single" w:sz="2" w:space="0" w:color="A6A6A6" w:themeColor="background1" w:themeShade="A6"/>
              <w:right w:val="single" w:sz="2" w:space="0" w:color="A6A6A6" w:themeColor="background1" w:themeShade="A6"/>
            </w:tcBorders>
            <w:noWrap/>
            <w:vAlign w:val="center"/>
          </w:tcPr>
          <w:p w14:paraId="68684FCD" w14:textId="46111C9B" w:rsidR="007E3518" w:rsidRPr="00921811" w:rsidRDefault="007E3518" w:rsidP="00FA515B">
            <w:pPr>
              <w:spacing w:after="0" w:line="276" w:lineRule="auto"/>
              <w:jc w:val="right"/>
              <w:rPr>
                <w:rFonts w:cs="Arial"/>
                <w:sz w:val="16"/>
                <w:szCs w:val="16"/>
              </w:rPr>
            </w:pPr>
            <w:r w:rsidRPr="00921811">
              <w:rPr>
                <w:rFonts w:cs="Arial"/>
                <w:sz w:val="16"/>
                <w:szCs w:val="16"/>
              </w:rPr>
              <w:t>274.592</w:t>
            </w:r>
          </w:p>
        </w:tc>
      </w:tr>
      <w:tr w:rsidR="007E3518" w:rsidRPr="007E1D14" w14:paraId="661813FB" w14:textId="77777777" w:rsidTr="00850746">
        <w:trPr>
          <w:cantSplit/>
          <w:trHeight w:val="283"/>
          <w:jc w:val="center"/>
        </w:trPr>
        <w:tc>
          <w:tcPr>
            <w:tcW w:w="9121" w:type="dxa"/>
            <w:gridSpan w:val="7"/>
            <w:tcBorders>
              <w:top w:val="single" w:sz="2" w:space="0" w:color="A6A6A6" w:themeColor="background1" w:themeShade="A6"/>
            </w:tcBorders>
            <w:noWrap/>
            <w:vAlign w:val="center"/>
          </w:tcPr>
          <w:p w14:paraId="264FFFE1" w14:textId="77777777" w:rsidR="007E3518" w:rsidRPr="00F3421E" w:rsidRDefault="007E3518" w:rsidP="00FA515B">
            <w:pPr>
              <w:tabs>
                <w:tab w:val="left" w:pos="825"/>
              </w:tabs>
              <w:spacing w:before="60" w:after="0" w:line="276" w:lineRule="auto"/>
              <w:rPr>
                <w:rFonts w:cs="Arial"/>
                <w:i/>
                <w:sz w:val="16"/>
                <w:szCs w:val="16"/>
              </w:rPr>
            </w:pPr>
            <w:r w:rsidRPr="00F3421E">
              <w:rPr>
                <w:rFonts w:cs="Arial"/>
                <w:i/>
                <w:sz w:val="16"/>
                <w:szCs w:val="16"/>
              </w:rPr>
              <w:t>Σημείωση:</w:t>
            </w:r>
            <w:r w:rsidRPr="00F3421E">
              <w:rPr>
                <w:rFonts w:cs="Arial"/>
                <w:i/>
                <w:sz w:val="16"/>
                <w:szCs w:val="16"/>
              </w:rPr>
              <w:tab/>
              <w:t>Οι τόκοι προ SWAP υπολογίζονται συμψηφιστικά και αφορούν στις πληρωμές τόκων μείον τις εισπράξεις από επανεκδόσεις ομολόγων κ.λπ.</w:t>
            </w:r>
          </w:p>
        </w:tc>
      </w:tr>
      <w:tr w:rsidR="007E3518" w:rsidRPr="007E1D14" w14:paraId="1A6D2AA4" w14:textId="77777777" w:rsidTr="00850746">
        <w:trPr>
          <w:cantSplit/>
          <w:trHeight w:val="283"/>
          <w:jc w:val="center"/>
        </w:trPr>
        <w:tc>
          <w:tcPr>
            <w:tcW w:w="9121" w:type="dxa"/>
            <w:gridSpan w:val="7"/>
            <w:noWrap/>
            <w:vAlign w:val="center"/>
          </w:tcPr>
          <w:p w14:paraId="72F5F099" w14:textId="77777777" w:rsidR="00CC3F92" w:rsidRDefault="007E3518" w:rsidP="00BE2019">
            <w:pPr>
              <w:tabs>
                <w:tab w:val="left" w:pos="113"/>
              </w:tabs>
              <w:spacing w:before="60" w:after="0" w:line="276" w:lineRule="auto"/>
              <w:rPr>
                <w:rFonts w:cs="Arial"/>
                <w:sz w:val="16"/>
                <w:szCs w:val="16"/>
              </w:rPr>
            </w:pPr>
            <w:r w:rsidRPr="00921811">
              <w:rPr>
                <w:rFonts w:cs="Arial"/>
                <w:sz w:val="16"/>
                <w:szCs w:val="16"/>
                <w:vertAlign w:val="superscript"/>
              </w:rPr>
              <w:t>1</w:t>
            </w:r>
            <w:r w:rsidRPr="00921811">
              <w:rPr>
                <w:rFonts w:cs="Arial"/>
                <w:sz w:val="16"/>
                <w:szCs w:val="16"/>
              </w:rPr>
              <w:tab/>
              <w:t>Εκτιμήσεις</w:t>
            </w:r>
          </w:p>
          <w:p w14:paraId="44C37BB2" w14:textId="55BDF1E6" w:rsidR="007E3518" w:rsidRPr="00921811" w:rsidRDefault="00CC3F92" w:rsidP="00BE2019">
            <w:pPr>
              <w:tabs>
                <w:tab w:val="left" w:pos="113"/>
              </w:tabs>
              <w:spacing w:before="60" w:after="0" w:line="276" w:lineRule="auto"/>
              <w:rPr>
                <w:rFonts w:cs="Arial"/>
                <w:sz w:val="16"/>
                <w:szCs w:val="16"/>
              </w:rPr>
            </w:pPr>
            <w:r w:rsidRPr="00921811">
              <w:rPr>
                <w:rFonts w:cs="Arial"/>
                <w:sz w:val="16"/>
                <w:szCs w:val="16"/>
                <w:vertAlign w:val="superscript"/>
              </w:rPr>
              <w:t>2</w:t>
            </w:r>
            <w:r w:rsidRPr="00921811">
              <w:rPr>
                <w:rFonts w:cs="Arial"/>
                <w:sz w:val="16"/>
                <w:szCs w:val="16"/>
              </w:rPr>
              <w:tab/>
              <w:t>Προβλέψεις</w:t>
            </w:r>
          </w:p>
        </w:tc>
      </w:tr>
      <w:tr w:rsidR="007E3518" w:rsidRPr="007E1D14" w14:paraId="6B89E782" w14:textId="77777777" w:rsidTr="00850746">
        <w:trPr>
          <w:cantSplit/>
          <w:trHeight w:val="283"/>
          <w:jc w:val="center"/>
        </w:trPr>
        <w:tc>
          <w:tcPr>
            <w:tcW w:w="9121" w:type="dxa"/>
            <w:gridSpan w:val="7"/>
            <w:noWrap/>
            <w:vAlign w:val="center"/>
          </w:tcPr>
          <w:p w14:paraId="7335A1B7" w14:textId="77777777" w:rsidR="007E3518" w:rsidRPr="00921811" w:rsidRDefault="007E3518" w:rsidP="00FA515B">
            <w:pPr>
              <w:tabs>
                <w:tab w:val="left" w:pos="1660"/>
                <w:tab w:val="left" w:pos="2740"/>
                <w:tab w:val="left" w:pos="3820"/>
                <w:tab w:val="left" w:pos="4900"/>
                <w:tab w:val="left" w:pos="5980"/>
                <w:tab w:val="left" w:pos="7060"/>
              </w:tabs>
              <w:spacing w:before="60" w:after="0" w:line="276" w:lineRule="auto"/>
              <w:rPr>
                <w:rFonts w:cs="Arial"/>
                <w:sz w:val="16"/>
                <w:szCs w:val="16"/>
              </w:rPr>
            </w:pPr>
            <w:r w:rsidRPr="00921811">
              <w:rPr>
                <w:rFonts w:cs="Arial"/>
                <w:sz w:val="16"/>
                <w:szCs w:val="16"/>
              </w:rPr>
              <w:t>Πηγή: ΟΔΔΗΧ</w:t>
            </w:r>
          </w:p>
        </w:tc>
      </w:tr>
    </w:tbl>
    <w:p w14:paraId="24835426" w14:textId="77777777" w:rsidR="00C7416A" w:rsidRPr="00054D38" w:rsidRDefault="00C7416A" w:rsidP="001758A7">
      <w:pPr>
        <w:pStyle w:val="3"/>
        <w:keepNext w:val="0"/>
      </w:pPr>
      <w:bookmarkStart w:id="560" w:name="_Toc242019574"/>
      <w:r w:rsidRPr="00054D38">
        <w:t xml:space="preserve">Οι </w:t>
      </w:r>
      <w:r w:rsidRPr="00D348F3">
        <w:t>αγορές</w:t>
      </w:r>
      <w:r w:rsidRPr="00054D38">
        <w:t xml:space="preserve"> τίτλων του Ελληνικού Δημοσίου</w:t>
      </w:r>
      <w:bookmarkEnd w:id="560"/>
    </w:p>
    <w:p w14:paraId="416A6B3A" w14:textId="56F15716" w:rsidR="0072388A" w:rsidRDefault="0072388A" w:rsidP="0072388A">
      <w:bookmarkStart w:id="561" w:name="_Toc114142052"/>
      <w:bookmarkStart w:id="562" w:name="_Toc114142315"/>
      <w:bookmarkStart w:id="563" w:name="_Toc114142390"/>
      <w:bookmarkStart w:id="564" w:name="_Toc114142438"/>
      <w:bookmarkStart w:id="565" w:name="_Toc114142053"/>
      <w:bookmarkStart w:id="566" w:name="_Toc114142316"/>
      <w:bookmarkStart w:id="567" w:name="_Toc114142391"/>
      <w:bookmarkStart w:id="568" w:name="_Toc114142439"/>
      <w:bookmarkStart w:id="569" w:name="_Toc114142054"/>
      <w:bookmarkStart w:id="570" w:name="_Toc114142317"/>
      <w:bookmarkStart w:id="571" w:name="_Toc114142392"/>
      <w:bookmarkStart w:id="572" w:name="_Toc114142440"/>
      <w:bookmarkStart w:id="573" w:name="_Toc114142055"/>
      <w:bookmarkStart w:id="574" w:name="_Toc114142318"/>
      <w:bookmarkStart w:id="575" w:name="_Toc114142393"/>
      <w:bookmarkStart w:id="576" w:name="_Toc114142441"/>
      <w:bookmarkStart w:id="577" w:name="_Toc114142056"/>
      <w:bookmarkStart w:id="578" w:name="_Toc114142319"/>
      <w:bookmarkStart w:id="579" w:name="_Toc114142394"/>
      <w:bookmarkStart w:id="580" w:name="_Toc114142442"/>
      <w:bookmarkStart w:id="581" w:name="_Toc114142057"/>
      <w:bookmarkStart w:id="582" w:name="_Toc114142320"/>
      <w:bookmarkStart w:id="583" w:name="_Toc114142395"/>
      <w:bookmarkStart w:id="584" w:name="_Toc114142443"/>
      <w:bookmarkStart w:id="585" w:name="_Toc114149895"/>
      <w:bookmarkStart w:id="586" w:name="_Toc114219183"/>
      <w:bookmarkStart w:id="587" w:name="_Toc114219357"/>
      <w:bookmarkStart w:id="588" w:name="_Toc114219406"/>
      <w:bookmarkStart w:id="589" w:name="_Toc114219895"/>
      <w:bookmarkStart w:id="590" w:name="_Toc114234888"/>
      <w:bookmarkStart w:id="591" w:name="_Toc114489558"/>
      <w:bookmarkStart w:id="592" w:name="_Toc114489645"/>
      <w:bookmarkStart w:id="593" w:name="_Toc114489733"/>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t xml:space="preserve">Εν μέσω </w:t>
      </w:r>
      <w:r w:rsidR="006E5655">
        <w:t>έ</w:t>
      </w:r>
      <w:r>
        <w:t>ντ</w:t>
      </w:r>
      <w:r w:rsidR="006E5655">
        <w:t>ο</w:t>
      </w:r>
      <w:r>
        <w:t xml:space="preserve">νων πληθωριστικών πιέσεων που προκαλούν οι τρέχουσες διεθνείς γεωπολιτικές εξελίξεις, το τρέχον έτος η ΕΚΤ ανέκοψε την </w:t>
      </w:r>
      <w:r w:rsidRPr="00E40AE8">
        <w:t xml:space="preserve">επεκτατική νομισματική πολιτική </w:t>
      </w:r>
      <w:r>
        <w:t>που ακολούθησε το 2025</w:t>
      </w:r>
      <w:r w:rsidR="00562DD4">
        <w:t>,</w:t>
      </w:r>
      <w:r>
        <w:t xml:space="preserve"> </w:t>
      </w:r>
      <w:r w:rsidR="0096514E">
        <w:t>κατά το οποίο είχαν εφαρμοστεί τέσσερις διαδοχικές μειώσεις</w:t>
      </w:r>
      <w:r w:rsidRPr="00E40AE8">
        <w:t xml:space="preserve"> του επιτοκίου καταθέσεων</w:t>
      </w:r>
      <w:r w:rsidR="00CB0C6F">
        <w:t xml:space="preserve">. Συγχρόνως, </w:t>
      </w:r>
      <w:r>
        <w:t>προκειμένου να διασφαλισ</w:t>
      </w:r>
      <w:r w:rsidR="00A74A62">
        <w:t>τ</w:t>
      </w:r>
      <w:r>
        <w:t xml:space="preserve">εί ότι ο πληθωρισμός σταθεροποιείται στον στόχο του 2% μεσοπρόθεσμα, ανακοίνωσε </w:t>
      </w:r>
      <w:r w:rsidR="00CB0C6F">
        <w:t>την 11η.6.</w:t>
      </w:r>
      <w:r>
        <w:t>2026 την αύξηση κατά 25 μονάδες βάσης του συγκεκριμένου</w:t>
      </w:r>
      <w:r w:rsidRPr="00476493">
        <w:t xml:space="preserve"> </w:t>
      </w:r>
      <w:r>
        <w:t>επιτοκίου</w:t>
      </w:r>
      <w:r w:rsidRPr="00476493">
        <w:t xml:space="preserve"> </w:t>
      </w:r>
      <w:r>
        <w:t xml:space="preserve">και </w:t>
      </w:r>
      <w:r w:rsidR="00CB0C6F">
        <w:t xml:space="preserve">την </w:t>
      </w:r>
      <w:r>
        <w:t>10</w:t>
      </w:r>
      <w:r w:rsidR="00CB0C6F">
        <w:t>η.9.</w:t>
      </w:r>
      <w:r>
        <w:t>2026 την περαιτέρω αύξησή του κατά</w:t>
      </w:r>
      <w:r w:rsidR="00CB0C6F">
        <w:t>,</w:t>
      </w:r>
      <w:r>
        <w:t xml:space="preserve"> </w:t>
      </w:r>
      <w:r w:rsidR="00CB0C6F">
        <w:t>επίσης,</w:t>
      </w:r>
      <w:r>
        <w:t xml:space="preserve"> 25 μονάδες βάσης, με αποτέλεσμα το επιτόκιο καταθέσεων να </w:t>
      </w:r>
      <w:r w:rsidRPr="00476493">
        <w:t>διαμορφώνεται</w:t>
      </w:r>
      <w:r>
        <w:t xml:space="preserve"> πλέον</w:t>
      </w:r>
      <w:r w:rsidRPr="00476493">
        <w:t xml:space="preserve"> σ</w:t>
      </w:r>
      <w:r w:rsidR="00CB0C6F">
        <w:t>ε</w:t>
      </w:r>
      <w:r w:rsidRPr="00476493">
        <w:t xml:space="preserve"> 2</w:t>
      </w:r>
      <w:r>
        <w:t>,50</w:t>
      </w:r>
      <w:r w:rsidRPr="004564E7">
        <w:t>%. Παράλληλα, η ΕΚΤ διατηρεί και κατά το τρέχον έτος την πολιτική του περιορισμού της ρευστότητας</w:t>
      </w:r>
      <w:r w:rsidR="002A0241">
        <w:t xml:space="preserve">, καθ’ όσον </w:t>
      </w:r>
      <w:r w:rsidRPr="004564E7">
        <w:t>έχει διακόψει την επανεπένδυση των ποσών από τις λήξεις των τίτλων που αποκτήθηκαν στο πλαίσιο των προγραμμάτων αγοράς κρατικών χρεογράφων.</w:t>
      </w:r>
    </w:p>
    <w:p w14:paraId="2AA07287" w14:textId="7AC7AAD5" w:rsidR="0072388A" w:rsidRPr="00584C90" w:rsidRDefault="0072388A" w:rsidP="0072388A">
      <w:pPr>
        <w:rPr>
          <w:highlight w:val="yellow"/>
        </w:rPr>
      </w:pPr>
      <w:r w:rsidRPr="001B0F4B">
        <w:t xml:space="preserve">H συμμετοχή των ελληνικών ομολόγων στο </w:t>
      </w:r>
      <w:r>
        <w:t>χαρτοφυλάκιο</w:t>
      </w:r>
      <w:r w:rsidRPr="001B0F4B">
        <w:t xml:space="preserve"> της ΕΚΤ εξακολουθεί να παραμένει σχετικά υψηλή παρά τη μη επανεπένδυση των ποσών των επερχ</w:t>
      </w:r>
      <w:r w:rsidR="00E20D61">
        <w:t>ό</w:t>
      </w:r>
      <w:r w:rsidRPr="001B0F4B">
        <w:t>μ</w:t>
      </w:r>
      <w:r w:rsidR="00E20D61">
        <w:t>ε</w:t>
      </w:r>
      <w:r w:rsidRPr="001B0F4B">
        <w:t>νων λήξεων</w:t>
      </w:r>
      <w:r w:rsidRPr="009543A9">
        <w:t>.</w:t>
      </w:r>
      <w:r w:rsidRPr="001B0F4B">
        <w:t xml:space="preserve"> </w:t>
      </w:r>
      <w:r>
        <w:t xml:space="preserve">Ειδικότερα, η ΕΚΤ </w:t>
      </w:r>
      <w:proofErr w:type="spellStart"/>
      <w:r>
        <w:t>διακρατεί</w:t>
      </w:r>
      <w:proofErr w:type="spellEnd"/>
      <w:r>
        <w:t xml:space="preserve"> περίπου το 1/3 του ελληνικού διαπραγματε</w:t>
      </w:r>
      <w:r w:rsidR="00E20D61">
        <w:t>ύ</w:t>
      </w:r>
      <w:r>
        <w:t>σ</w:t>
      </w:r>
      <w:r w:rsidR="00E20D61">
        <w:t>ι</w:t>
      </w:r>
      <w:r>
        <w:t>μου χρέους,</w:t>
      </w:r>
      <w:r w:rsidRPr="001B0F4B">
        <w:t xml:space="preserve"> </w:t>
      </w:r>
      <w:r w:rsidR="002A0241">
        <w:t>με αποτέλεσμα να καθίσταται αν</w:t>
      </w:r>
      <w:r w:rsidRPr="001B0F4B">
        <w:t>αγκαία η κατά το δυνατόν συχνότερη έκδοση νέων τίτλων από το Ελληνικό Δημόσιο, προκειμένου να διασφαλίζεται η επάρκειά τους για διαπραγμάτευση στη δευτερογενή αγορά.</w:t>
      </w:r>
      <w:r w:rsidRPr="00D90EF3">
        <w:t xml:space="preserve"> Κατά το τρέχον έτος </w:t>
      </w:r>
      <w:r>
        <w:t xml:space="preserve">οι </w:t>
      </w:r>
      <w:r w:rsidRPr="00D90EF3">
        <w:t>μακροπρόθεσμ</w:t>
      </w:r>
      <w:r>
        <w:t>οι</w:t>
      </w:r>
      <w:r w:rsidRPr="00D90EF3">
        <w:t xml:space="preserve"> κρατικ</w:t>
      </w:r>
      <w:r>
        <w:t>οί</w:t>
      </w:r>
      <w:r w:rsidRPr="00D90EF3">
        <w:t xml:space="preserve"> τίτλ</w:t>
      </w:r>
      <w:r>
        <w:t>οι</w:t>
      </w:r>
      <w:r w:rsidRPr="00D90EF3">
        <w:t xml:space="preserve"> των χωρών της Ευρωζώνης παρουσ</w:t>
      </w:r>
      <w:r>
        <w:t>ίασαν</w:t>
      </w:r>
      <w:r w:rsidRPr="00D90EF3">
        <w:t xml:space="preserve"> </w:t>
      </w:r>
      <w:r>
        <w:t>έντονη μεταβλητότητα στις αποδόσεις τους</w:t>
      </w:r>
      <w:r w:rsidRPr="00D90EF3">
        <w:t>.</w:t>
      </w:r>
    </w:p>
    <w:p w14:paraId="68567271" w14:textId="03A6BD17" w:rsidR="0072388A" w:rsidRDefault="0072388A" w:rsidP="0072388A">
      <w:r w:rsidRPr="00667471">
        <w:t xml:space="preserve">Η διαφορά απόδοσης (yield spread) μεταξύ του δεκαετούς ελληνικού και του αντίστοιχου γερμανικού ομολόγου αναφοράς κινήθηκε σε </w:t>
      </w:r>
      <w:r>
        <w:t xml:space="preserve">αρκετά </w:t>
      </w:r>
      <w:r w:rsidRPr="00E40AE8">
        <w:t>χαμηλότερα</w:t>
      </w:r>
      <w:r w:rsidRPr="00667471">
        <w:t xml:space="preserve"> </w:t>
      </w:r>
      <w:r>
        <w:t xml:space="preserve">επίπεδα </w:t>
      </w:r>
      <w:r w:rsidRPr="00667471">
        <w:t xml:space="preserve">συγκριτικά με το προηγούμενο έτος και διαμορφώθηκε κατά μέσο όρο στα επίπεδα των </w:t>
      </w:r>
      <w:r w:rsidRPr="007B7ED9">
        <w:t>69</w:t>
      </w:r>
      <w:r w:rsidRPr="00667471">
        <w:t xml:space="preserve"> μονάδων βάσης κατά τη διάρκεια του </w:t>
      </w:r>
      <w:r w:rsidRPr="00A621F7">
        <w:t xml:space="preserve">2026. Στο τέλος Σεπτεμβρίου </w:t>
      </w:r>
      <w:r w:rsidR="002D58EA">
        <w:t xml:space="preserve">του τρέχοντος έτους </w:t>
      </w:r>
      <w:r w:rsidRPr="00A621F7">
        <w:t xml:space="preserve">η διαφορά απόδοσης διαμορφώνεται στα επίπεδα των </w:t>
      </w:r>
      <w:r w:rsidRPr="007B7ED9">
        <w:t>83</w:t>
      </w:r>
      <w:r w:rsidRPr="00A621F7">
        <w:t xml:space="preserve"> μονάδων βάσης, με την απόδοση του δεκαετούς ομολόγου να διαμορφώνεται σε 4,</w:t>
      </w:r>
      <w:r w:rsidRPr="007B7ED9">
        <w:t>41</w:t>
      </w:r>
      <w:r w:rsidRPr="00A621F7">
        <w:t>% περίπου.</w:t>
      </w:r>
    </w:p>
    <w:p w14:paraId="54903ABF" w14:textId="3CF8969F" w:rsidR="0037311C" w:rsidRPr="00657BE1" w:rsidRDefault="0072388A" w:rsidP="0037311C">
      <w:pPr>
        <w:rPr>
          <w:highlight w:val="yellow"/>
        </w:rPr>
      </w:pPr>
      <w:r w:rsidRPr="00E40AE8">
        <w:t xml:space="preserve">Το βραχυχρόνιο κόστος δανεισμού του Ελληνικού Δημοσίου, όπως διαμορφώνεται στις δημοπρασίες εντόκων γραμματίων 13, 26 και 52 εβδομάδων, παρουσίασε </w:t>
      </w:r>
      <w:r>
        <w:t>σημαντική αύξηση</w:t>
      </w:r>
      <w:r w:rsidRPr="00E40AE8">
        <w:t xml:space="preserve"> κατά τη διάρκεια του 202</w:t>
      </w:r>
      <w:r>
        <w:t>6</w:t>
      </w:r>
      <w:r w:rsidRPr="00E40AE8">
        <w:t xml:space="preserve">, </w:t>
      </w:r>
      <w:r>
        <w:t xml:space="preserve">κυρίως από τον Απρίλιο και μετά, </w:t>
      </w:r>
      <w:r w:rsidRPr="00E40AE8">
        <w:t>ακολουθώντας παρόμοια πορεία με αυτή των αντ</w:t>
      </w:r>
      <w:r w:rsidR="00CB394B">
        <w:t>ί</w:t>
      </w:r>
      <w:r w:rsidRPr="00E40AE8">
        <w:t>στο</w:t>
      </w:r>
      <w:r w:rsidR="00CB394B">
        <w:t>ι</w:t>
      </w:r>
      <w:r w:rsidRPr="00E40AE8">
        <w:t xml:space="preserve">χων ευρωπαϊκών επιτοκίων βραχυπρόθεσμης διάρκειας. H </w:t>
      </w:r>
      <w:r>
        <w:t>ανοδική</w:t>
      </w:r>
      <w:r w:rsidRPr="00E40AE8">
        <w:t xml:space="preserve"> τάση των βραχυπρ</w:t>
      </w:r>
      <w:r w:rsidR="00CB394B">
        <w:t>ό</w:t>
      </w:r>
      <w:r w:rsidRPr="00E40AE8">
        <w:t>θ</w:t>
      </w:r>
      <w:r w:rsidR="00CB394B">
        <w:t>ε</w:t>
      </w:r>
      <w:r w:rsidRPr="00E40AE8">
        <w:t>σμων επιτοκίων αποτυπώθηκε και στις πρόσφατες δημοπρασίες του Ιουλίου, του Αυγούστου και του Σεπτεμβρίου 202</w:t>
      </w:r>
      <w:r>
        <w:t>6</w:t>
      </w:r>
      <w:r w:rsidRPr="00E40AE8">
        <w:t xml:space="preserve">, δεδομένου ότι τα επιτόκια διαμορφώθηκαν σε </w:t>
      </w:r>
      <w:r>
        <w:t>2,22</w:t>
      </w:r>
      <w:r w:rsidRPr="00E40AE8">
        <w:t xml:space="preserve">% για τα </w:t>
      </w:r>
      <w:r w:rsidRPr="00226D6A">
        <w:t xml:space="preserve">τρίμηνα, </w:t>
      </w:r>
      <w:r w:rsidR="00630921">
        <w:t xml:space="preserve">σε </w:t>
      </w:r>
      <w:r w:rsidRPr="00226D6A">
        <w:t xml:space="preserve">2,58% για τα εξάμηνα και </w:t>
      </w:r>
      <w:r w:rsidR="00630921">
        <w:t xml:space="preserve">σε </w:t>
      </w:r>
      <w:r w:rsidRPr="00226D6A">
        <w:t>2,62% για τα ετήσια έντοκα γραμμάτια.</w:t>
      </w:r>
    </w:p>
    <w:p w14:paraId="3C2A82E9" w14:textId="77777777" w:rsidR="00CD3EEC" w:rsidRPr="00B81C79" w:rsidRDefault="00CD3EEC" w:rsidP="001758A7">
      <w:pPr>
        <w:pStyle w:val="4"/>
        <w:keepNext w:val="0"/>
      </w:pPr>
      <w:bookmarkStart w:id="594" w:name="_Toc115338204"/>
      <w:bookmarkStart w:id="595" w:name="_Toc115358183"/>
      <w:bookmarkStart w:id="596" w:name="_Toc115424411"/>
      <w:bookmarkStart w:id="597" w:name="_Toc115435277"/>
      <w:bookmarkStart w:id="598" w:name="_Toc115438011"/>
      <w:bookmarkStart w:id="599" w:name="_Toc114219906"/>
      <w:bookmarkStart w:id="600" w:name="_Toc114234899"/>
      <w:bookmarkStart w:id="601" w:name="_Toc114489569"/>
      <w:bookmarkStart w:id="602" w:name="_Toc114489660"/>
      <w:bookmarkStart w:id="603" w:name="_Toc114489748"/>
      <w:bookmarkStart w:id="604" w:name="_Toc115338219"/>
      <w:bookmarkStart w:id="605" w:name="_Toc115358198"/>
      <w:bookmarkStart w:id="606" w:name="_Toc115424426"/>
      <w:bookmarkStart w:id="607" w:name="_Toc115435292"/>
      <w:bookmarkStart w:id="608" w:name="_Toc115438026"/>
      <w:bookmarkStart w:id="609" w:name="_Toc115526177"/>
      <w:bookmarkStart w:id="610" w:name="_Toc146645096"/>
      <w:bookmarkStart w:id="611" w:name="_Toc146819124"/>
      <w:bookmarkStart w:id="612" w:name="_Toc147015763"/>
      <w:bookmarkStart w:id="613" w:name="_Toc178751251"/>
      <w:bookmarkStart w:id="614" w:name="_Toc115526178"/>
      <w:bookmarkStart w:id="615" w:name="_Toc146645097"/>
      <w:bookmarkStart w:id="616" w:name="_Toc146819125"/>
      <w:bookmarkStart w:id="617" w:name="_Toc147015764"/>
      <w:bookmarkStart w:id="618" w:name="_Toc178751252"/>
      <w:bookmarkStart w:id="619" w:name="_Toc242019575"/>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sidRPr="00B81C79">
        <w:t>Πρωτογενής αγορά τίτλων</w:t>
      </w:r>
      <w:bookmarkEnd w:id="619"/>
    </w:p>
    <w:p w14:paraId="79CF01E6" w14:textId="3C64D254" w:rsidR="0072388A" w:rsidRDefault="0072388A" w:rsidP="0072388A">
      <w:r w:rsidRPr="00D34018">
        <w:t>Το Ελληνικό Δημόσιο πραγματοποίησε τον Ιανουάριο 202</w:t>
      </w:r>
      <w:r>
        <w:t>6</w:t>
      </w:r>
      <w:r w:rsidRPr="00D34018">
        <w:t xml:space="preserve"> κοινοπρακτική έκδοση δεκαετούς ομολόγου</w:t>
      </w:r>
      <w:r w:rsidR="006E2C03">
        <w:t>,</w:t>
      </w:r>
      <w:r w:rsidRPr="00D34018">
        <w:t xml:space="preserve"> ονομαστικής αξίας 4.000 εκατ. ευρώ</w:t>
      </w:r>
      <w:r w:rsidR="006E2C03">
        <w:t>,</w:t>
      </w:r>
      <w:r w:rsidRPr="00D34018">
        <w:t xml:space="preserve"> με σταθερό επιτόκιο 3,</w:t>
      </w:r>
      <w:r>
        <w:t>375</w:t>
      </w:r>
      <w:r w:rsidRPr="00D34018">
        <w:t xml:space="preserve">% και ακολούθησε τον </w:t>
      </w:r>
      <w:r>
        <w:t xml:space="preserve">Ιούνιο </w:t>
      </w:r>
      <w:r w:rsidRPr="00D34018">
        <w:t>202</w:t>
      </w:r>
      <w:r>
        <w:t>6</w:t>
      </w:r>
      <w:r w:rsidRPr="00D34018">
        <w:t xml:space="preserve"> κοινοπρακτική επανέκδοση </w:t>
      </w:r>
      <w:r>
        <w:t xml:space="preserve">του </w:t>
      </w:r>
      <w:r w:rsidR="00483CA3">
        <w:t>ι</w:t>
      </w:r>
      <w:r>
        <w:t>δ</w:t>
      </w:r>
      <w:r w:rsidR="00483CA3">
        <w:t>ί</w:t>
      </w:r>
      <w:r>
        <w:t>ου ομολόγου</w:t>
      </w:r>
      <w:r w:rsidR="006E2C03">
        <w:t>,</w:t>
      </w:r>
      <w:r>
        <w:t xml:space="preserve"> </w:t>
      </w:r>
      <w:r w:rsidRPr="00D34018">
        <w:t xml:space="preserve">ονομαστικής αξίας </w:t>
      </w:r>
      <w:r>
        <w:t>3</w:t>
      </w:r>
      <w:r w:rsidRPr="00D34018">
        <w:t>.000 εκατ. ευρώ</w:t>
      </w:r>
      <w:r w:rsidR="006E2C03">
        <w:t>,</w:t>
      </w:r>
      <w:r w:rsidRPr="00D34018">
        <w:t xml:space="preserve"> με απόδοση </w:t>
      </w:r>
      <w:r>
        <w:t>3,799</w:t>
      </w:r>
      <w:r w:rsidRPr="00D34018">
        <w:t>%. Επιπλέον, τον Φεβρουάριο</w:t>
      </w:r>
      <w:r w:rsidRPr="0098436D">
        <w:t xml:space="preserve"> </w:t>
      </w:r>
      <w:r>
        <w:t xml:space="preserve">και </w:t>
      </w:r>
      <w:r w:rsidRPr="00D34018">
        <w:t xml:space="preserve">τον Απρίλιο του τρέχοντος έτους πραγματοποιήθηκαν μέσω δημοπρασίας επανεκδόσεις ομολόγων λήξεως </w:t>
      </w:r>
      <w:r>
        <w:t>16.6.</w:t>
      </w:r>
      <w:r w:rsidRPr="0098436D">
        <w:t>2036</w:t>
      </w:r>
      <w:r w:rsidR="0017547F">
        <w:t>,</w:t>
      </w:r>
      <w:r w:rsidRPr="0098436D">
        <w:t xml:space="preserve"> </w:t>
      </w:r>
      <w:r w:rsidRPr="00D34018">
        <w:t xml:space="preserve">συνολικής ονομαστικής </w:t>
      </w:r>
      <w:r w:rsidRPr="0098436D">
        <w:t>αξίας 550 εκατ</w:t>
      </w:r>
      <w:r w:rsidRPr="00D34018">
        <w:t>. ευρώ</w:t>
      </w:r>
      <w:r w:rsidR="000E5ADE">
        <w:t>,</w:t>
      </w:r>
      <w:r w:rsidRPr="00D34018">
        <w:t xml:space="preserve"> με αποδόσεις 3,</w:t>
      </w:r>
      <w:r>
        <w:t>34</w:t>
      </w:r>
      <w:r w:rsidRPr="00D34018">
        <w:t>%</w:t>
      </w:r>
      <w:r>
        <w:t xml:space="preserve"> και</w:t>
      </w:r>
      <w:r w:rsidRPr="00D34018">
        <w:t xml:space="preserve"> </w:t>
      </w:r>
      <w:r>
        <w:t>3,70</w:t>
      </w:r>
      <w:r w:rsidRPr="00D34018">
        <w:t>% αντίστοιχα.</w:t>
      </w:r>
    </w:p>
    <w:p w14:paraId="2DC3C58D" w14:textId="783AB20E" w:rsidR="00656A21" w:rsidRPr="0072388A" w:rsidRDefault="0072388A" w:rsidP="003D0435">
      <w:r w:rsidRPr="000013C7">
        <w:t xml:space="preserve">Η έκδοση τίτλων βραχυπρόθεσμης διάρκειας από το Ελληνικό Δημόσιο </w:t>
      </w:r>
      <w:r w:rsidR="007B2E3F">
        <w:t>εξακολούθησε</w:t>
      </w:r>
      <w:r w:rsidRPr="000013C7">
        <w:t xml:space="preserve"> κατά τη διάρκεια του τρέχοντος έτους. Η βραχυπρόθεσμη χρηματοδότηση πραγματοποιήθηκε με μηνιαίες εκδόσεις εντόκων γραμματίων δι</w:t>
      </w:r>
      <w:r w:rsidR="003F1945">
        <w:t>ά</w:t>
      </w:r>
      <w:r w:rsidRPr="000013C7">
        <w:t>ρκε</w:t>
      </w:r>
      <w:r w:rsidR="003F1945">
        <w:t>ι</w:t>
      </w:r>
      <w:r w:rsidRPr="000013C7">
        <w:t xml:space="preserve">ας 13 και 26 εβδομάδων και </w:t>
      </w:r>
      <w:r w:rsidR="0023006B">
        <w:t xml:space="preserve">με </w:t>
      </w:r>
      <w:r w:rsidRPr="000013C7">
        <w:t>τριμηνιαίες 52 εβδομάδων καθώς επίσης και</w:t>
      </w:r>
      <w:r w:rsidR="007B2E3F">
        <w:t xml:space="preserve"> με</w:t>
      </w:r>
      <w:r w:rsidRPr="000013C7">
        <w:t xml:space="preserve"> σύναψη συμφωνιών repos</w:t>
      </w:r>
      <w:r w:rsidR="007B2E3F">
        <w:t>,</w:t>
      </w:r>
      <w:r w:rsidRPr="000013C7">
        <w:t xml:space="preserve"> κυρίως με τους φορείς της Γενικής Κυβέρνησης</w:t>
      </w:r>
      <w:r w:rsidRPr="007B2E3F">
        <w:t xml:space="preserve">. </w:t>
      </w:r>
      <w:r w:rsidR="00C14F22" w:rsidRPr="007B2E3F">
        <w:t xml:space="preserve">Την </w:t>
      </w:r>
      <w:r w:rsidRPr="007B2E3F">
        <w:t>31</w:t>
      </w:r>
      <w:r w:rsidR="00C14F22" w:rsidRPr="007B2E3F">
        <w:t>η</w:t>
      </w:r>
      <w:r w:rsidRPr="007B2E3F">
        <w:t>.8.2026 το</w:t>
      </w:r>
      <w:r w:rsidRPr="000013C7">
        <w:t xml:space="preserve"> ανεξόφλητο υπόλοιπο των </w:t>
      </w:r>
      <w:r w:rsidR="007B2E3F">
        <w:t>Ε</w:t>
      </w:r>
      <w:r w:rsidRPr="000013C7">
        <w:t xml:space="preserve">ντόκων </w:t>
      </w:r>
      <w:r w:rsidR="007B2E3F">
        <w:t>Γ</w:t>
      </w:r>
      <w:r w:rsidRPr="000013C7">
        <w:t>ραμματίων του Ελληνικού Δημοσίου (ΕΓΕΔ) ανερχόταν σε 7.263,95 εκατ. ευρώ, ενώ τα repos ανήλθαν σε 71.909,05 εκατ. ευρώ.</w:t>
      </w:r>
    </w:p>
    <w:p w14:paraId="4A7E7D3A" w14:textId="77777777" w:rsidR="00C7416A" w:rsidRPr="00B81C79" w:rsidRDefault="00C7416A" w:rsidP="001758A7">
      <w:pPr>
        <w:pStyle w:val="4"/>
        <w:keepNext w:val="0"/>
      </w:pPr>
      <w:bookmarkStart w:id="620" w:name="_Toc242019576"/>
      <w:r w:rsidRPr="00B81C79">
        <w:t>Δευτερογενής αγορά τίτλων</w:t>
      </w:r>
      <w:bookmarkEnd w:id="620"/>
    </w:p>
    <w:p w14:paraId="4A2C40CB" w14:textId="54790AF3" w:rsidR="0072388A" w:rsidRPr="00E66268" w:rsidRDefault="0072388A" w:rsidP="0072388A">
      <w:r w:rsidRPr="001937FD">
        <w:t xml:space="preserve">Η </w:t>
      </w:r>
      <w:proofErr w:type="spellStart"/>
      <w:r w:rsidR="007B2E3F">
        <w:t>καταγραφείσα</w:t>
      </w:r>
      <w:proofErr w:type="spellEnd"/>
      <w:r w:rsidR="007B2E3F">
        <w:t xml:space="preserve"> </w:t>
      </w:r>
      <w:r w:rsidRPr="001937FD">
        <w:t xml:space="preserve">συνολική αξία των συναλλαγών στο Σύστημα Άυλων Τίτλων της ΤτΕ, η οποία περιλαμβάνει τις αγοραπωλησίες τίτλων και τις συμφωνίες επαναγοράς στην εξωχρηματιστηριακή αγορά (over-the-counter) και στις ηλεκτρονικές πλατφόρμες διαπραγμάτευσης, διαμορφώθηκε σε </w:t>
      </w:r>
      <w:r>
        <w:t>1.027</w:t>
      </w:r>
      <w:r w:rsidRPr="00463F0D">
        <w:t xml:space="preserve"> </w:t>
      </w:r>
      <w:r w:rsidRPr="001937FD">
        <w:t>δισ.</w:t>
      </w:r>
      <w:r>
        <w:t xml:space="preserve"> </w:t>
      </w:r>
      <w:r w:rsidRPr="001937FD">
        <w:t xml:space="preserve">ευρώ </w:t>
      </w:r>
      <w:r w:rsidR="007B2E3F">
        <w:t xml:space="preserve">περίπου </w:t>
      </w:r>
      <w:r w:rsidRPr="001937FD">
        <w:t>το 2ο τρίμηνο του 202</w:t>
      </w:r>
      <w:r>
        <w:t>6</w:t>
      </w:r>
      <w:r w:rsidRPr="001937FD">
        <w:t xml:space="preserve"> έναντι 8</w:t>
      </w:r>
      <w:r>
        <w:t>30</w:t>
      </w:r>
      <w:r w:rsidRPr="001937FD">
        <w:t>,</w:t>
      </w:r>
      <w:r>
        <w:t>9</w:t>
      </w:r>
      <w:r w:rsidRPr="001937FD">
        <w:t xml:space="preserve"> δισ. ευρώ το 1ο τρίμηνο του 202</w:t>
      </w:r>
      <w:r>
        <w:t>6</w:t>
      </w:r>
      <w:r w:rsidRPr="001937FD">
        <w:t>, ενώ το 2ο τρίμηνο του 2025 είχε διαμορφωθεί σε 948,2 δισ. ευρώ.</w:t>
      </w:r>
    </w:p>
    <w:p w14:paraId="1EBE8BC5" w14:textId="77777777" w:rsidR="0072388A" w:rsidRPr="00E66268" w:rsidRDefault="0072388A" w:rsidP="0072388A">
      <w:r w:rsidRPr="001937FD">
        <w:t>Κατά το 2ο τρίμηνο του 202</w:t>
      </w:r>
      <w:r>
        <w:t>6</w:t>
      </w:r>
      <w:r w:rsidRPr="00E66268">
        <w:t xml:space="preserve"> </w:t>
      </w:r>
      <w:r w:rsidRPr="001937FD">
        <w:t>το 10,</w:t>
      </w:r>
      <w:r w:rsidRPr="00560639">
        <w:t>8</w:t>
      </w:r>
      <w:r w:rsidRPr="001937FD">
        <w:t>% της συναλλακτικής δραστηριότητας στην Ηλεκτρονική Δευτερογενή Αγορά Τίτλων (ΗΔΑΤ) επικεντρώθηκε στους τίτλους με διάρκεια έως 5 έτη, το 3</w:t>
      </w:r>
      <w:r w:rsidRPr="00560639">
        <w:t>0</w:t>
      </w:r>
      <w:r w:rsidRPr="001937FD">
        <w:t>,</w:t>
      </w:r>
      <w:r w:rsidRPr="00560639">
        <w:t>3</w:t>
      </w:r>
      <w:r w:rsidRPr="001937FD">
        <w:t xml:space="preserve">% στους τίτλους με διάρκεια από 5 έως 10 έτη και το </w:t>
      </w:r>
      <w:r w:rsidRPr="00560639">
        <w:t>58,9</w:t>
      </w:r>
      <w:r w:rsidRPr="001937FD">
        <w:t>% σε τίτλους με διάρκεια από 10 έως 30 έτη</w:t>
      </w:r>
      <w:r>
        <w:t>.</w:t>
      </w:r>
    </w:p>
    <w:p w14:paraId="0F04C276" w14:textId="49971394" w:rsidR="0072388A" w:rsidRDefault="0072388A" w:rsidP="0072388A">
      <w:r w:rsidRPr="001937FD">
        <w:t xml:space="preserve">Η σύνθεση της ομάδας των βασικών διαπραγματευτών αγοράς κατά το τρέχον έτος αποτελείται από </w:t>
      </w:r>
      <w:r w:rsidR="009203C1">
        <w:t xml:space="preserve">τέσσερα </w:t>
      </w:r>
      <w:r w:rsidRPr="001937FD">
        <w:t xml:space="preserve">ελληνικά και </w:t>
      </w:r>
      <w:r w:rsidR="009203C1">
        <w:t xml:space="preserve">από δεκατέσσερα </w:t>
      </w:r>
      <w:r w:rsidRPr="001937FD">
        <w:t>διεθνή πιστωτικά ιδρύματα.</w:t>
      </w:r>
    </w:p>
    <w:p w14:paraId="459B6492" w14:textId="3249F0F0" w:rsidR="00C7416A" w:rsidRPr="00726F24" w:rsidRDefault="00C7416A" w:rsidP="001758A7">
      <w:pPr>
        <w:pStyle w:val="3"/>
        <w:keepNext w:val="0"/>
        <w:rPr>
          <w:lang w:val="el-GR"/>
        </w:rPr>
      </w:pPr>
      <w:bookmarkStart w:id="621" w:name="_Toc242019577"/>
      <w:r w:rsidRPr="002201F0">
        <w:t>Βασικές</w:t>
      </w:r>
      <w:r w:rsidRPr="00726F24">
        <w:t xml:space="preserve"> κατευθύνσεις δανεισμού και διαχειριστικών στόχων για το </w:t>
      </w:r>
      <w:r w:rsidRPr="003D0435">
        <w:t>202</w:t>
      </w:r>
      <w:r w:rsidR="00ED134C">
        <w:rPr>
          <w:lang w:val="el-GR"/>
        </w:rPr>
        <w:t>7</w:t>
      </w:r>
      <w:bookmarkEnd w:id="621"/>
    </w:p>
    <w:p w14:paraId="48523C1B" w14:textId="531F39FC" w:rsidR="0072388A" w:rsidRPr="00EA1FE7" w:rsidRDefault="0072388A" w:rsidP="0072388A">
      <w:pPr>
        <w:rPr>
          <w:strike/>
        </w:rPr>
      </w:pPr>
      <w:r w:rsidRPr="001937FD">
        <w:t>Δεδομένων των υψηλών ταμειακών διαθεσίμων του Ελληνικού Δημοσίο</w:t>
      </w:r>
      <w:r w:rsidRPr="00B61B2E">
        <w:t xml:space="preserve">υ </w:t>
      </w:r>
      <w:r w:rsidRPr="001937FD">
        <w:t>καθώς και των σχετικά περιορισμένων χρηματοδοτικών αναγκών του για το έτος 202</w:t>
      </w:r>
      <w:r w:rsidRPr="00B61B2E">
        <w:t>7</w:t>
      </w:r>
      <w:r>
        <w:t>,</w:t>
      </w:r>
      <w:r w:rsidRPr="001937FD">
        <w:t xml:space="preserve"> συνεπεία και των προαναφερ</w:t>
      </w:r>
      <w:r w:rsidR="00726D69">
        <w:t>ό</w:t>
      </w:r>
      <w:r w:rsidRPr="001937FD">
        <w:t>μ</w:t>
      </w:r>
      <w:r w:rsidR="00726D69">
        <w:t>ε</w:t>
      </w:r>
      <w:r w:rsidRPr="001937FD">
        <w:t xml:space="preserve">νων </w:t>
      </w:r>
      <w:r w:rsidRPr="00FD158F">
        <w:t>πρόωρων αποπληρωμών,</w:t>
      </w:r>
      <w:r w:rsidRPr="001937FD">
        <w:t xml:space="preserve"> η δανειακή στρατηγική για το επόμενο έτος αναμένεται να είναι και πάλι περιορισμένη</w:t>
      </w:r>
      <w:r w:rsidRPr="00B61B2E">
        <w:t xml:space="preserve">, </w:t>
      </w:r>
      <w:r>
        <w:t xml:space="preserve">στα ίδια περίπου επίπεδα με το 2026. </w:t>
      </w:r>
      <w:r w:rsidRPr="00EA1FE7">
        <w:t xml:space="preserve">Συγκεκριμένα, η στόχευση της δανειακής στρατηγικής συνίσταται στη διασφάλιση της συνεχούς εκδοτικής παρουσίας του Ελληνικού Δημοσίου στις διεθνείς αγορές κεφαλαίων, στην περαιτέρω παροχή εκδόσεων υψηλής ρευστότητας με </w:t>
      </w:r>
      <w:r w:rsidR="00664147" w:rsidRPr="00EA1FE7">
        <w:t xml:space="preserve">κατά το δυνατόν </w:t>
      </w:r>
      <w:r w:rsidRPr="00EA1FE7">
        <w:t>διατήρηση της ήδη εκτεταμένης φυσικής ωρίμανσής τους, στη μείωση των περιθωρίων δανεισμού του Ελληνικού Δημοσίου καθώς και στην επιπρόσθετη</w:t>
      </w:r>
      <w:r>
        <w:t xml:space="preserve"> </w:t>
      </w:r>
      <w:r w:rsidRPr="00EA1FE7">
        <w:t>διασφάλιση της συνέπειας του Ελληνικού Δημοσίου ως κρατικού εκδότη με χαρακτηριστικά χώρας της Ευρωζώνης</w:t>
      </w:r>
      <w:r>
        <w:t xml:space="preserve">. </w:t>
      </w:r>
      <w:r w:rsidRPr="00EA1FE7">
        <w:t>Ταυτόχρονα, στο πλαίσιο των ευκαιριών που παρέχονται στο βραχυχρόνιο τμήμα της ευρωπαϊκής καμπύλης, θα αξιοποιηθούν στον μέγιστο δυνατό βαθμό οι υφιστάμενες θέσεις και τα χαρακτηριστικά του ελληνικού χαρτοφυλακίου δημ</w:t>
      </w:r>
      <w:r w:rsidR="00664147">
        <w:t>ο</w:t>
      </w:r>
      <w:r w:rsidRPr="00EA1FE7">
        <w:t>σ</w:t>
      </w:r>
      <w:r w:rsidR="00664147">
        <w:t>ί</w:t>
      </w:r>
      <w:r w:rsidRPr="00EA1FE7">
        <w:t>ου χρέους</w:t>
      </w:r>
      <w:r>
        <w:t xml:space="preserve">. </w:t>
      </w:r>
      <w:r w:rsidRPr="00EA1FE7">
        <w:t>Τέλος, θα συνεχισ</w:t>
      </w:r>
      <w:r w:rsidR="001347E2">
        <w:t>τ</w:t>
      </w:r>
      <w:r w:rsidRPr="00EA1FE7">
        <w:t xml:space="preserve">εί η πολιτική </w:t>
      </w:r>
      <w:r>
        <w:t xml:space="preserve">των </w:t>
      </w:r>
      <w:r w:rsidRPr="00EA1FE7">
        <w:t>πρόωρων αποπληρωμών χρέους και συγκεκριμένα των δανείων που προέρχονται από τον επίσημο τομέα, δηλαδή των διμερών δανείων με τις χώρες της Ευρωζώνης</w:t>
      </w:r>
      <w:r w:rsidRPr="00FD158F">
        <w:t>, με χρήση και μέρους των ταμειακών διαθεσίμων</w:t>
      </w:r>
      <w:r w:rsidRPr="00EA1FE7">
        <w:t xml:space="preserve">. Κύριος στόχος είναι η αποπληρωμή των εν λόγω διμερών δανείων </w:t>
      </w:r>
      <w:r>
        <w:t>τουλάχιστον</w:t>
      </w:r>
      <w:r w:rsidRPr="00EA1FE7">
        <w:t xml:space="preserve"> μία δεκαετία νωρίτερα από την τελική ημερομηνία λήξης τους, ήτοι το αργότερο έως το 2031, ούτως ώστε το χρέος της Γενικής Κυβέρνησης να μειωθεί τόσο ως απόλυτο μέγεθος όσο και ως ποσοστό</w:t>
      </w:r>
      <w:r w:rsidRPr="00B61B2E">
        <w:t xml:space="preserve"> </w:t>
      </w:r>
      <w:r>
        <w:t>του ΑΕΠ</w:t>
      </w:r>
      <w:r w:rsidRPr="00EA1FE7">
        <w:t>.</w:t>
      </w:r>
    </w:p>
    <w:p w14:paraId="15D8B65F" w14:textId="70006A10" w:rsidR="0072388A" w:rsidRPr="00EA1FE7" w:rsidRDefault="0072388A" w:rsidP="0072388A">
      <w:r w:rsidRPr="00EA1FE7">
        <w:t xml:space="preserve">Για την </w:t>
      </w:r>
      <w:r w:rsidR="00664147">
        <w:t>ευόδωση</w:t>
      </w:r>
      <w:r w:rsidRPr="00EA1FE7">
        <w:t xml:space="preserve"> των ανωτέρω στόχων θα επιδιωχθεί στο πλαίσιο λειτουργίας της πρωτογενούς αγοράς</w:t>
      </w:r>
      <w:r w:rsidR="001347E2">
        <w:t>,</w:t>
      </w:r>
      <w:r w:rsidRPr="00EA1FE7">
        <w:t xml:space="preserve"> πλέον της εκδοτικής δραστηριότητας, η εφαρμογή της πολιτικής διαχείρισης χαρτοφυλακίου μέσω της οποίας θα διασφαλίζονται</w:t>
      </w:r>
      <w:r w:rsidRPr="00FD158F">
        <w:t>:</w:t>
      </w:r>
      <w:r w:rsidRPr="00EA1FE7">
        <w:t xml:space="preserve"> </w:t>
      </w:r>
      <w:r w:rsidR="00664147">
        <w:t>(</w:t>
      </w:r>
      <w:r>
        <w:t xml:space="preserve">α) </w:t>
      </w:r>
      <w:r w:rsidRPr="00EA1FE7">
        <w:t xml:space="preserve">ο αναγκαίος χώρος για τη συνεχή παρουσία του Ελληνικού Δημοσίου στις αγορές, </w:t>
      </w:r>
      <w:r w:rsidR="00664147">
        <w:t>(</w:t>
      </w:r>
      <w:r>
        <w:t xml:space="preserve">β) </w:t>
      </w:r>
      <w:r w:rsidRPr="00EA1FE7">
        <w:t xml:space="preserve">η περαιτέρω μείωση του κινδύνου αναχρηματοδότησης, </w:t>
      </w:r>
      <w:r w:rsidR="00664147">
        <w:t>(</w:t>
      </w:r>
      <w:r>
        <w:t xml:space="preserve">γ) </w:t>
      </w:r>
      <w:r w:rsidRPr="00EA1FE7">
        <w:t xml:space="preserve">η παροχή της αναγκαίας ρευστότητας και </w:t>
      </w:r>
      <w:r w:rsidR="00664147">
        <w:t>(</w:t>
      </w:r>
      <w:r>
        <w:t xml:space="preserve">δ) </w:t>
      </w:r>
      <w:r w:rsidRPr="00EA1FE7">
        <w:t>η βελτίωση της λειτουργίας της δευτερογενούς αγοράς των ελληνικών ομολόγων, με ταυτόχρονη αξιοποίηση της εκάστοτε κλίσης της ελληνικής καμπύλης αποδόσεων για τη διασφάλιση β</w:t>
      </w:r>
      <w:r w:rsidR="003C42EF">
        <w:t>έ</w:t>
      </w:r>
      <w:r w:rsidRPr="00EA1FE7">
        <w:t>λτ</w:t>
      </w:r>
      <w:r w:rsidR="003C42EF">
        <w:t>ι</w:t>
      </w:r>
      <w:r w:rsidRPr="00EA1FE7">
        <w:t>στου αποτελέσματος αναφορικά με το κόστος δανεισμού.</w:t>
      </w:r>
    </w:p>
    <w:p w14:paraId="4787C2A4" w14:textId="3E4FDDDF" w:rsidR="0037311C" w:rsidRPr="003D0435" w:rsidRDefault="0072388A" w:rsidP="00EA0338">
      <w:r w:rsidRPr="00525DA7">
        <w:t>Κατά το επόμενο έτος θα διατηρηθούν οι βασικοί μεσοπρόθεσμοι στόχοι διαχείρισης του χαρτοφυλακίου δημ</w:t>
      </w:r>
      <w:r w:rsidR="00860790">
        <w:t>ο</w:t>
      </w:r>
      <w:r w:rsidRPr="00525DA7">
        <w:t>σ</w:t>
      </w:r>
      <w:r w:rsidR="00860790">
        <w:t>ί</w:t>
      </w:r>
      <w:r w:rsidRPr="00525DA7">
        <w:t>ου χρέους, όπως είναι η πλήρης αντιστάθμιση του συναλλαγματικού κινδύνου για τα δάνεια εκτός ευρώ και η διατήρηση της υφιστάμενης αναλογίας χρέους σταθερού επιτοκίου στο σύνολο του χαρτοφυλακίου.</w:t>
      </w:r>
    </w:p>
    <w:sectPr w:rsidR="0037311C" w:rsidRPr="003D0435" w:rsidSect="00A20B6E">
      <w:headerReference w:type="even" r:id="rId30"/>
      <w:headerReference w:type="default" r:id="rId31"/>
      <w:footerReference w:type="even" r:id="rId32"/>
      <w:footerReference w:type="default" r:id="rId33"/>
      <w:footnotePr>
        <w:numRestart w:val="eachSect"/>
      </w:footnotePr>
      <w:pgSz w:w="11906" w:h="16838" w:code="9"/>
      <w:pgMar w:top="1310" w:right="1418" w:bottom="1310" w:left="1418" w:header="652" w:footer="6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B3F65" w14:textId="77777777" w:rsidR="00570C5B" w:rsidRDefault="00570C5B">
      <w:r>
        <w:separator/>
      </w:r>
    </w:p>
  </w:endnote>
  <w:endnote w:type="continuationSeparator" w:id="0">
    <w:p w14:paraId="188011F2" w14:textId="77777777" w:rsidR="00570C5B" w:rsidRDefault="0057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8F8C" w14:textId="20295075" w:rsidR="008E7700" w:rsidRPr="002B5330" w:rsidRDefault="008E7700" w:rsidP="00C86660">
    <w:pPr>
      <w:pStyle w:val="a4"/>
      <w:pBdr>
        <w:top w:val="single" w:sz="12" w:space="1" w:color="2F5496"/>
      </w:pBdr>
      <w:tabs>
        <w:tab w:val="clear" w:pos="4153"/>
        <w:tab w:val="clear" w:pos="8306"/>
        <w:tab w:val="left" w:pos="0"/>
        <w:tab w:val="left" w:pos="1134"/>
      </w:tabs>
      <w:spacing w:line="276" w:lineRule="auto"/>
      <w:rPr>
        <w:color w:val="2F5496"/>
        <w:sz w:val="16"/>
        <w:szCs w:val="16"/>
        <w:lang w:val="el-GR"/>
      </w:rPr>
    </w:pP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sidRPr="004375F0">
      <w:rPr>
        <w:b/>
        <w:noProof/>
        <w:color w:val="2F5496"/>
        <w:sz w:val="16"/>
        <w:szCs w:val="16"/>
        <w:lang w:val="el-GR"/>
      </w:rPr>
      <w:t>28</w:t>
    </w:r>
    <w:r w:rsidRPr="002B5330">
      <w:rPr>
        <w:b/>
        <w:color w:val="2F5496"/>
        <w:sz w:val="16"/>
        <w:szCs w:val="16"/>
      </w:rPr>
      <w:fldChar w:fldCharType="end"/>
    </w:r>
    <w:r>
      <w:rPr>
        <w:b/>
        <w:color w:val="2F5496"/>
        <w:sz w:val="16"/>
        <w:szCs w:val="16"/>
      </w:rPr>
      <w:tab/>
    </w:r>
    <w:r w:rsidRPr="002B5330">
      <w:rPr>
        <w:b/>
        <w:color w:val="2F5496"/>
        <w:sz w:val="16"/>
        <w:szCs w:val="16"/>
        <w:lang w:val="el-GR"/>
      </w:rPr>
      <w:t>ΠΡΟΣΧΕΔΙΟ ΚΡΑΤΙΚΟΥ ΠΡΟΫΠΟΛΟΓΙΣΜΟΥ 202</w:t>
    </w:r>
    <w:r>
      <w:rPr>
        <w:b/>
        <w:color w:val="2F5496"/>
        <w:sz w:val="16"/>
        <w:szCs w:val="16"/>
        <w:lang w:val="el-GR"/>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7249" w14:textId="21B87BC2" w:rsidR="008E7700" w:rsidRPr="002B5330" w:rsidRDefault="008E7700" w:rsidP="00FC35E5">
    <w:pPr>
      <w:pStyle w:val="a4"/>
      <w:pBdr>
        <w:top w:val="single" w:sz="12" w:space="1" w:color="2F5496"/>
      </w:pBdr>
      <w:tabs>
        <w:tab w:val="clear" w:pos="4153"/>
        <w:tab w:val="clear" w:pos="8306"/>
        <w:tab w:val="right" w:pos="7938"/>
        <w:tab w:val="right" w:pos="9072"/>
      </w:tabs>
      <w:spacing w:line="276" w:lineRule="auto"/>
      <w:rPr>
        <w:color w:val="2F5496"/>
        <w:sz w:val="16"/>
        <w:szCs w:val="16"/>
      </w:rPr>
    </w:pPr>
    <w:r>
      <w:rPr>
        <w:b/>
        <w:color w:val="2F5496"/>
        <w:sz w:val="16"/>
        <w:szCs w:val="16"/>
        <w:lang w:val="el-GR"/>
      </w:rPr>
      <w:tab/>
    </w:r>
    <w:r w:rsidRPr="002B5330">
      <w:rPr>
        <w:b/>
        <w:color w:val="2F5496"/>
        <w:sz w:val="16"/>
        <w:szCs w:val="16"/>
        <w:lang w:val="el-GR"/>
      </w:rPr>
      <w:t>ΠΡΟΣΧΕΔΙΟ ΚΡΑΤΙΚΟΥ ΠΡΟΫΠΟΛΟΓΙΣΜΟΥ 202</w:t>
    </w:r>
    <w:r>
      <w:rPr>
        <w:b/>
        <w:color w:val="2F5496"/>
        <w:sz w:val="16"/>
        <w:szCs w:val="16"/>
        <w:lang w:val="el-GR"/>
      </w:rPr>
      <w:t>7</w:t>
    </w:r>
    <w:r>
      <w:rPr>
        <w:b/>
        <w:color w:val="2F5496"/>
        <w:sz w:val="16"/>
        <w:szCs w:val="16"/>
        <w:lang w:val="el-GR"/>
      </w:rPr>
      <w:tab/>
    </w: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sidRPr="004375F0">
      <w:rPr>
        <w:b/>
        <w:noProof/>
        <w:color w:val="2F5496"/>
        <w:sz w:val="16"/>
        <w:szCs w:val="16"/>
        <w:lang w:val="el-GR"/>
      </w:rPr>
      <w:t>21</w:t>
    </w:r>
    <w:r w:rsidRPr="002B5330">
      <w:rPr>
        <w:b/>
        <w:color w:val="2F549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095F" w14:textId="1A644F46" w:rsidR="008E7700" w:rsidRPr="002B5330" w:rsidRDefault="008E7700" w:rsidP="00D72EAF">
    <w:pPr>
      <w:pStyle w:val="a4"/>
      <w:pBdr>
        <w:top w:val="single" w:sz="12" w:space="1" w:color="2F5496"/>
      </w:pBdr>
      <w:tabs>
        <w:tab w:val="clear" w:pos="4153"/>
        <w:tab w:val="clear" w:pos="8306"/>
        <w:tab w:val="left" w:pos="0"/>
        <w:tab w:val="left" w:pos="1134"/>
      </w:tabs>
      <w:spacing w:line="276" w:lineRule="auto"/>
      <w:rPr>
        <w:color w:val="2F5496"/>
        <w:sz w:val="16"/>
        <w:szCs w:val="16"/>
        <w:lang w:val="el-GR"/>
      </w:rPr>
    </w:pP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sidRPr="004375F0">
      <w:rPr>
        <w:b/>
        <w:noProof/>
        <w:color w:val="2F5496"/>
        <w:sz w:val="16"/>
        <w:szCs w:val="16"/>
        <w:lang w:val="el-GR"/>
      </w:rPr>
      <w:t>28</w:t>
    </w:r>
    <w:r w:rsidRPr="002B5330">
      <w:rPr>
        <w:b/>
        <w:color w:val="2F5496"/>
        <w:sz w:val="16"/>
        <w:szCs w:val="16"/>
      </w:rPr>
      <w:fldChar w:fldCharType="end"/>
    </w:r>
    <w:r>
      <w:rPr>
        <w:b/>
        <w:color w:val="2F5496"/>
        <w:sz w:val="16"/>
        <w:szCs w:val="16"/>
      </w:rPr>
      <w:tab/>
    </w:r>
    <w:r w:rsidRPr="002B5330">
      <w:rPr>
        <w:b/>
        <w:color w:val="2F5496"/>
        <w:sz w:val="16"/>
        <w:szCs w:val="16"/>
        <w:lang w:val="el-GR"/>
      </w:rPr>
      <w:t>ΠΡΟΣΧΕΔΙΟ ΚΡΑΤΙΚΟΥ ΠΡΟΫΠΟΛΟΓΙΣΜΟΥ 202</w:t>
    </w:r>
    <w:r>
      <w:rPr>
        <w:b/>
        <w:color w:val="2F5496"/>
        <w:sz w:val="16"/>
        <w:szCs w:val="16"/>
        <w:lang w:val="el-GR"/>
      </w:rPr>
      <w:t>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85B8" w14:textId="1F6043F6" w:rsidR="008E7700" w:rsidRPr="003D1FC5" w:rsidRDefault="008E7700" w:rsidP="00745892">
    <w:pPr>
      <w:pStyle w:val="a4"/>
      <w:pBdr>
        <w:top w:val="single" w:sz="12" w:space="1" w:color="2F5496"/>
      </w:pBdr>
      <w:tabs>
        <w:tab w:val="clear" w:pos="4153"/>
        <w:tab w:val="clear" w:pos="8306"/>
        <w:tab w:val="right" w:pos="7938"/>
        <w:tab w:val="right" w:pos="9072"/>
      </w:tabs>
      <w:spacing w:line="276" w:lineRule="auto"/>
    </w:pPr>
    <w:r>
      <w:rPr>
        <w:b/>
        <w:color w:val="2F5496"/>
        <w:sz w:val="16"/>
        <w:szCs w:val="16"/>
        <w:lang w:val="el-GR"/>
      </w:rPr>
      <w:tab/>
    </w:r>
    <w:r w:rsidRPr="002B5330">
      <w:rPr>
        <w:b/>
        <w:color w:val="2F5496"/>
        <w:sz w:val="16"/>
        <w:szCs w:val="16"/>
        <w:lang w:val="el-GR"/>
      </w:rPr>
      <w:t>ΠΡΟΣΧΕΔΙΟ ΚΡΑΤΙΚΟΥ ΠΡΟΫΠΟΛΟΓΙΣΜΟΥ 202</w:t>
    </w:r>
    <w:r>
      <w:rPr>
        <w:b/>
        <w:color w:val="2F5496"/>
        <w:sz w:val="16"/>
        <w:szCs w:val="16"/>
        <w:lang w:val="el-GR"/>
      </w:rPr>
      <w:t>7</w:t>
    </w:r>
    <w:r>
      <w:rPr>
        <w:b/>
        <w:color w:val="2F5496"/>
        <w:sz w:val="16"/>
        <w:szCs w:val="16"/>
        <w:lang w:val="el-GR"/>
      </w:rPr>
      <w:tab/>
    </w: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Pr>
        <w:b/>
        <w:noProof/>
        <w:color w:val="2F5496"/>
        <w:sz w:val="16"/>
        <w:szCs w:val="16"/>
      </w:rPr>
      <w:t>29</w:t>
    </w:r>
    <w:r w:rsidRPr="002B5330">
      <w:rPr>
        <w:b/>
        <w:color w:val="2F5496"/>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3797" w14:textId="7069337F" w:rsidR="008E7700" w:rsidRPr="00A72F1C" w:rsidRDefault="008E7700" w:rsidP="00A6377F">
    <w:pPr>
      <w:pStyle w:val="a4"/>
      <w:pBdr>
        <w:top w:val="single" w:sz="12" w:space="1" w:color="2F5496"/>
      </w:pBdr>
      <w:tabs>
        <w:tab w:val="clear" w:pos="4153"/>
        <w:tab w:val="clear" w:pos="8306"/>
        <w:tab w:val="left" w:pos="0"/>
        <w:tab w:val="left" w:pos="1134"/>
      </w:tabs>
      <w:spacing w:line="276" w:lineRule="auto"/>
      <w:rPr>
        <w:b/>
        <w:color w:val="2F5496"/>
        <w:sz w:val="16"/>
        <w:szCs w:val="16"/>
        <w:lang w:val="el-GR"/>
      </w:rPr>
    </w:pPr>
    <w:r w:rsidRPr="00A72F1C">
      <w:rPr>
        <w:b/>
        <w:color w:val="2F5496"/>
        <w:sz w:val="16"/>
        <w:szCs w:val="16"/>
      </w:rPr>
      <w:fldChar w:fldCharType="begin"/>
    </w:r>
    <w:r w:rsidRPr="00A72F1C">
      <w:rPr>
        <w:b/>
        <w:color w:val="2F5496"/>
        <w:sz w:val="16"/>
        <w:szCs w:val="16"/>
      </w:rPr>
      <w:instrText>PAGE   \* MERGEFORMAT</w:instrText>
    </w:r>
    <w:r w:rsidRPr="00A72F1C">
      <w:rPr>
        <w:b/>
        <w:color w:val="2F5496"/>
        <w:sz w:val="16"/>
        <w:szCs w:val="16"/>
      </w:rPr>
      <w:fldChar w:fldCharType="separate"/>
    </w:r>
    <w:r w:rsidRPr="004375F0">
      <w:rPr>
        <w:b/>
        <w:noProof/>
        <w:color w:val="2F5496"/>
        <w:sz w:val="16"/>
        <w:szCs w:val="16"/>
        <w:lang w:val="el-GR"/>
      </w:rPr>
      <w:t>56</w:t>
    </w:r>
    <w:r w:rsidRPr="00A72F1C">
      <w:rPr>
        <w:b/>
        <w:color w:val="2F5496"/>
        <w:sz w:val="16"/>
        <w:szCs w:val="16"/>
      </w:rPr>
      <w:fldChar w:fldCharType="end"/>
    </w:r>
    <w:r>
      <w:rPr>
        <w:b/>
        <w:color w:val="2F5496"/>
        <w:sz w:val="16"/>
        <w:szCs w:val="16"/>
      </w:rPr>
      <w:tab/>
    </w:r>
    <w:r w:rsidRPr="00A72F1C">
      <w:rPr>
        <w:b/>
        <w:color w:val="2F5496"/>
        <w:sz w:val="16"/>
        <w:szCs w:val="16"/>
        <w:lang w:val="el-GR"/>
      </w:rPr>
      <w:t>ΠΡΟΣΧΕΔΙΟ ΚΡΑΤΙΚΟΥ ΠΡΟΫΠΟΛΟΓΙΣΜΟΥ 202</w:t>
    </w:r>
    <w:r>
      <w:rPr>
        <w:b/>
        <w:color w:val="2F5496"/>
        <w:sz w:val="16"/>
        <w:szCs w:val="16"/>
        <w:lang w:val="el-GR"/>
      </w:rP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44F4" w14:textId="7ED844CC" w:rsidR="008E7700" w:rsidRPr="00A72F1C" w:rsidRDefault="008E7700" w:rsidP="00FC3B68">
    <w:pPr>
      <w:pStyle w:val="a4"/>
      <w:pBdr>
        <w:top w:val="single" w:sz="12" w:space="1" w:color="2F5496"/>
      </w:pBdr>
      <w:tabs>
        <w:tab w:val="clear" w:pos="4153"/>
        <w:tab w:val="clear" w:pos="8306"/>
        <w:tab w:val="right" w:pos="7938"/>
        <w:tab w:val="right" w:pos="9072"/>
      </w:tabs>
      <w:spacing w:line="276" w:lineRule="auto"/>
      <w:rPr>
        <w:b/>
        <w:color w:val="2F5496"/>
        <w:sz w:val="16"/>
        <w:szCs w:val="16"/>
      </w:rPr>
    </w:pPr>
    <w:r>
      <w:rPr>
        <w:b/>
        <w:color w:val="2F5496"/>
        <w:sz w:val="16"/>
        <w:szCs w:val="16"/>
        <w:lang w:val="el-GR"/>
      </w:rPr>
      <w:tab/>
    </w:r>
    <w:r w:rsidRPr="00A72F1C">
      <w:rPr>
        <w:b/>
        <w:color w:val="2F5496"/>
        <w:sz w:val="16"/>
        <w:szCs w:val="16"/>
        <w:lang w:val="el-GR"/>
      </w:rPr>
      <w:t>ΠΡΟΣΧΕΔΙΟ ΚΡΑΤΙΚΟΥ ΠΡΟΫΠΟΛΟΓΙΣΜΟΥ 202</w:t>
    </w:r>
    <w:r>
      <w:rPr>
        <w:b/>
        <w:color w:val="2F5496"/>
        <w:sz w:val="16"/>
        <w:szCs w:val="16"/>
        <w:lang w:val="el-GR"/>
      </w:rPr>
      <w:t>7</w:t>
    </w:r>
    <w:r>
      <w:rPr>
        <w:b/>
        <w:color w:val="2F5496"/>
        <w:sz w:val="16"/>
        <w:szCs w:val="16"/>
        <w:lang w:val="el-GR"/>
      </w:rPr>
      <w:tab/>
    </w:r>
    <w:r w:rsidRPr="00A72F1C">
      <w:rPr>
        <w:b/>
        <w:color w:val="2F5496"/>
        <w:sz w:val="16"/>
        <w:szCs w:val="16"/>
      </w:rPr>
      <w:fldChar w:fldCharType="begin"/>
    </w:r>
    <w:r w:rsidRPr="00A72F1C">
      <w:rPr>
        <w:b/>
        <w:color w:val="2F5496"/>
        <w:sz w:val="16"/>
        <w:szCs w:val="16"/>
      </w:rPr>
      <w:instrText>PAGE   \* MERGEFORMAT</w:instrText>
    </w:r>
    <w:r w:rsidRPr="00A72F1C">
      <w:rPr>
        <w:b/>
        <w:color w:val="2F5496"/>
        <w:sz w:val="16"/>
        <w:szCs w:val="16"/>
      </w:rPr>
      <w:fldChar w:fldCharType="separate"/>
    </w:r>
    <w:r w:rsidRPr="004375F0">
      <w:rPr>
        <w:b/>
        <w:noProof/>
        <w:color w:val="2F5496"/>
        <w:sz w:val="16"/>
        <w:szCs w:val="16"/>
        <w:lang w:val="el-GR"/>
      </w:rPr>
      <w:t>57</w:t>
    </w:r>
    <w:r w:rsidRPr="00A72F1C">
      <w:rPr>
        <w:b/>
        <w:color w:val="2F549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A6A0" w14:textId="77777777" w:rsidR="00570C5B" w:rsidRPr="00A139FC" w:rsidRDefault="00570C5B" w:rsidP="00A139FC">
      <w:pPr>
        <w:pStyle w:val="a4"/>
        <w:tabs>
          <w:tab w:val="clear" w:pos="4153"/>
          <w:tab w:val="clear" w:pos="8306"/>
        </w:tabs>
        <w:spacing w:after="0" w:line="276" w:lineRule="auto"/>
        <w:rPr>
          <w:color w:val="2F5496"/>
          <w:sz w:val="16"/>
          <w:szCs w:val="16"/>
        </w:rPr>
      </w:pPr>
      <w:r w:rsidRPr="00A139FC">
        <w:rPr>
          <w:color w:val="2F5496"/>
          <w:sz w:val="16"/>
          <w:szCs w:val="16"/>
        </w:rPr>
        <w:separator/>
      </w:r>
    </w:p>
  </w:footnote>
  <w:footnote w:type="continuationSeparator" w:id="0">
    <w:p w14:paraId="337CE3FE" w14:textId="77777777" w:rsidR="00570C5B" w:rsidRPr="008F22B4" w:rsidRDefault="00570C5B" w:rsidP="008F22B4">
      <w:pPr>
        <w:pStyle w:val="a4"/>
        <w:tabs>
          <w:tab w:val="clear" w:pos="4153"/>
          <w:tab w:val="clear" w:pos="8306"/>
        </w:tabs>
        <w:spacing w:after="0" w:line="276" w:lineRule="auto"/>
        <w:rPr>
          <w:color w:val="2F5496"/>
          <w:sz w:val="16"/>
          <w:szCs w:val="16"/>
          <w:lang w:val="en-US"/>
        </w:rPr>
      </w:pPr>
      <w:r w:rsidRPr="008F22B4">
        <w:rPr>
          <w:color w:val="2F5496"/>
          <w:sz w:val="16"/>
          <w:szCs w:val="16"/>
          <w:lang w:val="en-US"/>
        </w:rPr>
        <w:t>-----------------------------------------</w:t>
      </w:r>
    </w:p>
  </w:footnote>
  <w:footnote w:type="continuationNotice" w:id="1">
    <w:p w14:paraId="06A141DA" w14:textId="77777777" w:rsidR="00570C5B" w:rsidRPr="009F60BE" w:rsidRDefault="00570C5B" w:rsidP="009F60BE">
      <w:pPr>
        <w:pStyle w:val="a4"/>
      </w:pPr>
    </w:p>
  </w:footnote>
  <w:footnote w:id="2">
    <w:p w14:paraId="0D523B76" w14:textId="77777777" w:rsidR="008E7700" w:rsidRPr="00C7040B" w:rsidRDefault="008E7700" w:rsidP="0073372D">
      <w:pPr>
        <w:pStyle w:val="aa"/>
        <w:tabs>
          <w:tab w:val="left" w:pos="113"/>
        </w:tabs>
        <w:spacing w:after="0" w:line="276" w:lineRule="auto"/>
        <w:ind w:left="113" w:hanging="113"/>
        <w:rPr>
          <w:rStyle w:val="ab"/>
          <w:sz w:val="16"/>
          <w:szCs w:val="16"/>
          <w:vertAlign w:val="baseline"/>
        </w:rPr>
      </w:pPr>
      <w:r w:rsidRPr="006A4C4B">
        <w:rPr>
          <w:rStyle w:val="ab"/>
          <w:sz w:val="16"/>
          <w:szCs w:val="16"/>
        </w:rPr>
        <w:footnoteRef/>
      </w:r>
      <w:r w:rsidRPr="006A4C4B">
        <w:rPr>
          <w:rStyle w:val="ab"/>
          <w:sz w:val="16"/>
          <w:szCs w:val="16"/>
        </w:rPr>
        <w:tab/>
      </w:r>
      <w:r w:rsidRPr="006A4C4B">
        <w:rPr>
          <w:rStyle w:val="ab"/>
          <w:sz w:val="16"/>
          <w:szCs w:val="16"/>
          <w:vertAlign w:val="baseline"/>
        </w:rPr>
        <w:t>Από την 1η Ιανουαρίου 2026 η Ευρωζώνη περιλαμβάνει και τη Βουλγαρία - ΕΖ21.</w:t>
      </w:r>
    </w:p>
  </w:footnote>
  <w:footnote w:id="3">
    <w:p w14:paraId="26BFC73B" w14:textId="77777777" w:rsidR="008E7700" w:rsidRPr="00C7040B" w:rsidRDefault="008E7700" w:rsidP="0073372D">
      <w:pPr>
        <w:pStyle w:val="aa"/>
        <w:tabs>
          <w:tab w:val="left" w:pos="113"/>
        </w:tabs>
        <w:spacing w:after="0" w:line="276" w:lineRule="auto"/>
        <w:ind w:left="113" w:hanging="113"/>
        <w:rPr>
          <w:rStyle w:val="ab"/>
          <w:sz w:val="16"/>
          <w:szCs w:val="16"/>
          <w:vertAlign w:val="baseline"/>
        </w:rPr>
      </w:pPr>
      <w:r w:rsidRPr="006A4C4B">
        <w:rPr>
          <w:rStyle w:val="ab"/>
          <w:sz w:val="16"/>
          <w:szCs w:val="16"/>
        </w:rPr>
        <w:footnoteRef/>
      </w:r>
      <w:r w:rsidRPr="006A4C4B">
        <w:rPr>
          <w:rStyle w:val="ab"/>
          <w:sz w:val="16"/>
          <w:szCs w:val="16"/>
        </w:rPr>
        <w:tab/>
      </w:r>
      <w:r w:rsidRPr="006A4C4B">
        <w:rPr>
          <w:rStyle w:val="ab"/>
          <w:sz w:val="16"/>
          <w:szCs w:val="16"/>
          <w:vertAlign w:val="baseline"/>
        </w:rPr>
        <w:t>Eurostat, Euro Indicators, GDP main aggregates, September 2026.</w:t>
      </w:r>
    </w:p>
  </w:footnote>
  <w:footnote w:id="4">
    <w:p w14:paraId="1B567D9F" w14:textId="68041F92" w:rsidR="008E7700" w:rsidRPr="00E719FD" w:rsidRDefault="008E7700" w:rsidP="0073372D">
      <w:pPr>
        <w:pStyle w:val="aa"/>
        <w:tabs>
          <w:tab w:val="left" w:pos="113"/>
        </w:tabs>
        <w:spacing w:after="0" w:line="276" w:lineRule="auto"/>
        <w:ind w:left="113" w:hanging="113"/>
        <w:rPr>
          <w:rStyle w:val="ab"/>
          <w:sz w:val="16"/>
          <w:szCs w:val="16"/>
          <w:vertAlign w:val="baseline"/>
          <w:lang w:val="el-GR"/>
        </w:rPr>
      </w:pPr>
      <w:r w:rsidRPr="003B037B">
        <w:rPr>
          <w:rStyle w:val="ab"/>
          <w:sz w:val="16"/>
          <w:szCs w:val="16"/>
        </w:rPr>
        <w:footnoteRef/>
      </w:r>
      <w:r>
        <w:rPr>
          <w:sz w:val="16"/>
          <w:szCs w:val="16"/>
          <w:lang w:val="el-GR"/>
        </w:rPr>
        <w:tab/>
      </w:r>
      <w:r w:rsidRPr="00E719FD">
        <w:rPr>
          <w:rStyle w:val="ab"/>
          <w:sz w:val="16"/>
          <w:szCs w:val="16"/>
          <w:vertAlign w:val="baseline"/>
          <w:lang w:val="el-GR"/>
        </w:rPr>
        <w:t>Από</w:t>
      </w:r>
      <w:r w:rsidRPr="00E719FD">
        <w:rPr>
          <w:sz w:val="16"/>
          <w:szCs w:val="16"/>
          <w:lang w:val="el-GR"/>
        </w:rPr>
        <w:t xml:space="preserve"> </w:t>
      </w:r>
      <w:r w:rsidRPr="00E719FD">
        <w:rPr>
          <w:rStyle w:val="ab"/>
          <w:sz w:val="16"/>
          <w:szCs w:val="16"/>
          <w:vertAlign w:val="baseline"/>
          <w:lang w:val="el-GR"/>
        </w:rPr>
        <w:t>τον</w:t>
      </w:r>
      <w:r w:rsidRPr="00E719FD">
        <w:rPr>
          <w:sz w:val="16"/>
          <w:szCs w:val="16"/>
          <w:lang w:val="el-GR"/>
        </w:rPr>
        <w:t xml:space="preserve"> </w:t>
      </w:r>
      <w:r>
        <w:rPr>
          <w:sz w:val="16"/>
          <w:szCs w:val="16"/>
          <w:lang w:val="el-GR"/>
        </w:rPr>
        <w:t>Ια</w:t>
      </w:r>
      <w:r w:rsidRPr="00E719FD">
        <w:rPr>
          <w:rStyle w:val="ab"/>
          <w:sz w:val="16"/>
          <w:szCs w:val="16"/>
          <w:vertAlign w:val="baseline"/>
          <w:lang w:val="el-GR"/>
        </w:rPr>
        <w:t xml:space="preserve">νουάριο 2026 ο ΔΤΚ και ο ΕνΔΤΚ καταρτίζονται βάσει της ταξινόμησης </w:t>
      </w:r>
      <w:r w:rsidRPr="00E719FD">
        <w:rPr>
          <w:rStyle w:val="ab"/>
          <w:sz w:val="16"/>
          <w:szCs w:val="16"/>
          <w:vertAlign w:val="baseline"/>
        </w:rPr>
        <w:t>COICOP</w:t>
      </w:r>
      <w:r w:rsidRPr="00E719FD">
        <w:rPr>
          <w:rStyle w:val="ab"/>
          <w:sz w:val="16"/>
          <w:szCs w:val="16"/>
          <w:vertAlign w:val="baseline"/>
          <w:lang w:val="el-GR"/>
        </w:rPr>
        <w:t xml:space="preserve"> 2018. Παράλληλα, το έτος αναφοράς του ΕνΔΤΚ μεταβλήθηκε σε 2025=100 και εντάχθηκαν στους δείκτες οι δαπάνες για τυχερά πα</w:t>
      </w:r>
      <w:r>
        <w:rPr>
          <w:rStyle w:val="ab"/>
          <w:sz w:val="16"/>
          <w:szCs w:val="16"/>
          <w:vertAlign w:val="baseline"/>
          <w:lang w:val="el-GR"/>
        </w:rPr>
        <w:t>ί</w:t>
      </w:r>
      <w:r>
        <w:rPr>
          <w:sz w:val="16"/>
          <w:szCs w:val="16"/>
          <w:lang w:val="el-GR"/>
        </w:rPr>
        <w:t>γνια</w:t>
      </w:r>
      <w:r w:rsidRPr="00E719FD">
        <w:rPr>
          <w:rStyle w:val="ab"/>
          <w:sz w:val="16"/>
          <w:szCs w:val="16"/>
          <w:vertAlign w:val="baseline"/>
          <w:lang w:val="el-GR"/>
        </w:rPr>
        <w:t xml:space="preserve"> (ΕΛΣΤΑΤ, 10.02.2026).</w:t>
      </w:r>
    </w:p>
  </w:footnote>
  <w:footnote w:id="5">
    <w:p w14:paraId="76C0614C" w14:textId="77777777" w:rsidR="008E7700" w:rsidRPr="00C7040B" w:rsidRDefault="008E7700" w:rsidP="00170E65">
      <w:pPr>
        <w:pStyle w:val="aa"/>
        <w:tabs>
          <w:tab w:val="left" w:pos="113"/>
        </w:tabs>
        <w:spacing w:after="0" w:line="276" w:lineRule="auto"/>
        <w:ind w:left="113" w:hanging="113"/>
        <w:rPr>
          <w:rStyle w:val="ab"/>
          <w:sz w:val="16"/>
          <w:szCs w:val="16"/>
          <w:vertAlign w:val="baseline"/>
          <w:lang w:val="el-GR"/>
        </w:rPr>
      </w:pPr>
      <w:r w:rsidRPr="007C118D">
        <w:rPr>
          <w:rStyle w:val="ab"/>
          <w:sz w:val="16"/>
          <w:szCs w:val="16"/>
        </w:rPr>
        <w:footnoteRef/>
      </w:r>
      <w:r w:rsidRPr="003F3619">
        <w:rPr>
          <w:sz w:val="16"/>
          <w:szCs w:val="16"/>
          <w:lang w:val="el-GR"/>
        </w:rPr>
        <w:tab/>
      </w:r>
      <w:r>
        <w:rPr>
          <w:sz w:val="16"/>
          <w:szCs w:val="16"/>
          <w:lang w:val="el-GR"/>
        </w:rPr>
        <w:t xml:space="preserve">Χωρίς το </w:t>
      </w:r>
      <w:r w:rsidRPr="003F3619">
        <w:rPr>
          <w:rStyle w:val="ab"/>
          <w:sz w:val="16"/>
          <w:szCs w:val="16"/>
          <w:vertAlign w:val="baseline"/>
          <w:lang w:val="el-GR"/>
        </w:rPr>
        <w:t>νόμισμα σε κυκλοφορία.</w:t>
      </w:r>
    </w:p>
  </w:footnote>
  <w:footnote w:id="6">
    <w:p w14:paraId="4888EDC9" w14:textId="097D8734" w:rsidR="008E7700" w:rsidRPr="0031674A" w:rsidRDefault="008E7700" w:rsidP="0073372D">
      <w:pPr>
        <w:pStyle w:val="aa"/>
        <w:tabs>
          <w:tab w:val="left" w:pos="113"/>
        </w:tabs>
        <w:spacing w:after="0" w:line="276" w:lineRule="auto"/>
        <w:ind w:left="113" w:hanging="113"/>
        <w:rPr>
          <w:rStyle w:val="ab"/>
          <w:sz w:val="16"/>
          <w:szCs w:val="16"/>
          <w:vertAlign w:val="baseline"/>
          <w:lang w:val="el-GR"/>
        </w:rPr>
      </w:pPr>
      <w:r w:rsidRPr="007C118D">
        <w:rPr>
          <w:rStyle w:val="ab"/>
          <w:sz w:val="16"/>
          <w:szCs w:val="16"/>
        </w:rPr>
        <w:footnoteRef/>
      </w:r>
      <w:r>
        <w:rPr>
          <w:rStyle w:val="ab"/>
          <w:sz w:val="16"/>
          <w:szCs w:val="16"/>
          <w:lang w:val="el-GR"/>
        </w:rPr>
        <w:tab/>
      </w:r>
      <w:r w:rsidRPr="0031674A">
        <w:rPr>
          <w:rStyle w:val="ab"/>
          <w:sz w:val="16"/>
          <w:szCs w:val="16"/>
          <w:vertAlign w:val="baseline"/>
          <w:lang w:val="el-GR"/>
        </w:rPr>
        <w:t>Στις</w:t>
      </w:r>
      <w:r>
        <w:rPr>
          <w:rStyle w:val="ab"/>
          <w:sz w:val="16"/>
          <w:szCs w:val="16"/>
          <w:vertAlign w:val="baseline"/>
          <w:lang w:val="el-GR"/>
        </w:rPr>
        <w:t xml:space="preserve"> </w:t>
      </w:r>
      <w:r w:rsidRPr="0031674A">
        <w:rPr>
          <w:rStyle w:val="ab"/>
          <w:sz w:val="16"/>
          <w:szCs w:val="16"/>
          <w:vertAlign w:val="baseline"/>
          <w:lang w:val="el-GR"/>
        </w:rPr>
        <w:t>καταθέσεις</w:t>
      </w:r>
      <w:r>
        <w:rPr>
          <w:sz w:val="16"/>
          <w:szCs w:val="16"/>
          <w:lang w:val="el-GR"/>
        </w:rPr>
        <w:t xml:space="preserve"> </w:t>
      </w:r>
      <w:r w:rsidRPr="0031674A">
        <w:rPr>
          <w:rStyle w:val="ab"/>
          <w:sz w:val="16"/>
          <w:szCs w:val="16"/>
          <w:vertAlign w:val="baseline"/>
          <w:lang w:val="el-GR"/>
        </w:rPr>
        <w:t>μίας ημέρας περιλαμβάνονται οι τρεχούμενοι λογαριασμοί, οι λογαριασμοί όψεως και οι λογαριασμοί ταμιευτ</w:t>
      </w:r>
      <w:r>
        <w:rPr>
          <w:sz w:val="16"/>
          <w:szCs w:val="16"/>
          <w:lang w:val="el-GR"/>
        </w:rPr>
        <w:t>η</w:t>
      </w:r>
      <w:r w:rsidRPr="0031674A">
        <w:rPr>
          <w:rStyle w:val="ab"/>
          <w:sz w:val="16"/>
          <w:szCs w:val="16"/>
          <w:vertAlign w:val="baseline"/>
          <w:lang w:val="el-GR"/>
        </w:rPr>
        <w:t>ρ</w:t>
      </w:r>
      <w:r>
        <w:rPr>
          <w:rStyle w:val="ab"/>
          <w:sz w:val="16"/>
          <w:szCs w:val="16"/>
          <w:vertAlign w:val="baseline"/>
          <w:lang w:val="el-GR"/>
        </w:rPr>
        <w:t>ί</w:t>
      </w:r>
      <w:r w:rsidRPr="0031674A">
        <w:rPr>
          <w:rStyle w:val="ab"/>
          <w:sz w:val="16"/>
          <w:szCs w:val="16"/>
          <w:vertAlign w:val="baseline"/>
          <w:lang w:val="el-GR"/>
        </w:rPr>
        <w:t>ου.</w:t>
      </w:r>
    </w:p>
  </w:footnote>
  <w:footnote w:id="7">
    <w:p w14:paraId="73EE2EFE" w14:textId="441FB148" w:rsidR="008E7700" w:rsidRPr="00F867FC" w:rsidRDefault="008E7700" w:rsidP="0073372D">
      <w:pPr>
        <w:pStyle w:val="aa"/>
        <w:tabs>
          <w:tab w:val="left" w:pos="113"/>
        </w:tabs>
        <w:spacing w:after="0" w:line="276" w:lineRule="auto"/>
        <w:ind w:left="113" w:hanging="113"/>
        <w:rPr>
          <w:lang w:val="el-GR"/>
        </w:rPr>
      </w:pPr>
      <w:r w:rsidRPr="007142FA">
        <w:rPr>
          <w:rStyle w:val="ab"/>
          <w:sz w:val="16"/>
        </w:rPr>
        <w:footnoteRef/>
      </w:r>
      <w:r>
        <w:rPr>
          <w:sz w:val="16"/>
          <w:szCs w:val="16"/>
          <w:lang w:val="el-GR"/>
        </w:rPr>
        <w:tab/>
      </w:r>
      <w:r w:rsidRPr="00F867FC">
        <w:rPr>
          <w:sz w:val="16"/>
          <w:szCs w:val="16"/>
          <w:lang w:val="el-GR"/>
        </w:rPr>
        <w:t xml:space="preserve">Μη περιλαμβανομένων των </w:t>
      </w:r>
      <w:r>
        <w:rPr>
          <w:sz w:val="16"/>
          <w:szCs w:val="16"/>
          <w:lang w:val="en-US"/>
        </w:rPr>
        <w:t>r</w:t>
      </w:r>
      <w:r w:rsidRPr="00F867FC">
        <w:rPr>
          <w:sz w:val="16"/>
          <w:szCs w:val="16"/>
          <w:lang w:val="en-US"/>
        </w:rPr>
        <w:t>epos</w:t>
      </w:r>
      <w:r w:rsidRPr="00F867FC">
        <w:rPr>
          <w:sz w:val="16"/>
          <w:szCs w:val="16"/>
          <w:lang w:val="el-GR"/>
        </w:rPr>
        <w:t xml:space="preserve"> του Ελληνικού Δημοσίου με </w:t>
      </w:r>
      <w:r w:rsidRPr="002F4C10">
        <w:rPr>
          <w:sz w:val="16"/>
          <w:szCs w:val="16"/>
          <w:lang w:val="el-GR"/>
        </w:rPr>
        <w:t>τους φορείς της Γενικής</w:t>
      </w:r>
      <w:r w:rsidRPr="00F867FC">
        <w:rPr>
          <w:sz w:val="16"/>
          <w:szCs w:val="16"/>
          <w:lang w:val="el-GR"/>
        </w:rPr>
        <w:t xml:space="preserve"> Κυβέρνησης</w:t>
      </w:r>
      <w:r>
        <w:rPr>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0669" w14:textId="77777777" w:rsidR="008E7700" w:rsidRPr="007B4361" w:rsidRDefault="008E7700" w:rsidP="00C61707">
    <w:pPr>
      <w:pStyle w:val="a3"/>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F715" w14:textId="77777777" w:rsidR="008E7700" w:rsidRPr="002B5330" w:rsidRDefault="008E7700" w:rsidP="00C86660">
    <w:pPr>
      <w:pStyle w:val="a3"/>
      <w:pBdr>
        <w:bottom w:val="single" w:sz="12" w:space="1" w:color="2F5496"/>
      </w:pBdr>
      <w:spacing w:line="276" w:lineRule="auto"/>
      <w:jc w:val="left"/>
      <w:rPr>
        <w:b/>
        <w:color w:val="2F5496"/>
        <w:sz w:val="16"/>
        <w:szCs w:val="16"/>
        <w:lang w:val="el-GR"/>
      </w:rPr>
    </w:pPr>
    <w:r w:rsidRPr="002B5330">
      <w:rPr>
        <w:b/>
        <w:color w:val="2F5496"/>
        <w:sz w:val="16"/>
        <w:szCs w:val="16"/>
        <w:lang w:val="el-GR"/>
      </w:rPr>
      <w:t>ΚΕΦΑΛΑΙΟ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9E7D" w14:textId="77777777" w:rsidR="008E7700" w:rsidRPr="00676A5D" w:rsidRDefault="008E7700" w:rsidP="00676A5D">
    <w:pPr>
      <w:pStyle w:val="a3"/>
      <w:pBdr>
        <w:bottom w:val="single" w:sz="12" w:space="1" w:color="2F5496"/>
      </w:pBdr>
      <w:tabs>
        <w:tab w:val="clear" w:pos="4153"/>
        <w:tab w:val="clear" w:pos="8306"/>
        <w:tab w:val="right" w:pos="9072"/>
      </w:tabs>
      <w:spacing w:line="276" w:lineRule="auto"/>
      <w:jc w:val="right"/>
      <w:rPr>
        <w:b/>
        <w:color w:val="2F5496"/>
        <w:sz w:val="16"/>
        <w:szCs w:val="16"/>
        <w:lang w:val="el-GR"/>
      </w:rPr>
    </w:pPr>
    <w:r w:rsidRPr="00676A5D">
      <w:rPr>
        <w:b/>
        <w:color w:val="2F5496"/>
        <w:sz w:val="16"/>
        <w:szCs w:val="16"/>
        <w:lang w:val="el-GR"/>
      </w:rPr>
      <w:t>ΚΕΦΑΛΑΙΟ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B60B" w14:textId="77777777" w:rsidR="008E7700" w:rsidRPr="002B5330" w:rsidRDefault="008E7700" w:rsidP="00D432A5">
    <w:pPr>
      <w:pStyle w:val="a3"/>
      <w:pBdr>
        <w:bottom w:val="single" w:sz="12" w:space="1" w:color="2F5496"/>
      </w:pBdr>
      <w:spacing w:line="276" w:lineRule="auto"/>
      <w:jc w:val="left"/>
      <w:rPr>
        <w:b/>
        <w:color w:val="2F5496"/>
        <w:sz w:val="16"/>
        <w:szCs w:val="16"/>
        <w:lang w:val="el-GR"/>
      </w:rPr>
    </w:pPr>
    <w:r w:rsidRPr="002B5330">
      <w:rPr>
        <w:b/>
        <w:color w:val="2F5496"/>
        <w:sz w:val="16"/>
        <w:szCs w:val="16"/>
        <w:lang w:val="el-GR"/>
      </w:rPr>
      <w:t xml:space="preserve">ΚΕΦΑΛΑΙΟ </w:t>
    </w:r>
    <w:r>
      <w:rPr>
        <w:b/>
        <w:color w:val="2F5496"/>
        <w:sz w:val="16"/>
        <w:szCs w:val="16"/>
        <w:lang w:val="el-GR"/>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0F97" w14:textId="77777777" w:rsidR="008E7700" w:rsidRPr="00DD1604" w:rsidRDefault="008E7700" w:rsidP="008B5784">
    <w:pPr>
      <w:pStyle w:val="a3"/>
      <w:pBdr>
        <w:bottom w:val="single" w:sz="12" w:space="1" w:color="2F5496"/>
      </w:pBdr>
      <w:tabs>
        <w:tab w:val="clear" w:pos="4153"/>
        <w:tab w:val="clear" w:pos="8306"/>
        <w:tab w:val="right" w:pos="9072"/>
      </w:tabs>
      <w:spacing w:line="276" w:lineRule="auto"/>
      <w:jc w:val="right"/>
      <w:rPr>
        <w:b/>
        <w:color w:val="2F5496"/>
        <w:sz w:val="16"/>
        <w:szCs w:val="16"/>
        <w:lang w:val="el-GR"/>
      </w:rPr>
    </w:pPr>
    <w:r w:rsidRPr="002B5330">
      <w:rPr>
        <w:b/>
        <w:color w:val="2F5496"/>
        <w:sz w:val="16"/>
        <w:szCs w:val="16"/>
        <w:lang w:val="el-GR"/>
      </w:rPr>
      <w:t xml:space="preserve">ΚΕΦΑΛΑΙΟ </w:t>
    </w:r>
    <w:r>
      <w:rPr>
        <w:b/>
        <w:color w:val="2F5496"/>
        <w:sz w:val="16"/>
        <w:szCs w:val="16"/>
        <w:lang w:val="el-GR"/>
      </w:rPr>
      <w:t>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54D7" w14:textId="77777777" w:rsidR="008E7700" w:rsidRPr="00A72F1C" w:rsidRDefault="008E7700" w:rsidP="00C458FD">
    <w:pPr>
      <w:pStyle w:val="a3"/>
      <w:pBdr>
        <w:bottom w:val="single" w:sz="12" w:space="1" w:color="2F5496"/>
      </w:pBdr>
      <w:tabs>
        <w:tab w:val="clear" w:pos="4153"/>
        <w:tab w:val="clear" w:pos="8306"/>
        <w:tab w:val="left" w:pos="0"/>
      </w:tabs>
      <w:spacing w:line="276" w:lineRule="auto"/>
      <w:jc w:val="left"/>
      <w:rPr>
        <w:b/>
        <w:color w:val="2F5496"/>
        <w:sz w:val="16"/>
        <w:szCs w:val="16"/>
        <w:lang w:val="el-GR"/>
      </w:rPr>
    </w:pPr>
    <w:r w:rsidRPr="00A72F1C">
      <w:rPr>
        <w:b/>
        <w:color w:val="2F5496"/>
        <w:sz w:val="16"/>
        <w:szCs w:val="16"/>
        <w:lang w:val="el-GR"/>
      </w:rPr>
      <w:t>ΚΕΦΑΛΑΙΟ 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B4EC" w14:textId="77777777" w:rsidR="008E7700" w:rsidRPr="00A72F1C" w:rsidRDefault="008E7700" w:rsidP="00BD20EB">
    <w:pPr>
      <w:pStyle w:val="a3"/>
      <w:pBdr>
        <w:bottom w:val="single" w:sz="12" w:space="1" w:color="2F5496"/>
      </w:pBdr>
      <w:tabs>
        <w:tab w:val="clear" w:pos="4153"/>
        <w:tab w:val="clear" w:pos="8306"/>
        <w:tab w:val="right" w:pos="9072"/>
      </w:tabs>
      <w:spacing w:line="276" w:lineRule="auto"/>
      <w:jc w:val="right"/>
      <w:rPr>
        <w:b/>
        <w:color w:val="2F5496"/>
        <w:sz w:val="16"/>
        <w:szCs w:val="16"/>
        <w:lang w:val="el-GR"/>
      </w:rPr>
    </w:pPr>
    <w:r w:rsidRPr="00A72F1C">
      <w:rPr>
        <w:b/>
        <w:color w:val="2F5496"/>
        <w:sz w:val="16"/>
        <w:szCs w:val="16"/>
        <w:lang w:val="el-GR"/>
      </w:rPr>
      <w:t>ΚΕΦΑΛΑΙΟ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Times New Roman"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65" w:hanging="360"/>
      </w:pPr>
      <w:rPr>
        <w:rFonts w:ascii="Wingdings" w:hAnsi="Wingdings"/>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rPr>
    </w:lvl>
    <w:lvl w:ilvl="3">
      <w:start w:val="1"/>
      <w:numFmt w:val="bullet"/>
      <w:lvlText w:val=""/>
      <w:lvlJc w:val="left"/>
      <w:pPr>
        <w:tabs>
          <w:tab w:val="num" w:pos="0"/>
        </w:tabs>
        <w:ind w:left="2925" w:hanging="360"/>
      </w:pPr>
      <w:rPr>
        <w:rFonts w:ascii="Symbol" w:hAnsi="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rPr>
    </w:lvl>
    <w:lvl w:ilvl="6">
      <w:start w:val="1"/>
      <w:numFmt w:val="bullet"/>
      <w:lvlText w:val=""/>
      <w:lvlJc w:val="left"/>
      <w:pPr>
        <w:tabs>
          <w:tab w:val="num" w:pos="0"/>
        </w:tabs>
        <w:ind w:left="5085" w:hanging="360"/>
      </w:pPr>
      <w:rPr>
        <w:rFonts w:ascii="Symbol" w:hAnsi="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rPr>
    </w:lvl>
  </w:abstractNum>
  <w:abstractNum w:abstractNumId="2" w15:restartNumberingAfterBreak="0">
    <w:nsid w:val="03FD351E"/>
    <w:multiLevelType w:val="multilevel"/>
    <w:tmpl w:val="A1B8AAB2"/>
    <w:lvl w:ilvl="0">
      <w:start w:val="1"/>
      <w:numFmt w:val="decimal"/>
      <w:pStyle w:val="1"/>
      <w:lvlText w:val="ΚΕΦΑΛΑΙΟ %1"/>
      <w:lvlJc w:val="left"/>
      <w:pPr>
        <w:tabs>
          <w:tab w:val="num" w:pos="851"/>
        </w:tabs>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3"/>
      <w:lvlText w:val="%1.%2."/>
      <w:lvlJc w:val="left"/>
      <w:pPr>
        <w:tabs>
          <w:tab w:val="num" w:pos="851"/>
        </w:tabs>
        <w:ind w:left="0" w:firstLine="0"/>
      </w:pPr>
      <w:rPr>
        <w:rFonts w:hint="default"/>
      </w:rPr>
    </w:lvl>
    <w:lvl w:ilvl="2">
      <w:start w:val="1"/>
      <w:numFmt w:val="decimal"/>
      <w:pStyle w:val="4"/>
      <w:lvlText w:val="%1.%2.%3."/>
      <w:lvlJc w:val="left"/>
      <w:pPr>
        <w:tabs>
          <w:tab w:val="num" w:pos="851"/>
        </w:tabs>
        <w:ind w:left="0" w:firstLine="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5"/>
      <w:lvlText w:val="%1.%2.%3.%4."/>
      <w:lvlJc w:val="left"/>
      <w:pPr>
        <w:tabs>
          <w:tab w:val="num" w:pos="851"/>
        </w:tabs>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38D1566B"/>
    <w:multiLevelType w:val="hybridMultilevel"/>
    <w:tmpl w:val="547A605A"/>
    <w:lvl w:ilvl="0" w:tplc="04080001">
      <w:start w:val="1"/>
      <w:numFmt w:val="bullet"/>
      <w:lvlText w:val=""/>
      <w:lvlJc w:val="left"/>
      <w:pPr>
        <w:ind w:left="5039"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F637FFA"/>
    <w:multiLevelType w:val="hybridMultilevel"/>
    <w:tmpl w:val="E654D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FD0CD3"/>
    <w:multiLevelType w:val="hybridMultilevel"/>
    <w:tmpl w:val="63645A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BD0F9C"/>
    <w:multiLevelType w:val="hybridMultilevel"/>
    <w:tmpl w:val="0C92B6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2E97359"/>
    <w:multiLevelType w:val="hybridMultilevel"/>
    <w:tmpl w:val="D0562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A444DC3"/>
    <w:multiLevelType w:val="hybridMultilevel"/>
    <w:tmpl w:val="CB74CB54"/>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num w:numId="1" w16cid:durableId="605889893">
    <w:abstractNumId w:val="3"/>
  </w:num>
  <w:num w:numId="2" w16cid:durableId="80832124">
    <w:abstractNumId w:val="6"/>
  </w:num>
  <w:num w:numId="3" w16cid:durableId="400642180">
    <w:abstractNumId w:val="2"/>
  </w:num>
  <w:num w:numId="4" w16cid:durableId="16326366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3407562">
    <w:abstractNumId w:val="5"/>
  </w:num>
  <w:num w:numId="6" w16cid:durableId="1354766245">
    <w:abstractNumId w:val="7"/>
  </w:num>
  <w:num w:numId="7" w16cid:durableId="248582094">
    <w:abstractNumId w:val="8"/>
  </w:num>
  <w:num w:numId="8" w16cid:durableId="786453">
    <w:abstractNumId w:val="4"/>
  </w:num>
  <w:num w:numId="9" w16cid:durableId="40017926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4"/>
  <w:doNotHyphenateCaps/>
  <w:evenAndOddHeaders/>
  <w:noPunctuationKerning/>
  <w:characterSpacingControl w:val="doNotCompress"/>
  <w:hdrShapeDefaults>
    <o:shapedefaults v:ext="edit" spidmax="2050">
      <o:colormru v:ext="edit" colors="#d5dce4"/>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46"/>
    <w:rsid w:val="0000000D"/>
    <w:rsid w:val="000004BF"/>
    <w:rsid w:val="000008DC"/>
    <w:rsid w:val="00000C78"/>
    <w:rsid w:val="00001638"/>
    <w:rsid w:val="00001826"/>
    <w:rsid w:val="00001844"/>
    <w:rsid w:val="00001FA2"/>
    <w:rsid w:val="000024E4"/>
    <w:rsid w:val="000026B5"/>
    <w:rsid w:val="000028A4"/>
    <w:rsid w:val="00002974"/>
    <w:rsid w:val="000029B2"/>
    <w:rsid w:val="00002CA7"/>
    <w:rsid w:val="00003291"/>
    <w:rsid w:val="000034AD"/>
    <w:rsid w:val="000038E8"/>
    <w:rsid w:val="00003AF3"/>
    <w:rsid w:val="00003B7E"/>
    <w:rsid w:val="00003B83"/>
    <w:rsid w:val="00003E7D"/>
    <w:rsid w:val="00004132"/>
    <w:rsid w:val="000046CC"/>
    <w:rsid w:val="000048CD"/>
    <w:rsid w:val="00004CBE"/>
    <w:rsid w:val="00005048"/>
    <w:rsid w:val="00005975"/>
    <w:rsid w:val="000061BC"/>
    <w:rsid w:val="00006369"/>
    <w:rsid w:val="0000686E"/>
    <w:rsid w:val="000069EA"/>
    <w:rsid w:val="00007046"/>
    <w:rsid w:val="000074EA"/>
    <w:rsid w:val="000077E9"/>
    <w:rsid w:val="00007AB1"/>
    <w:rsid w:val="0001005C"/>
    <w:rsid w:val="0001006D"/>
    <w:rsid w:val="0001018D"/>
    <w:rsid w:val="00010C56"/>
    <w:rsid w:val="000111AD"/>
    <w:rsid w:val="000113D3"/>
    <w:rsid w:val="0001189B"/>
    <w:rsid w:val="00011912"/>
    <w:rsid w:val="00011AC2"/>
    <w:rsid w:val="00011BCF"/>
    <w:rsid w:val="00011CE3"/>
    <w:rsid w:val="00012220"/>
    <w:rsid w:val="00012808"/>
    <w:rsid w:val="00012888"/>
    <w:rsid w:val="00012972"/>
    <w:rsid w:val="000129E6"/>
    <w:rsid w:val="00012E7A"/>
    <w:rsid w:val="00013159"/>
    <w:rsid w:val="0001322B"/>
    <w:rsid w:val="00013998"/>
    <w:rsid w:val="00013EFD"/>
    <w:rsid w:val="00014099"/>
    <w:rsid w:val="0001430A"/>
    <w:rsid w:val="000145C1"/>
    <w:rsid w:val="00014BC9"/>
    <w:rsid w:val="00014BE1"/>
    <w:rsid w:val="000151B3"/>
    <w:rsid w:val="000157E3"/>
    <w:rsid w:val="000160CD"/>
    <w:rsid w:val="00016214"/>
    <w:rsid w:val="00016992"/>
    <w:rsid w:val="000171BB"/>
    <w:rsid w:val="000171DC"/>
    <w:rsid w:val="0001733B"/>
    <w:rsid w:val="00017527"/>
    <w:rsid w:val="00017836"/>
    <w:rsid w:val="00020064"/>
    <w:rsid w:val="00020AFD"/>
    <w:rsid w:val="00020E7B"/>
    <w:rsid w:val="0002119C"/>
    <w:rsid w:val="0002125F"/>
    <w:rsid w:val="0002134F"/>
    <w:rsid w:val="00021A1C"/>
    <w:rsid w:val="00022096"/>
    <w:rsid w:val="00022329"/>
    <w:rsid w:val="000229F7"/>
    <w:rsid w:val="00022E0A"/>
    <w:rsid w:val="00022F08"/>
    <w:rsid w:val="00022F15"/>
    <w:rsid w:val="000231F1"/>
    <w:rsid w:val="00023B7D"/>
    <w:rsid w:val="0002414A"/>
    <w:rsid w:val="000241F0"/>
    <w:rsid w:val="00024335"/>
    <w:rsid w:val="00024500"/>
    <w:rsid w:val="00024D6D"/>
    <w:rsid w:val="0002531F"/>
    <w:rsid w:val="000262CF"/>
    <w:rsid w:val="000263B8"/>
    <w:rsid w:val="00026496"/>
    <w:rsid w:val="000268CC"/>
    <w:rsid w:val="00026F7F"/>
    <w:rsid w:val="00027089"/>
    <w:rsid w:val="00027221"/>
    <w:rsid w:val="000275FD"/>
    <w:rsid w:val="00027CAA"/>
    <w:rsid w:val="00027CE1"/>
    <w:rsid w:val="00030228"/>
    <w:rsid w:val="0003034F"/>
    <w:rsid w:val="00030713"/>
    <w:rsid w:val="0003090A"/>
    <w:rsid w:val="0003091A"/>
    <w:rsid w:val="00030EDD"/>
    <w:rsid w:val="00030F31"/>
    <w:rsid w:val="000311AB"/>
    <w:rsid w:val="00031C0E"/>
    <w:rsid w:val="00031FED"/>
    <w:rsid w:val="00032633"/>
    <w:rsid w:val="000328DE"/>
    <w:rsid w:val="00032948"/>
    <w:rsid w:val="00033025"/>
    <w:rsid w:val="0003319F"/>
    <w:rsid w:val="000331CE"/>
    <w:rsid w:val="00033BD0"/>
    <w:rsid w:val="00033C6F"/>
    <w:rsid w:val="0003403C"/>
    <w:rsid w:val="00034128"/>
    <w:rsid w:val="000341A6"/>
    <w:rsid w:val="00034326"/>
    <w:rsid w:val="00034A66"/>
    <w:rsid w:val="00034C84"/>
    <w:rsid w:val="00034DD3"/>
    <w:rsid w:val="000351F3"/>
    <w:rsid w:val="00035521"/>
    <w:rsid w:val="000356C4"/>
    <w:rsid w:val="00035BA0"/>
    <w:rsid w:val="00035FD6"/>
    <w:rsid w:val="00036278"/>
    <w:rsid w:val="000367DF"/>
    <w:rsid w:val="0003696D"/>
    <w:rsid w:val="00036C9F"/>
    <w:rsid w:val="000371FE"/>
    <w:rsid w:val="0003732B"/>
    <w:rsid w:val="00037331"/>
    <w:rsid w:val="000373C6"/>
    <w:rsid w:val="0003754B"/>
    <w:rsid w:val="0003771A"/>
    <w:rsid w:val="0003780F"/>
    <w:rsid w:val="00037CC7"/>
    <w:rsid w:val="00037F79"/>
    <w:rsid w:val="00040E5A"/>
    <w:rsid w:val="00040EDC"/>
    <w:rsid w:val="00041061"/>
    <w:rsid w:val="000417CF"/>
    <w:rsid w:val="00041D3F"/>
    <w:rsid w:val="00041D44"/>
    <w:rsid w:val="000426BD"/>
    <w:rsid w:val="00042851"/>
    <w:rsid w:val="00042B29"/>
    <w:rsid w:val="00042CC7"/>
    <w:rsid w:val="00043348"/>
    <w:rsid w:val="0004343A"/>
    <w:rsid w:val="0004353F"/>
    <w:rsid w:val="000435CB"/>
    <w:rsid w:val="000439A3"/>
    <w:rsid w:val="00043AA1"/>
    <w:rsid w:val="00043F75"/>
    <w:rsid w:val="00044A01"/>
    <w:rsid w:val="00044B79"/>
    <w:rsid w:val="00045019"/>
    <w:rsid w:val="00045302"/>
    <w:rsid w:val="0004598E"/>
    <w:rsid w:val="00045AF9"/>
    <w:rsid w:val="00045C97"/>
    <w:rsid w:val="00045F2C"/>
    <w:rsid w:val="00046032"/>
    <w:rsid w:val="00046555"/>
    <w:rsid w:val="00046881"/>
    <w:rsid w:val="00046AB4"/>
    <w:rsid w:val="0004768D"/>
    <w:rsid w:val="000478F0"/>
    <w:rsid w:val="00047957"/>
    <w:rsid w:val="00047CB7"/>
    <w:rsid w:val="00047F2B"/>
    <w:rsid w:val="000503F0"/>
    <w:rsid w:val="00050866"/>
    <w:rsid w:val="00050B00"/>
    <w:rsid w:val="00050C4F"/>
    <w:rsid w:val="00050D32"/>
    <w:rsid w:val="00050E37"/>
    <w:rsid w:val="0005103E"/>
    <w:rsid w:val="0005104D"/>
    <w:rsid w:val="00051119"/>
    <w:rsid w:val="00051433"/>
    <w:rsid w:val="000515FC"/>
    <w:rsid w:val="00051B4B"/>
    <w:rsid w:val="00051C8D"/>
    <w:rsid w:val="00051E22"/>
    <w:rsid w:val="000522D9"/>
    <w:rsid w:val="000525EE"/>
    <w:rsid w:val="0005295B"/>
    <w:rsid w:val="00053542"/>
    <w:rsid w:val="00053BBE"/>
    <w:rsid w:val="00053F64"/>
    <w:rsid w:val="0005418C"/>
    <w:rsid w:val="000544AC"/>
    <w:rsid w:val="00054587"/>
    <w:rsid w:val="0005472A"/>
    <w:rsid w:val="000547E7"/>
    <w:rsid w:val="000549FA"/>
    <w:rsid w:val="00054D38"/>
    <w:rsid w:val="00055029"/>
    <w:rsid w:val="00055229"/>
    <w:rsid w:val="000553BA"/>
    <w:rsid w:val="000556B1"/>
    <w:rsid w:val="000559A9"/>
    <w:rsid w:val="00055C4A"/>
    <w:rsid w:val="00056014"/>
    <w:rsid w:val="000560F6"/>
    <w:rsid w:val="0005626E"/>
    <w:rsid w:val="000564A6"/>
    <w:rsid w:val="000564DE"/>
    <w:rsid w:val="00056723"/>
    <w:rsid w:val="00056740"/>
    <w:rsid w:val="000572C2"/>
    <w:rsid w:val="00057F57"/>
    <w:rsid w:val="00057FCB"/>
    <w:rsid w:val="0006012B"/>
    <w:rsid w:val="0006039A"/>
    <w:rsid w:val="00060660"/>
    <w:rsid w:val="00060D04"/>
    <w:rsid w:val="000614BC"/>
    <w:rsid w:val="0006161C"/>
    <w:rsid w:val="00061944"/>
    <w:rsid w:val="00061E32"/>
    <w:rsid w:val="00061E6F"/>
    <w:rsid w:val="000620E4"/>
    <w:rsid w:val="00062DB8"/>
    <w:rsid w:val="00063047"/>
    <w:rsid w:val="000639C0"/>
    <w:rsid w:val="00063AF4"/>
    <w:rsid w:val="00063D3D"/>
    <w:rsid w:val="0006441F"/>
    <w:rsid w:val="00064503"/>
    <w:rsid w:val="00064F7A"/>
    <w:rsid w:val="000656C7"/>
    <w:rsid w:val="00065AA4"/>
    <w:rsid w:val="00065C3C"/>
    <w:rsid w:val="00065CFC"/>
    <w:rsid w:val="0006622E"/>
    <w:rsid w:val="000664E6"/>
    <w:rsid w:val="00066B9B"/>
    <w:rsid w:val="00067592"/>
    <w:rsid w:val="0006775F"/>
    <w:rsid w:val="00067947"/>
    <w:rsid w:val="00067F43"/>
    <w:rsid w:val="00070381"/>
    <w:rsid w:val="00070452"/>
    <w:rsid w:val="00070691"/>
    <w:rsid w:val="00071209"/>
    <w:rsid w:val="00071BD7"/>
    <w:rsid w:val="00071C9D"/>
    <w:rsid w:val="00072468"/>
    <w:rsid w:val="00072522"/>
    <w:rsid w:val="00072809"/>
    <w:rsid w:val="00072F21"/>
    <w:rsid w:val="00073A7B"/>
    <w:rsid w:val="00073ACF"/>
    <w:rsid w:val="00073B6C"/>
    <w:rsid w:val="0007406E"/>
    <w:rsid w:val="000748D9"/>
    <w:rsid w:val="00074933"/>
    <w:rsid w:val="000753A7"/>
    <w:rsid w:val="00075721"/>
    <w:rsid w:val="000759C1"/>
    <w:rsid w:val="00075FE8"/>
    <w:rsid w:val="00076037"/>
    <w:rsid w:val="000760ED"/>
    <w:rsid w:val="00076103"/>
    <w:rsid w:val="000763C3"/>
    <w:rsid w:val="00076728"/>
    <w:rsid w:val="00076798"/>
    <w:rsid w:val="00076D7F"/>
    <w:rsid w:val="00077346"/>
    <w:rsid w:val="00077404"/>
    <w:rsid w:val="00077F10"/>
    <w:rsid w:val="0008086A"/>
    <w:rsid w:val="000811B7"/>
    <w:rsid w:val="00081704"/>
    <w:rsid w:val="000817B3"/>
    <w:rsid w:val="000820BA"/>
    <w:rsid w:val="00082CBA"/>
    <w:rsid w:val="00082CE2"/>
    <w:rsid w:val="00082D1F"/>
    <w:rsid w:val="00082E83"/>
    <w:rsid w:val="000830C2"/>
    <w:rsid w:val="000831F0"/>
    <w:rsid w:val="0008325E"/>
    <w:rsid w:val="00083850"/>
    <w:rsid w:val="00083965"/>
    <w:rsid w:val="00083CF2"/>
    <w:rsid w:val="00084107"/>
    <w:rsid w:val="00084809"/>
    <w:rsid w:val="00084BD7"/>
    <w:rsid w:val="000852A7"/>
    <w:rsid w:val="00085483"/>
    <w:rsid w:val="000857A3"/>
    <w:rsid w:val="000857FB"/>
    <w:rsid w:val="00086236"/>
    <w:rsid w:val="00086521"/>
    <w:rsid w:val="000875E6"/>
    <w:rsid w:val="00087C3B"/>
    <w:rsid w:val="000900C9"/>
    <w:rsid w:val="000901EE"/>
    <w:rsid w:val="000907D4"/>
    <w:rsid w:val="000908A9"/>
    <w:rsid w:val="000908D0"/>
    <w:rsid w:val="00090B8B"/>
    <w:rsid w:val="00090CD1"/>
    <w:rsid w:val="00090CFB"/>
    <w:rsid w:val="000917DA"/>
    <w:rsid w:val="00092162"/>
    <w:rsid w:val="0009240F"/>
    <w:rsid w:val="000928C0"/>
    <w:rsid w:val="00092B59"/>
    <w:rsid w:val="00092C42"/>
    <w:rsid w:val="0009309F"/>
    <w:rsid w:val="0009361C"/>
    <w:rsid w:val="00093D9F"/>
    <w:rsid w:val="00094024"/>
    <w:rsid w:val="0009435E"/>
    <w:rsid w:val="000948E7"/>
    <w:rsid w:val="00094C9E"/>
    <w:rsid w:val="00094F63"/>
    <w:rsid w:val="000952C2"/>
    <w:rsid w:val="00095356"/>
    <w:rsid w:val="00095574"/>
    <w:rsid w:val="0009559A"/>
    <w:rsid w:val="00095D6A"/>
    <w:rsid w:val="000965DC"/>
    <w:rsid w:val="0009752A"/>
    <w:rsid w:val="000975B7"/>
    <w:rsid w:val="00097631"/>
    <w:rsid w:val="00097BAC"/>
    <w:rsid w:val="00097DF4"/>
    <w:rsid w:val="000A0098"/>
    <w:rsid w:val="000A0165"/>
    <w:rsid w:val="000A0556"/>
    <w:rsid w:val="000A0A20"/>
    <w:rsid w:val="000A0E01"/>
    <w:rsid w:val="000A0EFB"/>
    <w:rsid w:val="000A1191"/>
    <w:rsid w:val="000A12D0"/>
    <w:rsid w:val="000A158D"/>
    <w:rsid w:val="000A1A50"/>
    <w:rsid w:val="000A1ACA"/>
    <w:rsid w:val="000A22BD"/>
    <w:rsid w:val="000A34CC"/>
    <w:rsid w:val="000A385A"/>
    <w:rsid w:val="000A3E4C"/>
    <w:rsid w:val="000A403F"/>
    <w:rsid w:val="000A43C9"/>
    <w:rsid w:val="000A4576"/>
    <w:rsid w:val="000A462C"/>
    <w:rsid w:val="000A4791"/>
    <w:rsid w:val="000A4F47"/>
    <w:rsid w:val="000A518C"/>
    <w:rsid w:val="000A58EB"/>
    <w:rsid w:val="000A5B4F"/>
    <w:rsid w:val="000A6B22"/>
    <w:rsid w:val="000A7990"/>
    <w:rsid w:val="000A7E44"/>
    <w:rsid w:val="000B0052"/>
    <w:rsid w:val="000B0AD8"/>
    <w:rsid w:val="000B0B0D"/>
    <w:rsid w:val="000B0D4A"/>
    <w:rsid w:val="000B0F5E"/>
    <w:rsid w:val="000B0F64"/>
    <w:rsid w:val="000B119A"/>
    <w:rsid w:val="000B14B5"/>
    <w:rsid w:val="000B161C"/>
    <w:rsid w:val="000B17E6"/>
    <w:rsid w:val="000B1A75"/>
    <w:rsid w:val="000B1D65"/>
    <w:rsid w:val="000B2215"/>
    <w:rsid w:val="000B2A2F"/>
    <w:rsid w:val="000B2ACB"/>
    <w:rsid w:val="000B2B1F"/>
    <w:rsid w:val="000B3341"/>
    <w:rsid w:val="000B33E3"/>
    <w:rsid w:val="000B34AF"/>
    <w:rsid w:val="000B34FE"/>
    <w:rsid w:val="000B3ABD"/>
    <w:rsid w:val="000B3AFE"/>
    <w:rsid w:val="000B3C6B"/>
    <w:rsid w:val="000B3D66"/>
    <w:rsid w:val="000B3E70"/>
    <w:rsid w:val="000B3F7D"/>
    <w:rsid w:val="000B40DA"/>
    <w:rsid w:val="000B46C6"/>
    <w:rsid w:val="000B4765"/>
    <w:rsid w:val="000B4A3F"/>
    <w:rsid w:val="000B4DDB"/>
    <w:rsid w:val="000B4FC8"/>
    <w:rsid w:val="000B5AB4"/>
    <w:rsid w:val="000B627B"/>
    <w:rsid w:val="000B6CFC"/>
    <w:rsid w:val="000B71B1"/>
    <w:rsid w:val="000B7B41"/>
    <w:rsid w:val="000B7C24"/>
    <w:rsid w:val="000B7ED4"/>
    <w:rsid w:val="000C0017"/>
    <w:rsid w:val="000C08FF"/>
    <w:rsid w:val="000C0FEC"/>
    <w:rsid w:val="000C1262"/>
    <w:rsid w:val="000C1D0F"/>
    <w:rsid w:val="000C1F1D"/>
    <w:rsid w:val="000C2532"/>
    <w:rsid w:val="000C27CC"/>
    <w:rsid w:val="000C2A0D"/>
    <w:rsid w:val="000C2BB7"/>
    <w:rsid w:val="000C37F6"/>
    <w:rsid w:val="000C398F"/>
    <w:rsid w:val="000C3A41"/>
    <w:rsid w:val="000C4232"/>
    <w:rsid w:val="000C4393"/>
    <w:rsid w:val="000C46B8"/>
    <w:rsid w:val="000C46E6"/>
    <w:rsid w:val="000C47F7"/>
    <w:rsid w:val="000C49EC"/>
    <w:rsid w:val="000C4C26"/>
    <w:rsid w:val="000C4EE8"/>
    <w:rsid w:val="000C4FF3"/>
    <w:rsid w:val="000C54E9"/>
    <w:rsid w:val="000C570D"/>
    <w:rsid w:val="000C5A2B"/>
    <w:rsid w:val="000C600F"/>
    <w:rsid w:val="000C6040"/>
    <w:rsid w:val="000C67FB"/>
    <w:rsid w:val="000C6882"/>
    <w:rsid w:val="000C6ADC"/>
    <w:rsid w:val="000C6BC0"/>
    <w:rsid w:val="000C6FDE"/>
    <w:rsid w:val="000C7268"/>
    <w:rsid w:val="000C72C7"/>
    <w:rsid w:val="000C7A32"/>
    <w:rsid w:val="000D05B1"/>
    <w:rsid w:val="000D0671"/>
    <w:rsid w:val="000D0825"/>
    <w:rsid w:val="000D08E7"/>
    <w:rsid w:val="000D1992"/>
    <w:rsid w:val="000D1997"/>
    <w:rsid w:val="000D1C5F"/>
    <w:rsid w:val="000D214E"/>
    <w:rsid w:val="000D2BB5"/>
    <w:rsid w:val="000D3222"/>
    <w:rsid w:val="000D3989"/>
    <w:rsid w:val="000D3B0B"/>
    <w:rsid w:val="000D3B3F"/>
    <w:rsid w:val="000D3F4E"/>
    <w:rsid w:val="000D42A6"/>
    <w:rsid w:val="000D4494"/>
    <w:rsid w:val="000D457E"/>
    <w:rsid w:val="000D49B1"/>
    <w:rsid w:val="000D5094"/>
    <w:rsid w:val="000D57F6"/>
    <w:rsid w:val="000D5AD2"/>
    <w:rsid w:val="000D5B62"/>
    <w:rsid w:val="000D5C0D"/>
    <w:rsid w:val="000D63C9"/>
    <w:rsid w:val="000D654B"/>
    <w:rsid w:val="000D6860"/>
    <w:rsid w:val="000D68DC"/>
    <w:rsid w:val="000D771F"/>
    <w:rsid w:val="000D7A4B"/>
    <w:rsid w:val="000E090D"/>
    <w:rsid w:val="000E0CCA"/>
    <w:rsid w:val="000E106F"/>
    <w:rsid w:val="000E1216"/>
    <w:rsid w:val="000E2282"/>
    <w:rsid w:val="000E27E9"/>
    <w:rsid w:val="000E28F2"/>
    <w:rsid w:val="000E2BD3"/>
    <w:rsid w:val="000E3F80"/>
    <w:rsid w:val="000E405C"/>
    <w:rsid w:val="000E429F"/>
    <w:rsid w:val="000E42D3"/>
    <w:rsid w:val="000E4629"/>
    <w:rsid w:val="000E463F"/>
    <w:rsid w:val="000E48D9"/>
    <w:rsid w:val="000E54DA"/>
    <w:rsid w:val="000E58EE"/>
    <w:rsid w:val="000E5ADE"/>
    <w:rsid w:val="000E5B8C"/>
    <w:rsid w:val="000E5E14"/>
    <w:rsid w:val="000E7A45"/>
    <w:rsid w:val="000E7BAA"/>
    <w:rsid w:val="000E7EB0"/>
    <w:rsid w:val="000E7EDA"/>
    <w:rsid w:val="000E7FE0"/>
    <w:rsid w:val="000F0221"/>
    <w:rsid w:val="000F0B20"/>
    <w:rsid w:val="000F1448"/>
    <w:rsid w:val="000F1732"/>
    <w:rsid w:val="000F17AC"/>
    <w:rsid w:val="000F1B8C"/>
    <w:rsid w:val="000F230A"/>
    <w:rsid w:val="000F26A9"/>
    <w:rsid w:val="000F2A4D"/>
    <w:rsid w:val="000F2D44"/>
    <w:rsid w:val="000F304C"/>
    <w:rsid w:val="000F330B"/>
    <w:rsid w:val="000F34B4"/>
    <w:rsid w:val="000F36C5"/>
    <w:rsid w:val="000F39EA"/>
    <w:rsid w:val="000F3AEB"/>
    <w:rsid w:val="000F3E64"/>
    <w:rsid w:val="000F4311"/>
    <w:rsid w:val="000F431C"/>
    <w:rsid w:val="000F44DF"/>
    <w:rsid w:val="000F4740"/>
    <w:rsid w:val="000F4DFA"/>
    <w:rsid w:val="000F5072"/>
    <w:rsid w:val="000F51FD"/>
    <w:rsid w:val="000F56FF"/>
    <w:rsid w:val="000F5B4E"/>
    <w:rsid w:val="000F5DA2"/>
    <w:rsid w:val="000F60D0"/>
    <w:rsid w:val="000F6106"/>
    <w:rsid w:val="000F6332"/>
    <w:rsid w:val="000F7328"/>
    <w:rsid w:val="000F7FBD"/>
    <w:rsid w:val="00100E56"/>
    <w:rsid w:val="001010D3"/>
    <w:rsid w:val="0010172E"/>
    <w:rsid w:val="00101750"/>
    <w:rsid w:val="00101B6F"/>
    <w:rsid w:val="00102031"/>
    <w:rsid w:val="0010205F"/>
    <w:rsid w:val="001025C1"/>
    <w:rsid w:val="00102EEE"/>
    <w:rsid w:val="0010395E"/>
    <w:rsid w:val="00104210"/>
    <w:rsid w:val="001042E7"/>
    <w:rsid w:val="00104ADE"/>
    <w:rsid w:val="00104B20"/>
    <w:rsid w:val="00104BB2"/>
    <w:rsid w:val="00105018"/>
    <w:rsid w:val="001052F1"/>
    <w:rsid w:val="00105626"/>
    <w:rsid w:val="00105F96"/>
    <w:rsid w:val="00106416"/>
    <w:rsid w:val="00106795"/>
    <w:rsid w:val="00106C40"/>
    <w:rsid w:val="00106E60"/>
    <w:rsid w:val="00106F2B"/>
    <w:rsid w:val="0010708D"/>
    <w:rsid w:val="00107345"/>
    <w:rsid w:val="00107971"/>
    <w:rsid w:val="00110381"/>
    <w:rsid w:val="00110565"/>
    <w:rsid w:val="00110B7D"/>
    <w:rsid w:val="00111140"/>
    <w:rsid w:val="0011170C"/>
    <w:rsid w:val="00111867"/>
    <w:rsid w:val="00112AE5"/>
    <w:rsid w:val="0011316D"/>
    <w:rsid w:val="00113596"/>
    <w:rsid w:val="001139F7"/>
    <w:rsid w:val="001141F6"/>
    <w:rsid w:val="001144B4"/>
    <w:rsid w:val="001145F3"/>
    <w:rsid w:val="00114ACA"/>
    <w:rsid w:val="00115672"/>
    <w:rsid w:val="00115C25"/>
    <w:rsid w:val="00115CF5"/>
    <w:rsid w:val="00115ED9"/>
    <w:rsid w:val="001165C7"/>
    <w:rsid w:val="00116861"/>
    <w:rsid w:val="00116D5C"/>
    <w:rsid w:val="0011705A"/>
    <w:rsid w:val="001170FB"/>
    <w:rsid w:val="001172AF"/>
    <w:rsid w:val="001174E5"/>
    <w:rsid w:val="00117C9F"/>
    <w:rsid w:val="00117EF0"/>
    <w:rsid w:val="001202AC"/>
    <w:rsid w:val="0012051C"/>
    <w:rsid w:val="00120AB8"/>
    <w:rsid w:val="00121BB8"/>
    <w:rsid w:val="0012216E"/>
    <w:rsid w:val="001222EE"/>
    <w:rsid w:val="001222FA"/>
    <w:rsid w:val="0012247C"/>
    <w:rsid w:val="00122836"/>
    <w:rsid w:val="00122C15"/>
    <w:rsid w:val="00122E25"/>
    <w:rsid w:val="001232C9"/>
    <w:rsid w:val="0012359B"/>
    <w:rsid w:val="001236A7"/>
    <w:rsid w:val="00123C75"/>
    <w:rsid w:val="00123FD2"/>
    <w:rsid w:val="0012448C"/>
    <w:rsid w:val="001246A4"/>
    <w:rsid w:val="00124A2A"/>
    <w:rsid w:val="00124B63"/>
    <w:rsid w:val="00124F6A"/>
    <w:rsid w:val="001250F6"/>
    <w:rsid w:val="00125796"/>
    <w:rsid w:val="00125951"/>
    <w:rsid w:val="00125DC3"/>
    <w:rsid w:val="00125E87"/>
    <w:rsid w:val="00125F40"/>
    <w:rsid w:val="00126059"/>
    <w:rsid w:val="001268AA"/>
    <w:rsid w:val="00126C04"/>
    <w:rsid w:val="00126D34"/>
    <w:rsid w:val="00127387"/>
    <w:rsid w:val="0012739D"/>
    <w:rsid w:val="00127433"/>
    <w:rsid w:val="001275C3"/>
    <w:rsid w:val="001278B7"/>
    <w:rsid w:val="00127CEA"/>
    <w:rsid w:val="00130903"/>
    <w:rsid w:val="00130B0B"/>
    <w:rsid w:val="00130EF9"/>
    <w:rsid w:val="00131645"/>
    <w:rsid w:val="00131F4D"/>
    <w:rsid w:val="00132BB5"/>
    <w:rsid w:val="00132E40"/>
    <w:rsid w:val="00133172"/>
    <w:rsid w:val="001333A3"/>
    <w:rsid w:val="0013352E"/>
    <w:rsid w:val="001337DC"/>
    <w:rsid w:val="001337F0"/>
    <w:rsid w:val="00133899"/>
    <w:rsid w:val="00133C15"/>
    <w:rsid w:val="00133F39"/>
    <w:rsid w:val="0013446C"/>
    <w:rsid w:val="001347E2"/>
    <w:rsid w:val="00134978"/>
    <w:rsid w:val="00134A4C"/>
    <w:rsid w:val="001350F6"/>
    <w:rsid w:val="00135757"/>
    <w:rsid w:val="0013576D"/>
    <w:rsid w:val="0013587E"/>
    <w:rsid w:val="00135E6D"/>
    <w:rsid w:val="00135F46"/>
    <w:rsid w:val="00136025"/>
    <w:rsid w:val="001365B7"/>
    <w:rsid w:val="0013735C"/>
    <w:rsid w:val="00137531"/>
    <w:rsid w:val="001378C5"/>
    <w:rsid w:val="00140018"/>
    <w:rsid w:val="001402FF"/>
    <w:rsid w:val="001403EA"/>
    <w:rsid w:val="001405D3"/>
    <w:rsid w:val="001408A3"/>
    <w:rsid w:val="00140CAB"/>
    <w:rsid w:val="00140DEC"/>
    <w:rsid w:val="00140F70"/>
    <w:rsid w:val="001415A2"/>
    <w:rsid w:val="00141EFE"/>
    <w:rsid w:val="00141F7C"/>
    <w:rsid w:val="00141F97"/>
    <w:rsid w:val="00142D44"/>
    <w:rsid w:val="00142DB8"/>
    <w:rsid w:val="00142FCD"/>
    <w:rsid w:val="001435E3"/>
    <w:rsid w:val="001436C1"/>
    <w:rsid w:val="001437FC"/>
    <w:rsid w:val="001438DA"/>
    <w:rsid w:val="001440C5"/>
    <w:rsid w:val="0014432E"/>
    <w:rsid w:val="0014450A"/>
    <w:rsid w:val="00144673"/>
    <w:rsid w:val="00144AD4"/>
    <w:rsid w:val="001455D2"/>
    <w:rsid w:val="001464A1"/>
    <w:rsid w:val="0014792D"/>
    <w:rsid w:val="001479E7"/>
    <w:rsid w:val="00147DD9"/>
    <w:rsid w:val="00147F68"/>
    <w:rsid w:val="00150362"/>
    <w:rsid w:val="00150ABB"/>
    <w:rsid w:val="00150F64"/>
    <w:rsid w:val="001510A6"/>
    <w:rsid w:val="001512B7"/>
    <w:rsid w:val="00151397"/>
    <w:rsid w:val="00151443"/>
    <w:rsid w:val="001515C2"/>
    <w:rsid w:val="001515D4"/>
    <w:rsid w:val="001518D4"/>
    <w:rsid w:val="00151E2C"/>
    <w:rsid w:val="00152703"/>
    <w:rsid w:val="00152CD5"/>
    <w:rsid w:val="00152DEE"/>
    <w:rsid w:val="00153974"/>
    <w:rsid w:val="00153A8B"/>
    <w:rsid w:val="001546A9"/>
    <w:rsid w:val="00154C55"/>
    <w:rsid w:val="00154EA1"/>
    <w:rsid w:val="0015513E"/>
    <w:rsid w:val="001552A5"/>
    <w:rsid w:val="001555CA"/>
    <w:rsid w:val="00155CE6"/>
    <w:rsid w:val="0015659D"/>
    <w:rsid w:val="00156DD1"/>
    <w:rsid w:val="00156FCA"/>
    <w:rsid w:val="00157BF7"/>
    <w:rsid w:val="00157EC4"/>
    <w:rsid w:val="00157ECC"/>
    <w:rsid w:val="0016025A"/>
    <w:rsid w:val="001602C9"/>
    <w:rsid w:val="00160AAA"/>
    <w:rsid w:val="00161012"/>
    <w:rsid w:val="0016142C"/>
    <w:rsid w:val="00161526"/>
    <w:rsid w:val="001618D7"/>
    <w:rsid w:val="00161DA7"/>
    <w:rsid w:val="001628C4"/>
    <w:rsid w:val="00162D63"/>
    <w:rsid w:val="001630D5"/>
    <w:rsid w:val="00163356"/>
    <w:rsid w:val="00163604"/>
    <w:rsid w:val="00163ABA"/>
    <w:rsid w:val="00163BD6"/>
    <w:rsid w:val="00163CF0"/>
    <w:rsid w:val="0016411D"/>
    <w:rsid w:val="00164B84"/>
    <w:rsid w:val="00165A7C"/>
    <w:rsid w:val="001667B5"/>
    <w:rsid w:val="00166E9F"/>
    <w:rsid w:val="00167013"/>
    <w:rsid w:val="00167707"/>
    <w:rsid w:val="00167E20"/>
    <w:rsid w:val="00167F58"/>
    <w:rsid w:val="00170133"/>
    <w:rsid w:val="0017038F"/>
    <w:rsid w:val="00170E65"/>
    <w:rsid w:val="00171107"/>
    <w:rsid w:val="00171931"/>
    <w:rsid w:val="00171D16"/>
    <w:rsid w:val="00172191"/>
    <w:rsid w:val="001721C6"/>
    <w:rsid w:val="001727E0"/>
    <w:rsid w:val="001729AC"/>
    <w:rsid w:val="001729EB"/>
    <w:rsid w:val="00173461"/>
    <w:rsid w:val="001738D1"/>
    <w:rsid w:val="00173BBA"/>
    <w:rsid w:val="00173F9D"/>
    <w:rsid w:val="00174A68"/>
    <w:rsid w:val="00174C63"/>
    <w:rsid w:val="0017547F"/>
    <w:rsid w:val="001758A7"/>
    <w:rsid w:val="00176065"/>
    <w:rsid w:val="0017639A"/>
    <w:rsid w:val="001769F5"/>
    <w:rsid w:val="00176C1D"/>
    <w:rsid w:val="00176F9B"/>
    <w:rsid w:val="00177294"/>
    <w:rsid w:val="00177440"/>
    <w:rsid w:val="0017757D"/>
    <w:rsid w:val="0018015F"/>
    <w:rsid w:val="00180571"/>
    <w:rsid w:val="0018155B"/>
    <w:rsid w:val="001818AB"/>
    <w:rsid w:val="00181BE3"/>
    <w:rsid w:val="00181F28"/>
    <w:rsid w:val="00182106"/>
    <w:rsid w:val="001822E0"/>
    <w:rsid w:val="001823F3"/>
    <w:rsid w:val="0018321C"/>
    <w:rsid w:val="00183432"/>
    <w:rsid w:val="001834F6"/>
    <w:rsid w:val="00183732"/>
    <w:rsid w:val="00183B74"/>
    <w:rsid w:val="00183C26"/>
    <w:rsid w:val="00184566"/>
    <w:rsid w:val="001845E5"/>
    <w:rsid w:val="00184990"/>
    <w:rsid w:val="00184D7C"/>
    <w:rsid w:val="00184E47"/>
    <w:rsid w:val="00184E57"/>
    <w:rsid w:val="001850C8"/>
    <w:rsid w:val="001853CC"/>
    <w:rsid w:val="001853CE"/>
    <w:rsid w:val="001857FF"/>
    <w:rsid w:val="00185DFD"/>
    <w:rsid w:val="00186058"/>
    <w:rsid w:val="00186508"/>
    <w:rsid w:val="00186B22"/>
    <w:rsid w:val="00186D32"/>
    <w:rsid w:val="00186E1C"/>
    <w:rsid w:val="001871DD"/>
    <w:rsid w:val="001872B3"/>
    <w:rsid w:val="0018768B"/>
    <w:rsid w:val="00187787"/>
    <w:rsid w:val="00187A03"/>
    <w:rsid w:val="00187A79"/>
    <w:rsid w:val="00187D80"/>
    <w:rsid w:val="00190132"/>
    <w:rsid w:val="00190257"/>
    <w:rsid w:val="001904E5"/>
    <w:rsid w:val="00190924"/>
    <w:rsid w:val="00190BA5"/>
    <w:rsid w:val="00190C05"/>
    <w:rsid w:val="00190F15"/>
    <w:rsid w:val="00191303"/>
    <w:rsid w:val="00191504"/>
    <w:rsid w:val="00192266"/>
    <w:rsid w:val="00192541"/>
    <w:rsid w:val="0019261F"/>
    <w:rsid w:val="00192947"/>
    <w:rsid w:val="00192C97"/>
    <w:rsid w:val="00192DA9"/>
    <w:rsid w:val="0019330C"/>
    <w:rsid w:val="001933BF"/>
    <w:rsid w:val="00193773"/>
    <w:rsid w:val="00193905"/>
    <w:rsid w:val="00193A8D"/>
    <w:rsid w:val="00194211"/>
    <w:rsid w:val="00194A7F"/>
    <w:rsid w:val="00194C72"/>
    <w:rsid w:val="001955B0"/>
    <w:rsid w:val="00195A87"/>
    <w:rsid w:val="001962B7"/>
    <w:rsid w:val="00196311"/>
    <w:rsid w:val="00196EE3"/>
    <w:rsid w:val="00196FB1"/>
    <w:rsid w:val="00197961"/>
    <w:rsid w:val="00197977"/>
    <w:rsid w:val="00197B7D"/>
    <w:rsid w:val="00197FE3"/>
    <w:rsid w:val="001A0030"/>
    <w:rsid w:val="001A012A"/>
    <w:rsid w:val="001A07EA"/>
    <w:rsid w:val="001A0C60"/>
    <w:rsid w:val="001A0D77"/>
    <w:rsid w:val="001A0DFC"/>
    <w:rsid w:val="001A0F07"/>
    <w:rsid w:val="001A102C"/>
    <w:rsid w:val="001A127D"/>
    <w:rsid w:val="001A1E62"/>
    <w:rsid w:val="001A2165"/>
    <w:rsid w:val="001A22C7"/>
    <w:rsid w:val="001A2481"/>
    <w:rsid w:val="001A328E"/>
    <w:rsid w:val="001A34A3"/>
    <w:rsid w:val="001A3AD5"/>
    <w:rsid w:val="001A4337"/>
    <w:rsid w:val="001A470F"/>
    <w:rsid w:val="001A4946"/>
    <w:rsid w:val="001A5043"/>
    <w:rsid w:val="001A579A"/>
    <w:rsid w:val="001A59E7"/>
    <w:rsid w:val="001A62DC"/>
    <w:rsid w:val="001A6491"/>
    <w:rsid w:val="001A708A"/>
    <w:rsid w:val="001A7120"/>
    <w:rsid w:val="001A747B"/>
    <w:rsid w:val="001A760F"/>
    <w:rsid w:val="001A77BA"/>
    <w:rsid w:val="001A7858"/>
    <w:rsid w:val="001A7A53"/>
    <w:rsid w:val="001A7B33"/>
    <w:rsid w:val="001A7B92"/>
    <w:rsid w:val="001B04E8"/>
    <w:rsid w:val="001B079B"/>
    <w:rsid w:val="001B07C3"/>
    <w:rsid w:val="001B12B0"/>
    <w:rsid w:val="001B1870"/>
    <w:rsid w:val="001B18E0"/>
    <w:rsid w:val="001B1F60"/>
    <w:rsid w:val="001B2072"/>
    <w:rsid w:val="001B35E6"/>
    <w:rsid w:val="001B3B85"/>
    <w:rsid w:val="001B3C2B"/>
    <w:rsid w:val="001B3D1A"/>
    <w:rsid w:val="001B41C4"/>
    <w:rsid w:val="001B43ED"/>
    <w:rsid w:val="001B45B0"/>
    <w:rsid w:val="001B47D8"/>
    <w:rsid w:val="001B4A4B"/>
    <w:rsid w:val="001B4CAD"/>
    <w:rsid w:val="001B4CEB"/>
    <w:rsid w:val="001B4FCA"/>
    <w:rsid w:val="001B5005"/>
    <w:rsid w:val="001B5150"/>
    <w:rsid w:val="001B5785"/>
    <w:rsid w:val="001B592A"/>
    <w:rsid w:val="001B615F"/>
    <w:rsid w:val="001B634C"/>
    <w:rsid w:val="001B7008"/>
    <w:rsid w:val="001B73D1"/>
    <w:rsid w:val="001B7543"/>
    <w:rsid w:val="001B7A8A"/>
    <w:rsid w:val="001B7BDD"/>
    <w:rsid w:val="001B7D3D"/>
    <w:rsid w:val="001B7D4C"/>
    <w:rsid w:val="001B7F51"/>
    <w:rsid w:val="001C1341"/>
    <w:rsid w:val="001C1769"/>
    <w:rsid w:val="001C1B00"/>
    <w:rsid w:val="001C1B02"/>
    <w:rsid w:val="001C1EE6"/>
    <w:rsid w:val="001C21B8"/>
    <w:rsid w:val="001C2677"/>
    <w:rsid w:val="001C2944"/>
    <w:rsid w:val="001C2978"/>
    <w:rsid w:val="001C2C9E"/>
    <w:rsid w:val="001C2FCC"/>
    <w:rsid w:val="001C30D5"/>
    <w:rsid w:val="001C331D"/>
    <w:rsid w:val="001C4189"/>
    <w:rsid w:val="001C4306"/>
    <w:rsid w:val="001C4333"/>
    <w:rsid w:val="001C436B"/>
    <w:rsid w:val="001C4403"/>
    <w:rsid w:val="001C4538"/>
    <w:rsid w:val="001C4582"/>
    <w:rsid w:val="001C4760"/>
    <w:rsid w:val="001C55C2"/>
    <w:rsid w:val="001C57A8"/>
    <w:rsid w:val="001C58E4"/>
    <w:rsid w:val="001C5DC2"/>
    <w:rsid w:val="001C64E1"/>
    <w:rsid w:val="001C65B2"/>
    <w:rsid w:val="001C6A2D"/>
    <w:rsid w:val="001C6AC2"/>
    <w:rsid w:val="001C6CAD"/>
    <w:rsid w:val="001C6DA3"/>
    <w:rsid w:val="001C70A4"/>
    <w:rsid w:val="001C7851"/>
    <w:rsid w:val="001C7D73"/>
    <w:rsid w:val="001C7EA9"/>
    <w:rsid w:val="001D034A"/>
    <w:rsid w:val="001D0473"/>
    <w:rsid w:val="001D0A3D"/>
    <w:rsid w:val="001D0AEC"/>
    <w:rsid w:val="001D0B2E"/>
    <w:rsid w:val="001D0BB7"/>
    <w:rsid w:val="001D0EE7"/>
    <w:rsid w:val="001D1016"/>
    <w:rsid w:val="001D1143"/>
    <w:rsid w:val="001D187A"/>
    <w:rsid w:val="001D1CE6"/>
    <w:rsid w:val="001D1DAB"/>
    <w:rsid w:val="001D1EAE"/>
    <w:rsid w:val="001D1EE3"/>
    <w:rsid w:val="001D2059"/>
    <w:rsid w:val="001D2320"/>
    <w:rsid w:val="001D2554"/>
    <w:rsid w:val="001D2AD4"/>
    <w:rsid w:val="001D2C3D"/>
    <w:rsid w:val="001D2EB2"/>
    <w:rsid w:val="001D356B"/>
    <w:rsid w:val="001D3E14"/>
    <w:rsid w:val="001D40DE"/>
    <w:rsid w:val="001D41BC"/>
    <w:rsid w:val="001D4942"/>
    <w:rsid w:val="001D52EA"/>
    <w:rsid w:val="001D53B3"/>
    <w:rsid w:val="001D60E3"/>
    <w:rsid w:val="001D6592"/>
    <w:rsid w:val="001D6731"/>
    <w:rsid w:val="001D67AC"/>
    <w:rsid w:val="001D6924"/>
    <w:rsid w:val="001D6991"/>
    <w:rsid w:val="001D711E"/>
    <w:rsid w:val="001D7445"/>
    <w:rsid w:val="001D7BF7"/>
    <w:rsid w:val="001D7C77"/>
    <w:rsid w:val="001D7E83"/>
    <w:rsid w:val="001E00E3"/>
    <w:rsid w:val="001E03FD"/>
    <w:rsid w:val="001E0957"/>
    <w:rsid w:val="001E0BD2"/>
    <w:rsid w:val="001E0DC7"/>
    <w:rsid w:val="001E1A72"/>
    <w:rsid w:val="001E1B1E"/>
    <w:rsid w:val="001E1C28"/>
    <w:rsid w:val="001E1F1B"/>
    <w:rsid w:val="001E2183"/>
    <w:rsid w:val="001E2370"/>
    <w:rsid w:val="001E2A5D"/>
    <w:rsid w:val="001E30BC"/>
    <w:rsid w:val="001E30C0"/>
    <w:rsid w:val="001E3168"/>
    <w:rsid w:val="001E34E8"/>
    <w:rsid w:val="001E3556"/>
    <w:rsid w:val="001E369A"/>
    <w:rsid w:val="001E3826"/>
    <w:rsid w:val="001E3848"/>
    <w:rsid w:val="001E3E64"/>
    <w:rsid w:val="001E4891"/>
    <w:rsid w:val="001E4D5B"/>
    <w:rsid w:val="001E54D5"/>
    <w:rsid w:val="001E55F2"/>
    <w:rsid w:val="001E6517"/>
    <w:rsid w:val="001E6694"/>
    <w:rsid w:val="001E6E84"/>
    <w:rsid w:val="001E6FEF"/>
    <w:rsid w:val="001E70F9"/>
    <w:rsid w:val="001E72C3"/>
    <w:rsid w:val="001E73E5"/>
    <w:rsid w:val="001E743F"/>
    <w:rsid w:val="001E7A34"/>
    <w:rsid w:val="001E7B47"/>
    <w:rsid w:val="001E7C48"/>
    <w:rsid w:val="001F05BC"/>
    <w:rsid w:val="001F06D0"/>
    <w:rsid w:val="001F0843"/>
    <w:rsid w:val="001F0BEF"/>
    <w:rsid w:val="001F1288"/>
    <w:rsid w:val="001F15A4"/>
    <w:rsid w:val="001F1933"/>
    <w:rsid w:val="001F2298"/>
    <w:rsid w:val="001F2328"/>
    <w:rsid w:val="001F31EA"/>
    <w:rsid w:val="001F32C5"/>
    <w:rsid w:val="001F338F"/>
    <w:rsid w:val="001F353B"/>
    <w:rsid w:val="001F379D"/>
    <w:rsid w:val="001F3927"/>
    <w:rsid w:val="001F3AF2"/>
    <w:rsid w:val="001F3AF5"/>
    <w:rsid w:val="001F3E38"/>
    <w:rsid w:val="001F3FA8"/>
    <w:rsid w:val="001F40C1"/>
    <w:rsid w:val="001F452B"/>
    <w:rsid w:val="001F4BCD"/>
    <w:rsid w:val="001F5301"/>
    <w:rsid w:val="001F5312"/>
    <w:rsid w:val="001F552E"/>
    <w:rsid w:val="001F5A5F"/>
    <w:rsid w:val="001F6271"/>
    <w:rsid w:val="001F6BF6"/>
    <w:rsid w:val="001F6E11"/>
    <w:rsid w:val="001F70FF"/>
    <w:rsid w:val="001F7319"/>
    <w:rsid w:val="001F73E6"/>
    <w:rsid w:val="001F780D"/>
    <w:rsid w:val="001F794A"/>
    <w:rsid w:val="001F7FC1"/>
    <w:rsid w:val="002001EB"/>
    <w:rsid w:val="002008CC"/>
    <w:rsid w:val="00201707"/>
    <w:rsid w:val="002019EA"/>
    <w:rsid w:val="00201AF1"/>
    <w:rsid w:val="00201C41"/>
    <w:rsid w:val="00201F10"/>
    <w:rsid w:val="0020217D"/>
    <w:rsid w:val="0020251B"/>
    <w:rsid w:val="002026AD"/>
    <w:rsid w:val="002027C8"/>
    <w:rsid w:val="00202A4E"/>
    <w:rsid w:val="00202AB9"/>
    <w:rsid w:val="00202E19"/>
    <w:rsid w:val="00203196"/>
    <w:rsid w:val="00203855"/>
    <w:rsid w:val="00204497"/>
    <w:rsid w:val="002049C9"/>
    <w:rsid w:val="00204DE5"/>
    <w:rsid w:val="00205251"/>
    <w:rsid w:val="002053A3"/>
    <w:rsid w:val="00205587"/>
    <w:rsid w:val="002059F7"/>
    <w:rsid w:val="00205CED"/>
    <w:rsid w:val="00205D12"/>
    <w:rsid w:val="00205D6A"/>
    <w:rsid w:val="002062D3"/>
    <w:rsid w:val="0020666A"/>
    <w:rsid w:val="0020704B"/>
    <w:rsid w:val="00207276"/>
    <w:rsid w:val="0020738E"/>
    <w:rsid w:val="002076A6"/>
    <w:rsid w:val="00207943"/>
    <w:rsid w:val="002079B1"/>
    <w:rsid w:val="00207BDD"/>
    <w:rsid w:val="0021002A"/>
    <w:rsid w:val="002100F1"/>
    <w:rsid w:val="00210199"/>
    <w:rsid w:val="00210324"/>
    <w:rsid w:val="002104C0"/>
    <w:rsid w:val="0021091E"/>
    <w:rsid w:val="00210B9E"/>
    <w:rsid w:val="002114E0"/>
    <w:rsid w:val="00211867"/>
    <w:rsid w:val="00211928"/>
    <w:rsid w:val="00211C42"/>
    <w:rsid w:val="0021211B"/>
    <w:rsid w:val="00212568"/>
    <w:rsid w:val="002131D4"/>
    <w:rsid w:val="002134D2"/>
    <w:rsid w:val="00213545"/>
    <w:rsid w:val="00213724"/>
    <w:rsid w:val="00213BFB"/>
    <w:rsid w:val="00213C05"/>
    <w:rsid w:val="002140C4"/>
    <w:rsid w:val="002147B6"/>
    <w:rsid w:val="00214838"/>
    <w:rsid w:val="00214999"/>
    <w:rsid w:val="00214C5A"/>
    <w:rsid w:val="00214D58"/>
    <w:rsid w:val="00214D8A"/>
    <w:rsid w:val="0021610F"/>
    <w:rsid w:val="00216397"/>
    <w:rsid w:val="002163F8"/>
    <w:rsid w:val="00216753"/>
    <w:rsid w:val="002168DB"/>
    <w:rsid w:val="002169AE"/>
    <w:rsid w:val="002169B0"/>
    <w:rsid w:val="00216D95"/>
    <w:rsid w:val="00216E34"/>
    <w:rsid w:val="00217481"/>
    <w:rsid w:val="00217986"/>
    <w:rsid w:val="00217D5D"/>
    <w:rsid w:val="00217DCC"/>
    <w:rsid w:val="002201F0"/>
    <w:rsid w:val="00220674"/>
    <w:rsid w:val="00220B0B"/>
    <w:rsid w:val="00220D45"/>
    <w:rsid w:val="00221947"/>
    <w:rsid w:val="00221AD9"/>
    <w:rsid w:val="00221D3A"/>
    <w:rsid w:val="002221FF"/>
    <w:rsid w:val="002223A7"/>
    <w:rsid w:val="0022263F"/>
    <w:rsid w:val="002229EA"/>
    <w:rsid w:val="00222B9C"/>
    <w:rsid w:val="00222F0D"/>
    <w:rsid w:val="002233DF"/>
    <w:rsid w:val="00223722"/>
    <w:rsid w:val="00223CAA"/>
    <w:rsid w:val="00224075"/>
    <w:rsid w:val="0022409A"/>
    <w:rsid w:val="0022463B"/>
    <w:rsid w:val="002246D7"/>
    <w:rsid w:val="00224726"/>
    <w:rsid w:val="0022473A"/>
    <w:rsid w:val="00224F14"/>
    <w:rsid w:val="00225A22"/>
    <w:rsid w:val="002262DB"/>
    <w:rsid w:val="00226C76"/>
    <w:rsid w:val="00226CE5"/>
    <w:rsid w:val="00227243"/>
    <w:rsid w:val="0022751B"/>
    <w:rsid w:val="002275AD"/>
    <w:rsid w:val="00227709"/>
    <w:rsid w:val="0022772A"/>
    <w:rsid w:val="00227D6C"/>
    <w:rsid w:val="00227EC0"/>
    <w:rsid w:val="00227ECF"/>
    <w:rsid w:val="0023006B"/>
    <w:rsid w:val="002309CF"/>
    <w:rsid w:val="00230D90"/>
    <w:rsid w:val="00231244"/>
    <w:rsid w:val="00231389"/>
    <w:rsid w:val="00231A00"/>
    <w:rsid w:val="00232964"/>
    <w:rsid w:val="00232988"/>
    <w:rsid w:val="00232FEE"/>
    <w:rsid w:val="00233443"/>
    <w:rsid w:val="00233C99"/>
    <w:rsid w:val="00233F79"/>
    <w:rsid w:val="002340A4"/>
    <w:rsid w:val="002340BF"/>
    <w:rsid w:val="00234317"/>
    <w:rsid w:val="002343EB"/>
    <w:rsid w:val="002346E0"/>
    <w:rsid w:val="00234778"/>
    <w:rsid w:val="00234780"/>
    <w:rsid w:val="00234FD3"/>
    <w:rsid w:val="00235208"/>
    <w:rsid w:val="00235BCA"/>
    <w:rsid w:val="00235E3C"/>
    <w:rsid w:val="00236275"/>
    <w:rsid w:val="002365F1"/>
    <w:rsid w:val="0023747A"/>
    <w:rsid w:val="00237AAF"/>
    <w:rsid w:val="002405AB"/>
    <w:rsid w:val="002406ED"/>
    <w:rsid w:val="002408BE"/>
    <w:rsid w:val="00240B07"/>
    <w:rsid w:val="00240CD2"/>
    <w:rsid w:val="00242226"/>
    <w:rsid w:val="0024243D"/>
    <w:rsid w:val="00242AB0"/>
    <w:rsid w:val="00242DDB"/>
    <w:rsid w:val="00243046"/>
    <w:rsid w:val="002436E2"/>
    <w:rsid w:val="00243B13"/>
    <w:rsid w:val="00244BFA"/>
    <w:rsid w:val="00245087"/>
    <w:rsid w:val="002453B8"/>
    <w:rsid w:val="00245481"/>
    <w:rsid w:val="00245C2D"/>
    <w:rsid w:val="00245EE3"/>
    <w:rsid w:val="002466A2"/>
    <w:rsid w:val="002467D5"/>
    <w:rsid w:val="002471E6"/>
    <w:rsid w:val="002474DE"/>
    <w:rsid w:val="0024761C"/>
    <w:rsid w:val="00247960"/>
    <w:rsid w:val="002479FC"/>
    <w:rsid w:val="00247CF1"/>
    <w:rsid w:val="0025007D"/>
    <w:rsid w:val="0025055F"/>
    <w:rsid w:val="00250F73"/>
    <w:rsid w:val="00250FB0"/>
    <w:rsid w:val="00251569"/>
    <w:rsid w:val="00251777"/>
    <w:rsid w:val="00251AC7"/>
    <w:rsid w:val="00251B1C"/>
    <w:rsid w:val="00251FFD"/>
    <w:rsid w:val="00252A19"/>
    <w:rsid w:val="00252B9E"/>
    <w:rsid w:val="00252BA0"/>
    <w:rsid w:val="00252CA9"/>
    <w:rsid w:val="00253858"/>
    <w:rsid w:val="00253A2D"/>
    <w:rsid w:val="00253B03"/>
    <w:rsid w:val="00253FBE"/>
    <w:rsid w:val="0025436A"/>
    <w:rsid w:val="002545A4"/>
    <w:rsid w:val="00254B54"/>
    <w:rsid w:val="00254EF8"/>
    <w:rsid w:val="00255302"/>
    <w:rsid w:val="00255E09"/>
    <w:rsid w:val="00256122"/>
    <w:rsid w:val="00256282"/>
    <w:rsid w:val="002562A4"/>
    <w:rsid w:val="00256607"/>
    <w:rsid w:val="002566B0"/>
    <w:rsid w:val="002569FB"/>
    <w:rsid w:val="00256B33"/>
    <w:rsid w:val="00257950"/>
    <w:rsid w:val="002579D5"/>
    <w:rsid w:val="00257B93"/>
    <w:rsid w:val="00257C56"/>
    <w:rsid w:val="00260080"/>
    <w:rsid w:val="00260352"/>
    <w:rsid w:val="0026075E"/>
    <w:rsid w:val="00260855"/>
    <w:rsid w:val="00260A5D"/>
    <w:rsid w:val="00260DB5"/>
    <w:rsid w:val="00261D58"/>
    <w:rsid w:val="00261EA1"/>
    <w:rsid w:val="00262029"/>
    <w:rsid w:val="002620CE"/>
    <w:rsid w:val="00262400"/>
    <w:rsid w:val="0026252D"/>
    <w:rsid w:val="002629B2"/>
    <w:rsid w:val="00262B54"/>
    <w:rsid w:val="00263201"/>
    <w:rsid w:val="002641B9"/>
    <w:rsid w:val="00264501"/>
    <w:rsid w:val="002645A1"/>
    <w:rsid w:val="00264604"/>
    <w:rsid w:val="002649A7"/>
    <w:rsid w:val="00264C17"/>
    <w:rsid w:val="00264CC5"/>
    <w:rsid w:val="002651D1"/>
    <w:rsid w:val="002652C9"/>
    <w:rsid w:val="00265771"/>
    <w:rsid w:val="00265CA4"/>
    <w:rsid w:val="0026601F"/>
    <w:rsid w:val="0026609F"/>
    <w:rsid w:val="002660E7"/>
    <w:rsid w:val="0026611E"/>
    <w:rsid w:val="002661AB"/>
    <w:rsid w:val="0026638E"/>
    <w:rsid w:val="0026647B"/>
    <w:rsid w:val="0026647C"/>
    <w:rsid w:val="002664F0"/>
    <w:rsid w:val="00266D56"/>
    <w:rsid w:val="00266D66"/>
    <w:rsid w:val="002671B1"/>
    <w:rsid w:val="00267361"/>
    <w:rsid w:val="002674A3"/>
    <w:rsid w:val="00267558"/>
    <w:rsid w:val="002675E5"/>
    <w:rsid w:val="002679D8"/>
    <w:rsid w:val="00267C96"/>
    <w:rsid w:val="00267D0D"/>
    <w:rsid w:val="0027016A"/>
    <w:rsid w:val="00270289"/>
    <w:rsid w:val="0027052A"/>
    <w:rsid w:val="00270845"/>
    <w:rsid w:val="00270C2C"/>
    <w:rsid w:val="00271428"/>
    <w:rsid w:val="00271708"/>
    <w:rsid w:val="002718D7"/>
    <w:rsid w:val="0027198E"/>
    <w:rsid w:val="00271E48"/>
    <w:rsid w:val="002725A5"/>
    <w:rsid w:val="00272601"/>
    <w:rsid w:val="0027267E"/>
    <w:rsid w:val="00272AD0"/>
    <w:rsid w:val="00273215"/>
    <w:rsid w:val="002732D7"/>
    <w:rsid w:val="002733EA"/>
    <w:rsid w:val="00273620"/>
    <w:rsid w:val="00273E87"/>
    <w:rsid w:val="00274762"/>
    <w:rsid w:val="00274A9A"/>
    <w:rsid w:val="00274AA7"/>
    <w:rsid w:val="00275583"/>
    <w:rsid w:val="00275586"/>
    <w:rsid w:val="002755B1"/>
    <w:rsid w:val="00275677"/>
    <w:rsid w:val="00275987"/>
    <w:rsid w:val="00275AAC"/>
    <w:rsid w:val="00275DF1"/>
    <w:rsid w:val="00276132"/>
    <w:rsid w:val="00276716"/>
    <w:rsid w:val="00276F31"/>
    <w:rsid w:val="00276F84"/>
    <w:rsid w:val="00277245"/>
    <w:rsid w:val="00277947"/>
    <w:rsid w:val="00277C73"/>
    <w:rsid w:val="0028029A"/>
    <w:rsid w:val="00281193"/>
    <w:rsid w:val="0028157D"/>
    <w:rsid w:val="00281CD9"/>
    <w:rsid w:val="00282909"/>
    <w:rsid w:val="0028299C"/>
    <w:rsid w:val="00282F40"/>
    <w:rsid w:val="0028303F"/>
    <w:rsid w:val="002832C1"/>
    <w:rsid w:val="002834ED"/>
    <w:rsid w:val="00283B52"/>
    <w:rsid w:val="00283B53"/>
    <w:rsid w:val="00283F7D"/>
    <w:rsid w:val="002840A0"/>
    <w:rsid w:val="0028454C"/>
    <w:rsid w:val="002847B4"/>
    <w:rsid w:val="0028493E"/>
    <w:rsid w:val="00284C12"/>
    <w:rsid w:val="00284C16"/>
    <w:rsid w:val="00284DA3"/>
    <w:rsid w:val="002856AD"/>
    <w:rsid w:val="0028594F"/>
    <w:rsid w:val="00285B89"/>
    <w:rsid w:val="00286451"/>
    <w:rsid w:val="0028766C"/>
    <w:rsid w:val="00287694"/>
    <w:rsid w:val="00287BBE"/>
    <w:rsid w:val="00287D2D"/>
    <w:rsid w:val="00287D7F"/>
    <w:rsid w:val="002904BC"/>
    <w:rsid w:val="00290644"/>
    <w:rsid w:val="00290749"/>
    <w:rsid w:val="00290846"/>
    <w:rsid w:val="002911C7"/>
    <w:rsid w:val="002914C1"/>
    <w:rsid w:val="00291948"/>
    <w:rsid w:val="00292144"/>
    <w:rsid w:val="00292430"/>
    <w:rsid w:val="002928C0"/>
    <w:rsid w:val="00292ABB"/>
    <w:rsid w:val="002930EE"/>
    <w:rsid w:val="00293304"/>
    <w:rsid w:val="0029335A"/>
    <w:rsid w:val="00293549"/>
    <w:rsid w:val="002938E6"/>
    <w:rsid w:val="0029407F"/>
    <w:rsid w:val="002943FD"/>
    <w:rsid w:val="00294CB0"/>
    <w:rsid w:val="0029543C"/>
    <w:rsid w:val="0029566F"/>
    <w:rsid w:val="00295696"/>
    <w:rsid w:val="00295E24"/>
    <w:rsid w:val="0029628E"/>
    <w:rsid w:val="0029650A"/>
    <w:rsid w:val="002970B0"/>
    <w:rsid w:val="002A0241"/>
    <w:rsid w:val="002A0488"/>
    <w:rsid w:val="002A0495"/>
    <w:rsid w:val="002A14C7"/>
    <w:rsid w:val="002A1614"/>
    <w:rsid w:val="002A16D8"/>
    <w:rsid w:val="002A17D6"/>
    <w:rsid w:val="002A1C73"/>
    <w:rsid w:val="002A1D1B"/>
    <w:rsid w:val="002A2E47"/>
    <w:rsid w:val="002A30C0"/>
    <w:rsid w:val="002A3712"/>
    <w:rsid w:val="002A3945"/>
    <w:rsid w:val="002A3BC6"/>
    <w:rsid w:val="002A4016"/>
    <w:rsid w:val="002A40B9"/>
    <w:rsid w:val="002A58C1"/>
    <w:rsid w:val="002A5AEA"/>
    <w:rsid w:val="002A5B68"/>
    <w:rsid w:val="002A5BEE"/>
    <w:rsid w:val="002A6280"/>
    <w:rsid w:val="002A66F6"/>
    <w:rsid w:val="002A6765"/>
    <w:rsid w:val="002A6CBE"/>
    <w:rsid w:val="002A7150"/>
    <w:rsid w:val="002A784D"/>
    <w:rsid w:val="002A7D30"/>
    <w:rsid w:val="002A7D73"/>
    <w:rsid w:val="002A7EFE"/>
    <w:rsid w:val="002B0088"/>
    <w:rsid w:val="002B014F"/>
    <w:rsid w:val="002B13AA"/>
    <w:rsid w:val="002B1ED0"/>
    <w:rsid w:val="002B1FFD"/>
    <w:rsid w:val="002B2034"/>
    <w:rsid w:val="002B2ED9"/>
    <w:rsid w:val="002B3271"/>
    <w:rsid w:val="002B338A"/>
    <w:rsid w:val="002B3580"/>
    <w:rsid w:val="002B392C"/>
    <w:rsid w:val="002B3F68"/>
    <w:rsid w:val="002B4354"/>
    <w:rsid w:val="002B4571"/>
    <w:rsid w:val="002B4772"/>
    <w:rsid w:val="002B4A3B"/>
    <w:rsid w:val="002B524B"/>
    <w:rsid w:val="002B52CB"/>
    <w:rsid w:val="002B5330"/>
    <w:rsid w:val="002B5ACC"/>
    <w:rsid w:val="002B62FB"/>
    <w:rsid w:val="002B6331"/>
    <w:rsid w:val="002B71EF"/>
    <w:rsid w:val="002B7203"/>
    <w:rsid w:val="002B75C8"/>
    <w:rsid w:val="002B7CCA"/>
    <w:rsid w:val="002B7E9D"/>
    <w:rsid w:val="002C0562"/>
    <w:rsid w:val="002C0705"/>
    <w:rsid w:val="002C07AF"/>
    <w:rsid w:val="002C09BC"/>
    <w:rsid w:val="002C0F7C"/>
    <w:rsid w:val="002C1124"/>
    <w:rsid w:val="002C1182"/>
    <w:rsid w:val="002C17B4"/>
    <w:rsid w:val="002C196A"/>
    <w:rsid w:val="002C1CF3"/>
    <w:rsid w:val="002C20E1"/>
    <w:rsid w:val="002C2325"/>
    <w:rsid w:val="002C2BD0"/>
    <w:rsid w:val="002C329F"/>
    <w:rsid w:val="002C3862"/>
    <w:rsid w:val="002C40AF"/>
    <w:rsid w:val="002C427F"/>
    <w:rsid w:val="002C43E0"/>
    <w:rsid w:val="002C4562"/>
    <w:rsid w:val="002C4631"/>
    <w:rsid w:val="002C4F17"/>
    <w:rsid w:val="002C55B7"/>
    <w:rsid w:val="002C6305"/>
    <w:rsid w:val="002C640A"/>
    <w:rsid w:val="002C6C63"/>
    <w:rsid w:val="002C73E3"/>
    <w:rsid w:val="002C740C"/>
    <w:rsid w:val="002C78C6"/>
    <w:rsid w:val="002C7A16"/>
    <w:rsid w:val="002C7A2E"/>
    <w:rsid w:val="002C7B31"/>
    <w:rsid w:val="002C7BCE"/>
    <w:rsid w:val="002D0C5D"/>
    <w:rsid w:val="002D0D0C"/>
    <w:rsid w:val="002D1218"/>
    <w:rsid w:val="002D155F"/>
    <w:rsid w:val="002D196E"/>
    <w:rsid w:val="002D208C"/>
    <w:rsid w:val="002D2250"/>
    <w:rsid w:val="002D22EA"/>
    <w:rsid w:val="002D2509"/>
    <w:rsid w:val="002D3074"/>
    <w:rsid w:val="002D38B1"/>
    <w:rsid w:val="002D40E4"/>
    <w:rsid w:val="002D450F"/>
    <w:rsid w:val="002D489B"/>
    <w:rsid w:val="002D48DE"/>
    <w:rsid w:val="002D5447"/>
    <w:rsid w:val="002D5655"/>
    <w:rsid w:val="002D581E"/>
    <w:rsid w:val="002D58EA"/>
    <w:rsid w:val="002D5EF4"/>
    <w:rsid w:val="002D62B8"/>
    <w:rsid w:val="002D6A0B"/>
    <w:rsid w:val="002D7181"/>
    <w:rsid w:val="002D72F1"/>
    <w:rsid w:val="002D765B"/>
    <w:rsid w:val="002D7AD4"/>
    <w:rsid w:val="002D7D90"/>
    <w:rsid w:val="002D7DE9"/>
    <w:rsid w:val="002E0690"/>
    <w:rsid w:val="002E0B4C"/>
    <w:rsid w:val="002E1007"/>
    <w:rsid w:val="002E12B0"/>
    <w:rsid w:val="002E264E"/>
    <w:rsid w:val="002E28B0"/>
    <w:rsid w:val="002E2913"/>
    <w:rsid w:val="002E2E04"/>
    <w:rsid w:val="002E2E8A"/>
    <w:rsid w:val="002E3748"/>
    <w:rsid w:val="002E390A"/>
    <w:rsid w:val="002E48AD"/>
    <w:rsid w:val="002E4CC0"/>
    <w:rsid w:val="002E4E02"/>
    <w:rsid w:val="002E4F33"/>
    <w:rsid w:val="002E4FA3"/>
    <w:rsid w:val="002E4FDC"/>
    <w:rsid w:val="002E5118"/>
    <w:rsid w:val="002E5354"/>
    <w:rsid w:val="002E5442"/>
    <w:rsid w:val="002E54EB"/>
    <w:rsid w:val="002E5A0E"/>
    <w:rsid w:val="002E6034"/>
    <w:rsid w:val="002E61C5"/>
    <w:rsid w:val="002E61F5"/>
    <w:rsid w:val="002E6333"/>
    <w:rsid w:val="002E64BA"/>
    <w:rsid w:val="002E7AC3"/>
    <w:rsid w:val="002E7B56"/>
    <w:rsid w:val="002E7BAC"/>
    <w:rsid w:val="002E7E6D"/>
    <w:rsid w:val="002F0109"/>
    <w:rsid w:val="002F0262"/>
    <w:rsid w:val="002F0631"/>
    <w:rsid w:val="002F0CDA"/>
    <w:rsid w:val="002F0F07"/>
    <w:rsid w:val="002F11FE"/>
    <w:rsid w:val="002F1733"/>
    <w:rsid w:val="002F1C81"/>
    <w:rsid w:val="002F2141"/>
    <w:rsid w:val="002F281C"/>
    <w:rsid w:val="002F2948"/>
    <w:rsid w:val="002F2B42"/>
    <w:rsid w:val="002F3186"/>
    <w:rsid w:val="002F3439"/>
    <w:rsid w:val="002F3D63"/>
    <w:rsid w:val="002F46A8"/>
    <w:rsid w:val="002F4A4D"/>
    <w:rsid w:val="002F4C10"/>
    <w:rsid w:val="002F4D9B"/>
    <w:rsid w:val="002F56D2"/>
    <w:rsid w:val="002F5762"/>
    <w:rsid w:val="002F59CC"/>
    <w:rsid w:val="002F606C"/>
    <w:rsid w:val="002F612C"/>
    <w:rsid w:val="002F6679"/>
    <w:rsid w:val="002F67F3"/>
    <w:rsid w:val="002F7075"/>
    <w:rsid w:val="002F7264"/>
    <w:rsid w:val="002F76FD"/>
    <w:rsid w:val="002F77F4"/>
    <w:rsid w:val="0030059E"/>
    <w:rsid w:val="003008C0"/>
    <w:rsid w:val="00300E97"/>
    <w:rsid w:val="0030100E"/>
    <w:rsid w:val="003010DE"/>
    <w:rsid w:val="0030150D"/>
    <w:rsid w:val="00301B77"/>
    <w:rsid w:val="00301DAB"/>
    <w:rsid w:val="00301F2E"/>
    <w:rsid w:val="00302742"/>
    <w:rsid w:val="00302DCA"/>
    <w:rsid w:val="00302FE9"/>
    <w:rsid w:val="00303769"/>
    <w:rsid w:val="003037B1"/>
    <w:rsid w:val="00303966"/>
    <w:rsid w:val="00303F0D"/>
    <w:rsid w:val="00304AFE"/>
    <w:rsid w:val="00304BB3"/>
    <w:rsid w:val="003052F9"/>
    <w:rsid w:val="00305871"/>
    <w:rsid w:val="0030590D"/>
    <w:rsid w:val="0030598C"/>
    <w:rsid w:val="00305E33"/>
    <w:rsid w:val="003062BB"/>
    <w:rsid w:val="00306538"/>
    <w:rsid w:val="00306619"/>
    <w:rsid w:val="00306713"/>
    <w:rsid w:val="0030674F"/>
    <w:rsid w:val="0030733A"/>
    <w:rsid w:val="00307983"/>
    <w:rsid w:val="0031019E"/>
    <w:rsid w:val="0031032E"/>
    <w:rsid w:val="003104B9"/>
    <w:rsid w:val="00310D0C"/>
    <w:rsid w:val="0031160C"/>
    <w:rsid w:val="003116CF"/>
    <w:rsid w:val="00311A03"/>
    <w:rsid w:val="0031224D"/>
    <w:rsid w:val="00312355"/>
    <w:rsid w:val="0031248B"/>
    <w:rsid w:val="003130A0"/>
    <w:rsid w:val="00313363"/>
    <w:rsid w:val="00313655"/>
    <w:rsid w:val="00313A23"/>
    <w:rsid w:val="00313A5C"/>
    <w:rsid w:val="00313D0C"/>
    <w:rsid w:val="0031449C"/>
    <w:rsid w:val="0031460E"/>
    <w:rsid w:val="0031481A"/>
    <w:rsid w:val="00314E47"/>
    <w:rsid w:val="00314F71"/>
    <w:rsid w:val="0031520C"/>
    <w:rsid w:val="003153C2"/>
    <w:rsid w:val="00315714"/>
    <w:rsid w:val="00315CDB"/>
    <w:rsid w:val="00315CF6"/>
    <w:rsid w:val="00316139"/>
    <w:rsid w:val="0031674A"/>
    <w:rsid w:val="00316AEF"/>
    <w:rsid w:val="00316AFC"/>
    <w:rsid w:val="003174C6"/>
    <w:rsid w:val="003178CE"/>
    <w:rsid w:val="00317DFC"/>
    <w:rsid w:val="003200F1"/>
    <w:rsid w:val="00320565"/>
    <w:rsid w:val="00320901"/>
    <w:rsid w:val="0032120C"/>
    <w:rsid w:val="00321390"/>
    <w:rsid w:val="00321794"/>
    <w:rsid w:val="0032186A"/>
    <w:rsid w:val="00321F6F"/>
    <w:rsid w:val="0032233A"/>
    <w:rsid w:val="0032237C"/>
    <w:rsid w:val="0032257B"/>
    <w:rsid w:val="00322623"/>
    <w:rsid w:val="00322878"/>
    <w:rsid w:val="003228A5"/>
    <w:rsid w:val="00323013"/>
    <w:rsid w:val="003230EF"/>
    <w:rsid w:val="003231FC"/>
    <w:rsid w:val="00323232"/>
    <w:rsid w:val="00323299"/>
    <w:rsid w:val="00323BFF"/>
    <w:rsid w:val="00323C8B"/>
    <w:rsid w:val="003240E6"/>
    <w:rsid w:val="003242CC"/>
    <w:rsid w:val="003244B0"/>
    <w:rsid w:val="0032452F"/>
    <w:rsid w:val="00324738"/>
    <w:rsid w:val="00324763"/>
    <w:rsid w:val="0032485B"/>
    <w:rsid w:val="00324E61"/>
    <w:rsid w:val="00324EE3"/>
    <w:rsid w:val="00325BBA"/>
    <w:rsid w:val="00325C72"/>
    <w:rsid w:val="00326F78"/>
    <w:rsid w:val="00327ACE"/>
    <w:rsid w:val="00327F03"/>
    <w:rsid w:val="00330738"/>
    <w:rsid w:val="00330ABC"/>
    <w:rsid w:val="00330B63"/>
    <w:rsid w:val="00330F47"/>
    <w:rsid w:val="003312C7"/>
    <w:rsid w:val="0033148E"/>
    <w:rsid w:val="00331559"/>
    <w:rsid w:val="00331672"/>
    <w:rsid w:val="0033216B"/>
    <w:rsid w:val="00332C0C"/>
    <w:rsid w:val="00332C89"/>
    <w:rsid w:val="00332FAD"/>
    <w:rsid w:val="003338C9"/>
    <w:rsid w:val="00333A24"/>
    <w:rsid w:val="00333F59"/>
    <w:rsid w:val="00333FC9"/>
    <w:rsid w:val="003340C5"/>
    <w:rsid w:val="003342DB"/>
    <w:rsid w:val="003347D6"/>
    <w:rsid w:val="003349A6"/>
    <w:rsid w:val="003349F0"/>
    <w:rsid w:val="00334E9C"/>
    <w:rsid w:val="00335732"/>
    <w:rsid w:val="00336332"/>
    <w:rsid w:val="003363B2"/>
    <w:rsid w:val="00336986"/>
    <w:rsid w:val="00336C4C"/>
    <w:rsid w:val="0033724B"/>
    <w:rsid w:val="003377C3"/>
    <w:rsid w:val="00337F29"/>
    <w:rsid w:val="003400D8"/>
    <w:rsid w:val="00340469"/>
    <w:rsid w:val="00340BC0"/>
    <w:rsid w:val="00340C02"/>
    <w:rsid w:val="00340E8E"/>
    <w:rsid w:val="00340F0F"/>
    <w:rsid w:val="00340FEB"/>
    <w:rsid w:val="00341190"/>
    <w:rsid w:val="003411A3"/>
    <w:rsid w:val="00341814"/>
    <w:rsid w:val="00341E84"/>
    <w:rsid w:val="00341FFF"/>
    <w:rsid w:val="003425E8"/>
    <w:rsid w:val="0034278A"/>
    <w:rsid w:val="003428F2"/>
    <w:rsid w:val="0034312E"/>
    <w:rsid w:val="0034353C"/>
    <w:rsid w:val="003443BA"/>
    <w:rsid w:val="00344947"/>
    <w:rsid w:val="00344F26"/>
    <w:rsid w:val="00345409"/>
    <w:rsid w:val="003456E4"/>
    <w:rsid w:val="00345AF8"/>
    <w:rsid w:val="00346955"/>
    <w:rsid w:val="00346EB4"/>
    <w:rsid w:val="0034718D"/>
    <w:rsid w:val="00347BE7"/>
    <w:rsid w:val="00350084"/>
    <w:rsid w:val="0035029C"/>
    <w:rsid w:val="00350A22"/>
    <w:rsid w:val="00350A46"/>
    <w:rsid w:val="00350CF7"/>
    <w:rsid w:val="00350D0C"/>
    <w:rsid w:val="003515D3"/>
    <w:rsid w:val="00351750"/>
    <w:rsid w:val="003522F5"/>
    <w:rsid w:val="00352E75"/>
    <w:rsid w:val="003532CC"/>
    <w:rsid w:val="003534BA"/>
    <w:rsid w:val="0035354F"/>
    <w:rsid w:val="00353D05"/>
    <w:rsid w:val="0035432B"/>
    <w:rsid w:val="00354C5E"/>
    <w:rsid w:val="00354D66"/>
    <w:rsid w:val="003550AC"/>
    <w:rsid w:val="003550E8"/>
    <w:rsid w:val="003551D2"/>
    <w:rsid w:val="003551FF"/>
    <w:rsid w:val="00356245"/>
    <w:rsid w:val="00356263"/>
    <w:rsid w:val="003564DF"/>
    <w:rsid w:val="0035659E"/>
    <w:rsid w:val="00356794"/>
    <w:rsid w:val="00356A0B"/>
    <w:rsid w:val="00356CB9"/>
    <w:rsid w:val="00356DAF"/>
    <w:rsid w:val="00357429"/>
    <w:rsid w:val="003579AF"/>
    <w:rsid w:val="00357C02"/>
    <w:rsid w:val="003605AA"/>
    <w:rsid w:val="00360740"/>
    <w:rsid w:val="003607A4"/>
    <w:rsid w:val="003609F7"/>
    <w:rsid w:val="00361A44"/>
    <w:rsid w:val="00361E92"/>
    <w:rsid w:val="00362061"/>
    <w:rsid w:val="003626E1"/>
    <w:rsid w:val="00362D84"/>
    <w:rsid w:val="00362FCD"/>
    <w:rsid w:val="0036306A"/>
    <w:rsid w:val="00363684"/>
    <w:rsid w:val="00363BEA"/>
    <w:rsid w:val="00363C29"/>
    <w:rsid w:val="00363F4B"/>
    <w:rsid w:val="00364678"/>
    <w:rsid w:val="00364979"/>
    <w:rsid w:val="00364EDF"/>
    <w:rsid w:val="003652CF"/>
    <w:rsid w:val="0036669E"/>
    <w:rsid w:val="00366B9C"/>
    <w:rsid w:val="00366CE3"/>
    <w:rsid w:val="00367363"/>
    <w:rsid w:val="0036794E"/>
    <w:rsid w:val="00367E33"/>
    <w:rsid w:val="003703AC"/>
    <w:rsid w:val="003703B1"/>
    <w:rsid w:val="0037052F"/>
    <w:rsid w:val="00370645"/>
    <w:rsid w:val="0037134B"/>
    <w:rsid w:val="00371A5A"/>
    <w:rsid w:val="00371E15"/>
    <w:rsid w:val="00371FDA"/>
    <w:rsid w:val="00372321"/>
    <w:rsid w:val="003723F9"/>
    <w:rsid w:val="00372745"/>
    <w:rsid w:val="00372964"/>
    <w:rsid w:val="003729AD"/>
    <w:rsid w:val="00372E99"/>
    <w:rsid w:val="0037311C"/>
    <w:rsid w:val="0037347B"/>
    <w:rsid w:val="003737CE"/>
    <w:rsid w:val="00374941"/>
    <w:rsid w:val="00374C40"/>
    <w:rsid w:val="00374CF9"/>
    <w:rsid w:val="00374EA1"/>
    <w:rsid w:val="00375088"/>
    <w:rsid w:val="00375726"/>
    <w:rsid w:val="003757EC"/>
    <w:rsid w:val="00375A5E"/>
    <w:rsid w:val="00375D22"/>
    <w:rsid w:val="003761BF"/>
    <w:rsid w:val="003761D4"/>
    <w:rsid w:val="003768C4"/>
    <w:rsid w:val="003769E0"/>
    <w:rsid w:val="00376EAD"/>
    <w:rsid w:val="00377B88"/>
    <w:rsid w:val="00377C40"/>
    <w:rsid w:val="0038041F"/>
    <w:rsid w:val="003804E2"/>
    <w:rsid w:val="00380626"/>
    <w:rsid w:val="00380B22"/>
    <w:rsid w:val="00380F1B"/>
    <w:rsid w:val="003810F8"/>
    <w:rsid w:val="0038160B"/>
    <w:rsid w:val="00381637"/>
    <w:rsid w:val="00381806"/>
    <w:rsid w:val="00381A01"/>
    <w:rsid w:val="003825E1"/>
    <w:rsid w:val="003826D2"/>
    <w:rsid w:val="00382A2F"/>
    <w:rsid w:val="003833C1"/>
    <w:rsid w:val="003837BD"/>
    <w:rsid w:val="00383BE4"/>
    <w:rsid w:val="00384087"/>
    <w:rsid w:val="00384A6A"/>
    <w:rsid w:val="00384DC7"/>
    <w:rsid w:val="00384F15"/>
    <w:rsid w:val="00384FE0"/>
    <w:rsid w:val="003854FF"/>
    <w:rsid w:val="0038550B"/>
    <w:rsid w:val="00386068"/>
    <w:rsid w:val="00386213"/>
    <w:rsid w:val="003871CC"/>
    <w:rsid w:val="00387611"/>
    <w:rsid w:val="00387FF4"/>
    <w:rsid w:val="003903AA"/>
    <w:rsid w:val="00390E3B"/>
    <w:rsid w:val="00391050"/>
    <w:rsid w:val="00391D96"/>
    <w:rsid w:val="0039222F"/>
    <w:rsid w:val="00392773"/>
    <w:rsid w:val="003930E4"/>
    <w:rsid w:val="003939D3"/>
    <w:rsid w:val="00393C4E"/>
    <w:rsid w:val="00393E3E"/>
    <w:rsid w:val="00393EFF"/>
    <w:rsid w:val="003942E0"/>
    <w:rsid w:val="0039436B"/>
    <w:rsid w:val="0039446B"/>
    <w:rsid w:val="0039463B"/>
    <w:rsid w:val="0039495C"/>
    <w:rsid w:val="00394F3C"/>
    <w:rsid w:val="00395557"/>
    <w:rsid w:val="0039570F"/>
    <w:rsid w:val="00395DEA"/>
    <w:rsid w:val="00396246"/>
    <w:rsid w:val="003962A1"/>
    <w:rsid w:val="003969D7"/>
    <w:rsid w:val="00396C7E"/>
    <w:rsid w:val="003970A8"/>
    <w:rsid w:val="0039721A"/>
    <w:rsid w:val="0039754F"/>
    <w:rsid w:val="00397827"/>
    <w:rsid w:val="00397D6E"/>
    <w:rsid w:val="003A04B1"/>
    <w:rsid w:val="003A0621"/>
    <w:rsid w:val="003A128A"/>
    <w:rsid w:val="003A2060"/>
    <w:rsid w:val="003A2324"/>
    <w:rsid w:val="003A2443"/>
    <w:rsid w:val="003A28B6"/>
    <w:rsid w:val="003A28F0"/>
    <w:rsid w:val="003A2AE4"/>
    <w:rsid w:val="003A31E2"/>
    <w:rsid w:val="003A3328"/>
    <w:rsid w:val="003A3360"/>
    <w:rsid w:val="003A346E"/>
    <w:rsid w:val="003A36DC"/>
    <w:rsid w:val="003A3927"/>
    <w:rsid w:val="003A3A9C"/>
    <w:rsid w:val="003A43AE"/>
    <w:rsid w:val="003A4671"/>
    <w:rsid w:val="003A4785"/>
    <w:rsid w:val="003A48C7"/>
    <w:rsid w:val="003A512B"/>
    <w:rsid w:val="003A53C6"/>
    <w:rsid w:val="003A59A1"/>
    <w:rsid w:val="003A6390"/>
    <w:rsid w:val="003A63D0"/>
    <w:rsid w:val="003A6BB5"/>
    <w:rsid w:val="003A6C04"/>
    <w:rsid w:val="003A7009"/>
    <w:rsid w:val="003A73A8"/>
    <w:rsid w:val="003A7410"/>
    <w:rsid w:val="003A7797"/>
    <w:rsid w:val="003A7FBE"/>
    <w:rsid w:val="003B037B"/>
    <w:rsid w:val="003B04FE"/>
    <w:rsid w:val="003B0DBB"/>
    <w:rsid w:val="003B138C"/>
    <w:rsid w:val="003B13C4"/>
    <w:rsid w:val="003B13CD"/>
    <w:rsid w:val="003B177A"/>
    <w:rsid w:val="003B1953"/>
    <w:rsid w:val="003B29A8"/>
    <w:rsid w:val="003B3443"/>
    <w:rsid w:val="003B37E0"/>
    <w:rsid w:val="003B3ABA"/>
    <w:rsid w:val="003B3AF0"/>
    <w:rsid w:val="003B3E9B"/>
    <w:rsid w:val="003B4877"/>
    <w:rsid w:val="003B4C5E"/>
    <w:rsid w:val="003B5349"/>
    <w:rsid w:val="003B535A"/>
    <w:rsid w:val="003B53FC"/>
    <w:rsid w:val="003B567B"/>
    <w:rsid w:val="003B56EB"/>
    <w:rsid w:val="003B594D"/>
    <w:rsid w:val="003B5C1B"/>
    <w:rsid w:val="003B6604"/>
    <w:rsid w:val="003B68A6"/>
    <w:rsid w:val="003B6A95"/>
    <w:rsid w:val="003B6C5E"/>
    <w:rsid w:val="003B7439"/>
    <w:rsid w:val="003B7588"/>
    <w:rsid w:val="003B75FF"/>
    <w:rsid w:val="003B7643"/>
    <w:rsid w:val="003B78A1"/>
    <w:rsid w:val="003B7BB2"/>
    <w:rsid w:val="003B7BEC"/>
    <w:rsid w:val="003B7ECF"/>
    <w:rsid w:val="003C0512"/>
    <w:rsid w:val="003C08FA"/>
    <w:rsid w:val="003C0FD3"/>
    <w:rsid w:val="003C16A8"/>
    <w:rsid w:val="003C1AC4"/>
    <w:rsid w:val="003C1CB5"/>
    <w:rsid w:val="003C21CD"/>
    <w:rsid w:val="003C225E"/>
    <w:rsid w:val="003C262E"/>
    <w:rsid w:val="003C2716"/>
    <w:rsid w:val="003C277A"/>
    <w:rsid w:val="003C2900"/>
    <w:rsid w:val="003C2C91"/>
    <w:rsid w:val="003C2D04"/>
    <w:rsid w:val="003C2F33"/>
    <w:rsid w:val="003C30BB"/>
    <w:rsid w:val="003C3198"/>
    <w:rsid w:val="003C3ADD"/>
    <w:rsid w:val="003C3CB2"/>
    <w:rsid w:val="003C42EF"/>
    <w:rsid w:val="003C4308"/>
    <w:rsid w:val="003C45D0"/>
    <w:rsid w:val="003C4940"/>
    <w:rsid w:val="003C4FD5"/>
    <w:rsid w:val="003C5087"/>
    <w:rsid w:val="003C5089"/>
    <w:rsid w:val="003C51FD"/>
    <w:rsid w:val="003C5404"/>
    <w:rsid w:val="003C5BC2"/>
    <w:rsid w:val="003C5EC2"/>
    <w:rsid w:val="003C5F71"/>
    <w:rsid w:val="003C60AF"/>
    <w:rsid w:val="003C677E"/>
    <w:rsid w:val="003C6A93"/>
    <w:rsid w:val="003C6E9A"/>
    <w:rsid w:val="003C722C"/>
    <w:rsid w:val="003C728A"/>
    <w:rsid w:val="003C79FC"/>
    <w:rsid w:val="003C7A4A"/>
    <w:rsid w:val="003C7A69"/>
    <w:rsid w:val="003C7DA1"/>
    <w:rsid w:val="003C7E0D"/>
    <w:rsid w:val="003D0133"/>
    <w:rsid w:val="003D0435"/>
    <w:rsid w:val="003D057C"/>
    <w:rsid w:val="003D127F"/>
    <w:rsid w:val="003D1511"/>
    <w:rsid w:val="003D161F"/>
    <w:rsid w:val="003D182B"/>
    <w:rsid w:val="003D19B6"/>
    <w:rsid w:val="003D1D07"/>
    <w:rsid w:val="003D1FC5"/>
    <w:rsid w:val="003D24E9"/>
    <w:rsid w:val="003D26C2"/>
    <w:rsid w:val="003D2883"/>
    <w:rsid w:val="003D2DF5"/>
    <w:rsid w:val="003D2E4C"/>
    <w:rsid w:val="003D3001"/>
    <w:rsid w:val="003D30CA"/>
    <w:rsid w:val="003D3669"/>
    <w:rsid w:val="003D3DF2"/>
    <w:rsid w:val="003D48AE"/>
    <w:rsid w:val="003D49BC"/>
    <w:rsid w:val="003D4C9A"/>
    <w:rsid w:val="003D4CE9"/>
    <w:rsid w:val="003D569E"/>
    <w:rsid w:val="003D5E2F"/>
    <w:rsid w:val="003D7076"/>
    <w:rsid w:val="003D7136"/>
    <w:rsid w:val="003D72A2"/>
    <w:rsid w:val="003D72EC"/>
    <w:rsid w:val="003D73A3"/>
    <w:rsid w:val="003D7F76"/>
    <w:rsid w:val="003E014A"/>
    <w:rsid w:val="003E0195"/>
    <w:rsid w:val="003E0CA4"/>
    <w:rsid w:val="003E0D27"/>
    <w:rsid w:val="003E1286"/>
    <w:rsid w:val="003E21B4"/>
    <w:rsid w:val="003E21D9"/>
    <w:rsid w:val="003E233B"/>
    <w:rsid w:val="003E324C"/>
    <w:rsid w:val="003E3BB1"/>
    <w:rsid w:val="003E3E4B"/>
    <w:rsid w:val="003E43D1"/>
    <w:rsid w:val="003E44F0"/>
    <w:rsid w:val="003E468B"/>
    <w:rsid w:val="003E468C"/>
    <w:rsid w:val="003E4CB2"/>
    <w:rsid w:val="003E5E14"/>
    <w:rsid w:val="003E6404"/>
    <w:rsid w:val="003E64E6"/>
    <w:rsid w:val="003E6AF0"/>
    <w:rsid w:val="003E6DD3"/>
    <w:rsid w:val="003E6FF0"/>
    <w:rsid w:val="003E788A"/>
    <w:rsid w:val="003E7B61"/>
    <w:rsid w:val="003F04E4"/>
    <w:rsid w:val="003F05C7"/>
    <w:rsid w:val="003F0DFE"/>
    <w:rsid w:val="003F0EAA"/>
    <w:rsid w:val="003F0FAD"/>
    <w:rsid w:val="003F111F"/>
    <w:rsid w:val="003F14A6"/>
    <w:rsid w:val="003F182B"/>
    <w:rsid w:val="003F1945"/>
    <w:rsid w:val="003F1AED"/>
    <w:rsid w:val="003F1DF0"/>
    <w:rsid w:val="003F1E98"/>
    <w:rsid w:val="003F1FDB"/>
    <w:rsid w:val="003F20C1"/>
    <w:rsid w:val="003F2500"/>
    <w:rsid w:val="003F2D2B"/>
    <w:rsid w:val="003F310D"/>
    <w:rsid w:val="003F35CB"/>
    <w:rsid w:val="003F3619"/>
    <w:rsid w:val="003F379F"/>
    <w:rsid w:val="003F3B86"/>
    <w:rsid w:val="003F401F"/>
    <w:rsid w:val="003F4657"/>
    <w:rsid w:val="003F4953"/>
    <w:rsid w:val="003F544B"/>
    <w:rsid w:val="003F5799"/>
    <w:rsid w:val="003F591C"/>
    <w:rsid w:val="003F5FF9"/>
    <w:rsid w:val="003F607B"/>
    <w:rsid w:val="003F622D"/>
    <w:rsid w:val="003F6A10"/>
    <w:rsid w:val="003F6B3F"/>
    <w:rsid w:val="003F75B2"/>
    <w:rsid w:val="003F76FD"/>
    <w:rsid w:val="003F7989"/>
    <w:rsid w:val="003F7D58"/>
    <w:rsid w:val="003F7F80"/>
    <w:rsid w:val="00400054"/>
    <w:rsid w:val="0040031D"/>
    <w:rsid w:val="004009B2"/>
    <w:rsid w:val="00401315"/>
    <w:rsid w:val="00401379"/>
    <w:rsid w:val="0040153E"/>
    <w:rsid w:val="00401547"/>
    <w:rsid w:val="004015A1"/>
    <w:rsid w:val="00401CD6"/>
    <w:rsid w:val="00401E61"/>
    <w:rsid w:val="0040247E"/>
    <w:rsid w:val="0040263B"/>
    <w:rsid w:val="004026BE"/>
    <w:rsid w:val="004026E8"/>
    <w:rsid w:val="004028E6"/>
    <w:rsid w:val="00402CAC"/>
    <w:rsid w:val="00402FA5"/>
    <w:rsid w:val="00403096"/>
    <w:rsid w:val="00403A08"/>
    <w:rsid w:val="00403BBA"/>
    <w:rsid w:val="00403F17"/>
    <w:rsid w:val="00404101"/>
    <w:rsid w:val="00404193"/>
    <w:rsid w:val="004041A6"/>
    <w:rsid w:val="00404E70"/>
    <w:rsid w:val="004051A7"/>
    <w:rsid w:val="0040554E"/>
    <w:rsid w:val="00405685"/>
    <w:rsid w:val="004057A7"/>
    <w:rsid w:val="00405F75"/>
    <w:rsid w:val="0040665A"/>
    <w:rsid w:val="00407AAC"/>
    <w:rsid w:val="00407DCD"/>
    <w:rsid w:val="00407E8A"/>
    <w:rsid w:val="00407E9B"/>
    <w:rsid w:val="004103F9"/>
    <w:rsid w:val="00410A9D"/>
    <w:rsid w:val="00410BB0"/>
    <w:rsid w:val="004115D0"/>
    <w:rsid w:val="0041214E"/>
    <w:rsid w:val="00412952"/>
    <w:rsid w:val="00412ED6"/>
    <w:rsid w:val="00412FAA"/>
    <w:rsid w:val="00413455"/>
    <w:rsid w:val="0041361A"/>
    <w:rsid w:val="00413625"/>
    <w:rsid w:val="00413AE1"/>
    <w:rsid w:val="00413E66"/>
    <w:rsid w:val="004144E3"/>
    <w:rsid w:val="00414587"/>
    <w:rsid w:val="0041498A"/>
    <w:rsid w:val="00414A3A"/>
    <w:rsid w:val="00414D08"/>
    <w:rsid w:val="00414F4F"/>
    <w:rsid w:val="00415389"/>
    <w:rsid w:val="00415535"/>
    <w:rsid w:val="004158D6"/>
    <w:rsid w:val="0041612A"/>
    <w:rsid w:val="00416506"/>
    <w:rsid w:val="00416583"/>
    <w:rsid w:val="004169B7"/>
    <w:rsid w:val="004169E1"/>
    <w:rsid w:val="00416BDB"/>
    <w:rsid w:val="00416C06"/>
    <w:rsid w:val="00417076"/>
    <w:rsid w:val="0041765F"/>
    <w:rsid w:val="004201EB"/>
    <w:rsid w:val="004208EC"/>
    <w:rsid w:val="00420D1B"/>
    <w:rsid w:val="00420F5A"/>
    <w:rsid w:val="0042107B"/>
    <w:rsid w:val="00421223"/>
    <w:rsid w:val="0042132E"/>
    <w:rsid w:val="004213BC"/>
    <w:rsid w:val="0042170C"/>
    <w:rsid w:val="00421721"/>
    <w:rsid w:val="00421928"/>
    <w:rsid w:val="00421C34"/>
    <w:rsid w:val="00422374"/>
    <w:rsid w:val="00422964"/>
    <w:rsid w:val="00422A4E"/>
    <w:rsid w:val="0042301B"/>
    <w:rsid w:val="004246D1"/>
    <w:rsid w:val="00424D30"/>
    <w:rsid w:val="00424E8B"/>
    <w:rsid w:val="00425335"/>
    <w:rsid w:val="0042564E"/>
    <w:rsid w:val="00425A30"/>
    <w:rsid w:val="0042645C"/>
    <w:rsid w:val="004264AD"/>
    <w:rsid w:val="00426798"/>
    <w:rsid w:val="00426857"/>
    <w:rsid w:val="00426931"/>
    <w:rsid w:val="00426F7C"/>
    <w:rsid w:val="004271B1"/>
    <w:rsid w:val="004275BB"/>
    <w:rsid w:val="00427A45"/>
    <w:rsid w:val="00427B7D"/>
    <w:rsid w:val="004302D8"/>
    <w:rsid w:val="004305C1"/>
    <w:rsid w:val="004308DF"/>
    <w:rsid w:val="00430C68"/>
    <w:rsid w:val="00430E48"/>
    <w:rsid w:val="004311BD"/>
    <w:rsid w:val="00431236"/>
    <w:rsid w:val="00431A63"/>
    <w:rsid w:val="00431C88"/>
    <w:rsid w:val="00431E16"/>
    <w:rsid w:val="00431EC2"/>
    <w:rsid w:val="00431F45"/>
    <w:rsid w:val="0043256C"/>
    <w:rsid w:val="00432866"/>
    <w:rsid w:val="00432BA1"/>
    <w:rsid w:val="00432C71"/>
    <w:rsid w:val="0043398F"/>
    <w:rsid w:val="00433FB9"/>
    <w:rsid w:val="0043459D"/>
    <w:rsid w:val="00434964"/>
    <w:rsid w:val="00434A63"/>
    <w:rsid w:val="00434A90"/>
    <w:rsid w:val="00434B7C"/>
    <w:rsid w:val="00434BA4"/>
    <w:rsid w:val="00434DAE"/>
    <w:rsid w:val="00434F8D"/>
    <w:rsid w:val="004360BE"/>
    <w:rsid w:val="00436357"/>
    <w:rsid w:val="004363FF"/>
    <w:rsid w:val="004368AD"/>
    <w:rsid w:val="00436ADD"/>
    <w:rsid w:val="00436B95"/>
    <w:rsid w:val="00436BD7"/>
    <w:rsid w:val="00437185"/>
    <w:rsid w:val="0043725B"/>
    <w:rsid w:val="004375F0"/>
    <w:rsid w:val="004377BA"/>
    <w:rsid w:val="00437A50"/>
    <w:rsid w:val="00437C8F"/>
    <w:rsid w:val="00440109"/>
    <w:rsid w:val="0044033E"/>
    <w:rsid w:val="0044053B"/>
    <w:rsid w:val="004405E2"/>
    <w:rsid w:val="004408C3"/>
    <w:rsid w:val="00440A3F"/>
    <w:rsid w:val="00441822"/>
    <w:rsid w:val="004418A1"/>
    <w:rsid w:val="00441D15"/>
    <w:rsid w:val="004421E5"/>
    <w:rsid w:val="004422E3"/>
    <w:rsid w:val="00442859"/>
    <w:rsid w:val="004430A3"/>
    <w:rsid w:val="00443C2C"/>
    <w:rsid w:val="00443C50"/>
    <w:rsid w:val="00443CB8"/>
    <w:rsid w:val="00443DC9"/>
    <w:rsid w:val="00443F8E"/>
    <w:rsid w:val="00444202"/>
    <w:rsid w:val="00444E9E"/>
    <w:rsid w:val="00444F00"/>
    <w:rsid w:val="00445060"/>
    <w:rsid w:val="0044507F"/>
    <w:rsid w:val="004453D2"/>
    <w:rsid w:val="0044572A"/>
    <w:rsid w:val="00445BB1"/>
    <w:rsid w:val="00445FC7"/>
    <w:rsid w:val="00446278"/>
    <w:rsid w:val="0044675A"/>
    <w:rsid w:val="0044685C"/>
    <w:rsid w:val="0044693A"/>
    <w:rsid w:val="00446A16"/>
    <w:rsid w:val="00447601"/>
    <w:rsid w:val="00447C4B"/>
    <w:rsid w:val="00447FC4"/>
    <w:rsid w:val="00450254"/>
    <w:rsid w:val="00450A3E"/>
    <w:rsid w:val="00450DC6"/>
    <w:rsid w:val="004510A0"/>
    <w:rsid w:val="004516AC"/>
    <w:rsid w:val="00451763"/>
    <w:rsid w:val="00451AF5"/>
    <w:rsid w:val="00452334"/>
    <w:rsid w:val="0045256F"/>
    <w:rsid w:val="00452B37"/>
    <w:rsid w:val="00452DEF"/>
    <w:rsid w:val="00453050"/>
    <w:rsid w:val="004530F4"/>
    <w:rsid w:val="004532CA"/>
    <w:rsid w:val="0045387F"/>
    <w:rsid w:val="00453BF9"/>
    <w:rsid w:val="00453CAD"/>
    <w:rsid w:val="00453DB7"/>
    <w:rsid w:val="00453FE1"/>
    <w:rsid w:val="00453FF5"/>
    <w:rsid w:val="00454355"/>
    <w:rsid w:val="00454576"/>
    <w:rsid w:val="004546BB"/>
    <w:rsid w:val="00454801"/>
    <w:rsid w:val="0045489F"/>
    <w:rsid w:val="00454C89"/>
    <w:rsid w:val="004558EC"/>
    <w:rsid w:val="00456750"/>
    <w:rsid w:val="0045759A"/>
    <w:rsid w:val="00457793"/>
    <w:rsid w:val="0045782B"/>
    <w:rsid w:val="00457AD1"/>
    <w:rsid w:val="00457AE0"/>
    <w:rsid w:val="00457B67"/>
    <w:rsid w:val="00457C5E"/>
    <w:rsid w:val="00457CFA"/>
    <w:rsid w:val="00457ED0"/>
    <w:rsid w:val="004601B1"/>
    <w:rsid w:val="00461420"/>
    <w:rsid w:val="00461479"/>
    <w:rsid w:val="004614DA"/>
    <w:rsid w:val="0046174E"/>
    <w:rsid w:val="0046178F"/>
    <w:rsid w:val="004618A0"/>
    <w:rsid w:val="00461C8E"/>
    <w:rsid w:val="0046279B"/>
    <w:rsid w:val="004627BB"/>
    <w:rsid w:val="0046298C"/>
    <w:rsid w:val="00462A41"/>
    <w:rsid w:val="00462B54"/>
    <w:rsid w:val="00463133"/>
    <w:rsid w:val="004632F4"/>
    <w:rsid w:val="0046364A"/>
    <w:rsid w:val="004636DB"/>
    <w:rsid w:val="00463ED4"/>
    <w:rsid w:val="004646EA"/>
    <w:rsid w:val="00465096"/>
    <w:rsid w:val="004651F1"/>
    <w:rsid w:val="00465B75"/>
    <w:rsid w:val="00465D8B"/>
    <w:rsid w:val="00465E2C"/>
    <w:rsid w:val="00465FA8"/>
    <w:rsid w:val="0046639F"/>
    <w:rsid w:val="00467183"/>
    <w:rsid w:val="00467C1A"/>
    <w:rsid w:val="00467DF4"/>
    <w:rsid w:val="00467EE1"/>
    <w:rsid w:val="0047015E"/>
    <w:rsid w:val="004701EF"/>
    <w:rsid w:val="0047024F"/>
    <w:rsid w:val="00470256"/>
    <w:rsid w:val="0047055F"/>
    <w:rsid w:val="00470670"/>
    <w:rsid w:val="00470C0C"/>
    <w:rsid w:val="0047194D"/>
    <w:rsid w:val="0047197B"/>
    <w:rsid w:val="00471A78"/>
    <w:rsid w:val="0047204E"/>
    <w:rsid w:val="00472BBA"/>
    <w:rsid w:val="00472C4E"/>
    <w:rsid w:val="00472F91"/>
    <w:rsid w:val="00473511"/>
    <w:rsid w:val="004736DE"/>
    <w:rsid w:val="00474639"/>
    <w:rsid w:val="0047467E"/>
    <w:rsid w:val="0047496D"/>
    <w:rsid w:val="004749F2"/>
    <w:rsid w:val="00474DD1"/>
    <w:rsid w:val="00475ACF"/>
    <w:rsid w:val="00475D0C"/>
    <w:rsid w:val="0047681B"/>
    <w:rsid w:val="00476C30"/>
    <w:rsid w:val="00476DAC"/>
    <w:rsid w:val="00476F55"/>
    <w:rsid w:val="004770C1"/>
    <w:rsid w:val="0047741C"/>
    <w:rsid w:val="00477861"/>
    <w:rsid w:val="00477B5B"/>
    <w:rsid w:val="00477B90"/>
    <w:rsid w:val="00477D95"/>
    <w:rsid w:val="00480004"/>
    <w:rsid w:val="00480478"/>
    <w:rsid w:val="0048083A"/>
    <w:rsid w:val="00480BB3"/>
    <w:rsid w:val="00480D2F"/>
    <w:rsid w:val="00480E7C"/>
    <w:rsid w:val="00481538"/>
    <w:rsid w:val="00481654"/>
    <w:rsid w:val="00481B72"/>
    <w:rsid w:val="00481EF1"/>
    <w:rsid w:val="00481F63"/>
    <w:rsid w:val="00482044"/>
    <w:rsid w:val="0048206F"/>
    <w:rsid w:val="004820C0"/>
    <w:rsid w:val="004824A5"/>
    <w:rsid w:val="00482BB4"/>
    <w:rsid w:val="0048358D"/>
    <w:rsid w:val="00483CA3"/>
    <w:rsid w:val="00483D5C"/>
    <w:rsid w:val="004840A3"/>
    <w:rsid w:val="00484374"/>
    <w:rsid w:val="004843D4"/>
    <w:rsid w:val="004844CB"/>
    <w:rsid w:val="00484819"/>
    <w:rsid w:val="004856C8"/>
    <w:rsid w:val="00485746"/>
    <w:rsid w:val="0048616D"/>
    <w:rsid w:val="004868D8"/>
    <w:rsid w:val="00486C3F"/>
    <w:rsid w:val="00486F04"/>
    <w:rsid w:val="00486F0A"/>
    <w:rsid w:val="00487979"/>
    <w:rsid w:val="00490B27"/>
    <w:rsid w:val="00491B89"/>
    <w:rsid w:val="00491D23"/>
    <w:rsid w:val="00491FEE"/>
    <w:rsid w:val="004922D4"/>
    <w:rsid w:val="0049266A"/>
    <w:rsid w:val="0049274A"/>
    <w:rsid w:val="0049287A"/>
    <w:rsid w:val="00492D8B"/>
    <w:rsid w:val="0049303C"/>
    <w:rsid w:val="00493689"/>
    <w:rsid w:val="004936B0"/>
    <w:rsid w:val="00494B40"/>
    <w:rsid w:val="00494B7B"/>
    <w:rsid w:val="00494DC0"/>
    <w:rsid w:val="00494F0D"/>
    <w:rsid w:val="004951E7"/>
    <w:rsid w:val="00495246"/>
    <w:rsid w:val="004955A6"/>
    <w:rsid w:val="00495E08"/>
    <w:rsid w:val="00496247"/>
    <w:rsid w:val="0049687C"/>
    <w:rsid w:val="00496BA3"/>
    <w:rsid w:val="00497416"/>
    <w:rsid w:val="00497E3F"/>
    <w:rsid w:val="004A09E6"/>
    <w:rsid w:val="004A0A81"/>
    <w:rsid w:val="004A0F9F"/>
    <w:rsid w:val="004A1274"/>
    <w:rsid w:val="004A1275"/>
    <w:rsid w:val="004A162E"/>
    <w:rsid w:val="004A1A8E"/>
    <w:rsid w:val="004A1DA1"/>
    <w:rsid w:val="004A2081"/>
    <w:rsid w:val="004A262A"/>
    <w:rsid w:val="004A282D"/>
    <w:rsid w:val="004A28E1"/>
    <w:rsid w:val="004A28F8"/>
    <w:rsid w:val="004A29A4"/>
    <w:rsid w:val="004A2EDA"/>
    <w:rsid w:val="004A3133"/>
    <w:rsid w:val="004A36C8"/>
    <w:rsid w:val="004A4314"/>
    <w:rsid w:val="004A4CB9"/>
    <w:rsid w:val="004A4DE6"/>
    <w:rsid w:val="004A5150"/>
    <w:rsid w:val="004A51E2"/>
    <w:rsid w:val="004A5AF3"/>
    <w:rsid w:val="004A5B90"/>
    <w:rsid w:val="004A5FA4"/>
    <w:rsid w:val="004A6453"/>
    <w:rsid w:val="004A655C"/>
    <w:rsid w:val="004A6902"/>
    <w:rsid w:val="004A69E3"/>
    <w:rsid w:val="004A79F9"/>
    <w:rsid w:val="004A7B30"/>
    <w:rsid w:val="004A7C62"/>
    <w:rsid w:val="004A7E03"/>
    <w:rsid w:val="004A7E75"/>
    <w:rsid w:val="004B0578"/>
    <w:rsid w:val="004B05F0"/>
    <w:rsid w:val="004B09E0"/>
    <w:rsid w:val="004B0D06"/>
    <w:rsid w:val="004B0DAD"/>
    <w:rsid w:val="004B11FE"/>
    <w:rsid w:val="004B16E8"/>
    <w:rsid w:val="004B1745"/>
    <w:rsid w:val="004B1FFA"/>
    <w:rsid w:val="004B2209"/>
    <w:rsid w:val="004B2D11"/>
    <w:rsid w:val="004B2DFF"/>
    <w:rsid w:val="004B3089"/>
    <w:rsid w:val="004B332F"/>
    <w:rsid w:val="004B336F"/>
    <w:rsid w:val="004B3EA5"/>
    <w:rsid w:val="004B3F32"/>
    <w:rsid w:val="004B4485"/>
    <w:rsid w:val="004B4918"/>
    <w:rsid w:val="004B4A6A"/>
    <w:rsid w:val="004B5052"/>
    <w:rsid w:val="004B52F9"/>
    <w:rsid w:val="004B58A7"/>
    <w:rsid w:val="004B5AB3"/>
    <w:rsid w:val="004B5D08"/>
    <w:rsid w:val="004B61CF"/>
    <w:rsid w:val="004B623E"/>
    <w:rsid w:val="004B657C"/>
    <w:rsid w:val="004B6590"/>
    <w:rsid w:val="004B6A5A"/>
    <w:rsid w:val="004B6DE9"/>
    <w:rsid w:val="004B6F26"/>
    <w:rsid w:val="004B786D"/>
    <w:rsid w:val="004B7DAB"/>
    <w:rsid w:val="004C0531"/>
    <w:rsid w:val="004C0854"/>
    <w:rsid w:val="004C09A3"/>
    <w:rsid w:val="004C0D58"/>
    <w:rsid w:val="004C107B"/>
    <w:rsid w:val="004C10EF"/>
    <w:rsid w:val="004C1277"/>
    <w:rsid w:val="004C14E3"/>
    <w:rsid w:val="004C1686"/>
    <w:rsid w:val="004C1FC9"/>
    <w:rsid w:val="004C20ED"/>
    <w:rsid w:val="004C213B"/>
    <w:rsid w:val="004C2155"/>
    <w:rsid w:val="004C2A06"/>
    <w:rsid w:val="004C2E60"/>
    <w:rsid w:val="004C2EBC"/>
    <w:rsid w:val="004C309F"/>
    <w:rsid w:val="004C314A"/>
    <w:rsid w:val="004C3865"/>
    <w:rsid w:val="004C3FDC"/>
    <w:rsid w:val="004C42C5"/>
    <w:rsid w:val="004C4338"/>
    <w:rsid w:val="004C463F"/>
    <w:rsid w:val="004C5076"/>
    <w:rsid w:val="004C573D"/>
    <w:rsid w:val="004C58BA"/>
    <w:rsid w:val="004C5BC0"/>
    <w:rsid w:val="004C5FB0"/>
    <w:rsid w:val="004C63D4"/>
    <w:rsid w:val="004C6532"/>
    <w:rsid w:val="004C662F"/>
    <w:rsid w:val="004C6CE2"/>
    <w:rsid w:val="004C7DF2"/>
    <w:rsid w:val="004D00E6"/>
    <w:rsid w:val="004D01E5"/>
    <w:rsid w:val="004D0934"/>
    <w:rsid w:val="004D09DA"/>
    <w:rsid w:val="004D0C60"/>
    <w:rsid w:val="004D0D38"/>
    <w:rsid w:val="004D17D5"/>
    <w:rsid w:val="004D1BBB"/>
    <w:rsid w:val="004D1E07"/>
    <w:rsid w:val="004D2000"/>
    <w:rsid w:val="004D2E4D"/>
    <w:rsid w:val="004D33D7"/>
    <w:rsid w:val="004D34A6"/>
    <w:rsid w:val="004D34C5"/>
    <w:rsid w:val="004D39C2"/>
    <w:rsid w:val="004D3E80"/>
    <w:rsid w:val="004D49C7"/>
    <w:rsid w:val="004D4C4D"/>
    <w:rsid w:val="004D4EAA"/>
    <w:rsid w:val="004D553D"/>
    <w:rsid w:val="004D569F"/>
    <w:rsid w:val="004D5AB7"/>
    <w:rsid w:val="004D6A14"/>
    <w:rsid w:val="004D6CC5"/>
    <w:rsid w:val="004D6F4A"/>
    <w:rsid w:val="004D7053"/>
    <w:rsid w:val="004D7176"/>
    <w:rsid w:val="004D7909"/>
    <w:rsid w:val="004D7C1A"/>
    <w:rsid w:val="004D7CD3"/>
    <w:rsid w:val="004D7D14"/>
    <w:rsid w:val="004E00C5"/>
    <w:rsid w:val="004E0453"/>
    <w:rsid w:val="004E083E"/>
    <w:rsid w:val="004E08BA"/>
    <w:rsid w:val="004E0B7E"/>
    <w:rsid w:val="004E0F1D"/>
    <w:rsid w:val="004E0F47"/>
    <w:rsid w:val="004E1E93"/>
    <w:rsid w:val="004E1FF0"/>
    <w:rsid w:val="004E2047"/>
    <w:rsid w:val="004E255A"/>
    <w:rsid w:val="004E27C9"/>
    <w:rsid w:val="004E2F2C"/>
    <w:rsid w:val="004E31A2"/>
    <w:rsid w:val="004E352A"/>
    <w:rsid w:val="004E3EC8"/>
    <w:rsid w:val="004E4040"/>
    <w:rsid w:val="004E428F"/>
    <w:rsid w:val="004E4349"/>
    <w:rsid w:val="004E4906"/>
    <w:rsid w:val="004E4B92"/>
    <w:rsid w:val="004E558C"/>
    <w:rsid w:val="004E5682"/>
    <w:rsid w:val="004E5708"/>
    <w:rsid w:val="004E5B14"/>
    <w:rsid w:val="004E5D86"/>
    <w:rsid w:val="004E614B"/>
    <w:rsid w:val="004E61E7"/>
    <w:rsid w:val="004E652D"/>
    <w:rsid w:val="004E69E9"/>
    <w:rsid w:val="004E6C31"/>
    <w:rsid w:val="004E6DF5"/>
    <w:rsid w:val="004E76FD"/>
    <w:rsid w:val="004E7810"/>
    <w:rsid w:val="004E7D05"/>
    <w:rsid w:val="004F0562"/>
    <w:rsid w:val="004F06DD"/>
    <w:rsid w:val="004F0B18"/>
    <w:rsid w:val="004F0DAA"/>
    <w:rsid w:val="004F0EDB"/>
    <w:rsid w:val="004F105E"/>
    <w:rsid w:val="004F169A"/>
    <w:rsid w:val="004F1892"/>
    <w:rsid w:val="004F1904"/>
    <w:rsid w:val="004F1923"/>
    <w:rsid w:val="004F1DD2"/>
    <w:rsid w:val="004F1E9B"/>
    <w:rsid w:val="004F1F11"/>
    <w:rsid w:val="004F21B9"/>
    <w:rsid w:val="004F2246"/>
    <w:rsid w:val="004F241B"/>
    <w:rsid w:val="004F2A8D"/>
    <w:rsid w:val="004F34A1"/>
    <w:rsid w:val="004F3554"/>
    <w:rsid w:val="004F3852"/>
    <w:rsid w:val="004F4020"/>
    <w:rsid w:val="004F40E8"/>
    <w:rsid w:val="004F4ED3"/>
    <w:rsid w:val="004F4F20"/>
    <w:rsid w:val="004F4FE2"/>
    <w:rsid w:val="004F586E"/>
    <w:rsid w:val="004F5B51"/>
    <w:rsid w:val="004F5C15"/>
    <w:rsid w:val="004F61CF"/>
    <w:rsid w:val="004F62C4"/>
    <w:rsid w:val="004F6532"/>
    <w:rsid w:val="004F6A97"/>
    <w:rsid w:val="004F6AE4"/>
    <w:rsid w:val="004F6C93"/>
    <w:rsid w:val="004F6F96"/>
    <w:rsid w:val="004F709C"/>
    <w:rsid w:val="004F70E9"/>
    <w:rsid w:val="004F71D5"/>
    <w:rsid w:val="004F72AC"/>
    <w:rsid w:val="004F75FC"/>
    <w:rsid w:val="004F7AD5"/>
    <w:rsid w:val="004F7D25"/>
    <w:rsid w:val="00500317"/>
    <w:rsid w:val="00500697"/>
    <w:rsid w:val="005008C1"/>
    <w:rsid w:val="005009D9"/>
    <w:rsid w:val="005011FE"/>
    <w:rsid w:val="00501231"/>
    <w:rsid w:val="0050126D"/>
    <w:rsid w:val="00501771"/>
    <w:rsid w:val="00501E30"/>
    <w:rsid w:val="00501F0A"/>
    <w:rsid w:val="0050210F"/>
    <w:rsid w:val="0050219E"/>
    <w:rsid w:val="00502ABC"/>
    <w:rsid w:val="00502DD4"/>
    <w:rsid w:val="005030D5"/>
    <w:rsid w:val="005035B9"/>
    <w:rsid w:val="00503830"/>
    <w:rsid w:val="005038B5"/>
    <w:rsid w:val="005038D8"/>
    <w:rsid w:val="00503A73"/>
    <w:rsid w:val="00503C0B"/>
    <w:rsid w:val="00503C74"/>
    <w:rsid w:val="00503C79"/>
    <w:rsid w:val="00503E20"/>
    <w:rsid w:val="005040A9"/>
    <w:rsid w:val="005041F3"/>
    <w:rsid w:val="00504220"/>
    <w:rsid w:val="005058D4"/>
    <w:rsid w:val="0050597D"/>
    <w:rsid w:val="00505CCB"/>
    <w:rsid w:val="005065DB"/>
    <w:rsid w:val="00506B54"/>
    <w:rsid w:val="00506ED9"/>
    <w:rsid w:val="0050700A"/>
    <w:rsid w:val="00507FB7"/>
    <w:rsid w:val="005100A7"/>
    <w:rsid w:val="00510B86"/>
    <w:rsid w:val="0051116F"/>
    <w:rsid w:val="00511C53"/>
    <w:rsid w:val="00511ED0"/>
    <w:rsid w:val="00512207"/>
    <w:rsid w:val="005122F8"/>
    <w:rsid w:val="0051235C"/>
    <w:rsid w:val="0051281F"/>
    <w:rsid w:val="00512C08"/>
    <w:rsid w:val="00512CCF"/>
    <w:rsid w:val="00512F8F"/>
    <w:rsid w:val="00513282"/>
    <w:rsid w:val="005136BE"/>
    <w:rsid w:val="00513743"/>
    <w:rsid w:val="00513F3F"/>
    <w:rsid w:val="005145B1"/>
    <w:rsid w:val="005145E1"/>
    <w:rsid w:val="005147CD"/>
    <w:rsid w:val="005150DE"/>
    <w:rsid w:val="005153B4"/>
    <w:rsid w:val="00515713"/>
    <w:rsid w:val="00515AC1"/>
    <w:rsid w:val="00515AD1"/>
    <w:rsid w:val="00515D79"/>
    <w:rsid w:val="00515E64"/>
    <w:rsid w:val="00515F54"/>
    <w:rsid w:val="0051644D"/>
    <w:rsid w:val="005167C9"/>
    <w:rsid w:val="005167D7"/>
    <w:rsid w:val="00517079"/>
    <w:rsid w:val="005177B5"/>
    <w:rsid w:val="00517F20"/>
    <w:rsid w:val="00520312"/>
    <w:rsid w:val="00520CD3"/>
    <w:rsid w:val="00520FA9"/>
    <w:rsid w:val="00520FBD"/>
    <w:rsid w:val="0052118C"/>
    <w:rsid w:val="00521C8B"/>
    <w:rsid w:val="0052219E"/>
    <w:rsid w:val="0052268E"/>
    <w:rsid w:val="00522B02"/>
    <w:rsid w:val="005234C0"/>
    <w:rsid w:val="00523A60"/>
    <w:rsid w:val="0052405C"/>
    <w:rsid w:val="00524180"/>
    <w:rsid w:val="0052445D"/>
    <w:rsid w:val="005247ED"/>
    <w:rsid w:val="00524B70"/>
    <w:rsid w:val="00524C8C"/>
    <w:rsid w:val="0052535A"/>
    <w:rsid w:val="0052594F"/>
    <w:rsid w:val="0052669D"/>
    <w:rsid w:val="00526B9F"/>
    <w:rsid w:val="00526DCD"/>
    <w:rsid w:val="00526F32"/>
    <w:rsid w:val="00527C04"/>
    <w:rsid w:val="00527DD1"/>
    <w:rsid w:val="00527DEF"/>
    <w:rsid w:val="00530BCB"/>
    <w:rsid w:val="00530D3D"/>
    <w:rsid w:val="005310DB"/>
    <w:rsid w:val="00531451"/>
    <w:rsid w:val="00531A4E"/>
    <w:rsid w:val="00531B4F"/>
    <w:rsid w:val="00531F06"/>
    <w:rsid w:val="00532217"/>
    <w:rsid w:val="0053244B"/>
    <w:rsid w:val="005328EB"/>
    <w:rsid w:val="005329E9"/>
    <w:rsid w:val="00532DDA"/>
    <w:rsid w:val="0053323A"/>
    <w:rsid w:val="0053369F"/>
    <w:rsid w:val="00533A37"/>
    <w:rsid w:val="00533AB7"/>
    <w:rsid w:val="00533CB6"/>
    <w:rsid w:val="00533EB0"/>
    <w:rsid w:val="00533EBE"/>
    <w:rsid w:val="00533F8A"/>
    <w:rsid w:val="00534042"/>
    <w:rsid w:val="005343F1"/>
    <w:rsid w:val="00534476"/>
    <w:rsid w:val="0053453B"/>
    <w:rsid w:val="005346FE"/>
    <w:rsid w:val="00534A1E"/>
    <w:rsid w:val="00534BB4"/>
    <w:rsid w:val="00534E42"/>
    <w:rsid w:val="005352B5"/>
    <w:rsid w:val="0053623B"/>
    <w:rsid w:val="0053631F"/>
    <w:rsid w:val="0053639F"/>
    <w:rsid w:val="005365C3"/>
    <w:rsid w:val="00536613"/>
    <w:rsid w:val="00536734"/>
    <w:rsid w:val="00536864"/>
    <w:rsid w:val="00536994"/>
    <w:rsid w:val="00536DA1"/>
    <w:rsid w:val="00537BBE"/>
    <w:rsid w:val="00537D0A"/>
    <w:rsid w:val="00537E36"/>
    <w:rsid w:val="00537E81"/>
    <w:rsid w:val="005403E6"/>
    <w:rsid w:val="00540451"/>
    <w:rsid w:val="005409B6"/>
    <w:rsid w:val="0054135F"/>
    <w:rsid w:val="00541A2D"/>
    <w:rsid w:val="00541F7F"/>
    <w:rsid w:val="00542942"/>
    <w:rsid w:val="00542C64"/>
    <w:rsid w:val="00543549"/>
    <w:rsid w:val="005442EE"/>
    <w:rsid w:val="00544591"/>
    <w:rsid w:val="00544D2F"/>
    <w:rsid w:val="00544D55"/>
    <w:rsid w:val="005454BB"/>
    <w:rsid w:val="0054551C"/>
    <w:rsid w:val="005457F6"/>
    <w:rsid w:val="005464AF"/>
    <w:rsid w:val="0054651A"/>
    <w:rsid w:val="005465B2"/>
    <w:rsid w:val="0054665B"/>
    <w:rsid w:val="00546768"/>
    <w:rsid w:val="00546EE1"/>
    <w:rsid w:val="005472A1"/>
    <w:rsid w:val="005477BF"/>
    <w:rsid w:val="005479DE"/>
    <w:rsid w:val="005506DB"/>
    <w:rsid w:val="005508D7"/>
    <w:rsid w:val="005509D1"/>
    <w:rsid w:val="00550AA8"/>
    <w:rsid w:val="00550EA0"/>
    <w:rsid w:val="0055125E"/>
    <w:rsid w:val="00551714"/>
    <w:rsid w:val="005517F1"/>
    <w:rsid w:val="00551A4F"/>
    <w:rsid w:val="0055234A"/>
    <w:rsid w:val="00552A07"/>
    <w:rsid w:val="00552F6B"/>
    <w:rsid w:val="005534DE"/>
    <w:rsid w:val="0055376D"/>
    <w:rsid w:val="00553C2C"/>
    <w:rsid w:val="00553FA6"/>
    <w:rsid w:val="0055459E"/>
    <w:rsid w:val="00554631"/>
    <w:rsid w:val="005546C1"/>
    <w:rsid w:val="005546E5"/>
    <w:rsid w:val="0055481A"/>
    <w:rsid w:val="00554ADD"/>
    <w:rsid w:val="0055508B"/>
    <w:rsid w:val="0055531B"/>
    <w:rsid w:val="00555586"/>
    <w:rsid w:val="005556BC"/>
    <w:rsid w:val="00555C74"/>
    <w:rsid w:val="00555CEF"/>
    <w:rsid w:val="00555CFC"/>
    <w:rsid w:val="0055617D"/>
    <w:rsid w:val="00556BFB"/>
    <w:rsid w:val="005572EE"/>
    <w:rsid w:val="00557553"/>
    <w:rsid w:val="005578ED"/>
    <w:rsid w:val="00560435"/>
    <w:rsid w:val="00560705"/>
    <w:rsid w:val="005609D1"/>
    <w:rsid w:val="00560BE7"/>
    <w:rsid w:val="0056106D"/>
    <w:rsid w:val="00561256"/>
    <w:rsid w:val="005612D7"/>
    <w:rsid w:val="0056149E"/>
    <w:rsid w:val="00561A52"/>
    <w:rsid w:val="00562028"/>
    <w:rsid w:val="0056212B"/>
    <w:rsid w:val="005623CA"/>
    <w:rsid w:val="00562C31"/>
    <w:rsid w:val="00562DD4"/>
    <w:rsid w:val="00562FE5"/>
    <w:rsid w:val="00563273"/>
    <w:rsid w:val="00563294"/>
    <w:rsid w:val="00563667"/>
    <w:rsid w:val="00563DF9"/>
    <w:rsid w:val="00563F32"/>
    <w:rsid w:val="0056467A"/>
    <w:rsid w:val="00564972"/>
    <w:rsid w:val="00564AC9"/>
    <w:rsid w:val="00564DD2"/>
    <w:rsid w:val="00564DF1"/>
    <w:rsid w:val="0056504B"/>
    <w:rsid w:val="0056526B"/>
    <w:rsid w:val="005657F7"/>
    <w:rsid w:val="00565B5C"/>
    <w:rsid w:val="00565C11"/>
    <w:rsid w:val="005660F9"/>
    <w:rsid w:val="00566117"/>
    <w:rsid w:val="00567D2E"/>
    <w:rsid w:val="00570082"/>
    <w:rsid w:val="005700C7"/>
    <w:rsid w:val="00570137"/>
    <w:rsid w:val="0057023A"/>
    <w:rsid w:val="005703B9"/>
    <w:rsid w:val="00570539"/>
    <w:rsid w:val="0057085D"/>
    <w:rsid w:val="00570AD4"/>
    <w:rsid w:val="00570B12"/>
    <w:rsid w:val="00570C5B"/>
    <w:rsid w:val="00570E87"/>
    <w:rsid w:val="00571270"/>
    <w:rsid w:val="00571612"/>
    <w:rsid w:val="00571732"/>
    <w:rsid w:val="0057195A"/>
    <w:rsid w:val="005719C6"/>
    <w:rsid w:val="00571CFF"/>
    <w:rsid w:val="00571D7F"/>
    <w:rsid w:val="00572140"/>
    <w:rsid w:val="005721C8"/>
    <w:rsid w:val="00572429"/>
    <w:rsid w:val="00572BAD"/>
    <w:rsid w:val="005737D9"/>
    <w:rsid w:val="00573AA9"/>
    <w:rsid w:val="00573B06"/>
    <w:rsid w:val="00573BF1"/>
    <w:rsid w:val="0057429C"/>
    <w:rsid w:val="005743C5"/>
    <w:rsid w:val="005745AE"/>
    <w:rsid w:val="00574B25"/>
    <w:rsid w:val="00574F49"/>
    <w:rsid w:val="00575197"/>
    <w:rsid w:val="005751B1"/>
    <w:rsid w:val="0057535C"/>
    <w:rsid w:val="00575A60"/>
    <w:rsid w:val="00575CEE"/>
    <w:rsid w:val="00576411"/>
    <w:rsid w:val="00576710"/>
    <w:rsid w:val="00576AC9"/>
    <w:rsid w:val="00576F35"/>
    <w:rsid w:val="00577276"/>
    <w:rsid w:val="00580C48"/>
    <w:rsid w:val="00581AF9"/>
    <w:rsid w:val="00581C18"/>
    <w:rsid w:val="00581F39"/>
    <w:rsid w:val="0058282E"/>
    <w:rsid w:val="005828C1"/>
    <w:rsid w:val="00582E08"/>
    <w:rsid w:val="00582F25"/>
    <w:rsid w:val="00583339"/>
    <w:rsid w:val="0058345A"/>
    <w:rsid w:val="0058370F"/>
    <w:rsid w:val="00583814"/>
    <w:rsid w:val="005838C4"/>
    <w:rsid w:val="005838DA"/>
    <w:rsid w:val="0058399A"/>
    <w:rsid w:val="00583A39"/>
    <w:rsid w:val="00583AD3"/>
    <w:rsid w:val="00583C0B"/>
    <w:rsid w:val="00583F56"/>
    <w:rsid w:val="0058412C"/>
    <w:rsid w:val="00584736"/>
    <w:rsid w:val="005847F7"/>
    <w:rsid w:val="005850DC"/>
    <w:rsid w:val="005851E2"/>
    <w:rsid w:val="00585274"/>
    <w:rsid w:val="005853A6"/>
    <w:rsid w:val="005853B4"/>
    <w:rsid w:val="005856E3"/>
    <w:rsid w:val="00585BDA"/>
    <w:rsid w:val="00585BE9"/>
    <w:rsid w:val="00586221"/>
    <w:rsid w:val="00586582"/>
    <w:rsid w:val="005868B3"/>
    <w:rsid w:val="0058698B"/>
    <w:rsid w:val="0058765A"/>
    <w:rsid w:val="0058770F"/>
    <w:rsid w:val="00587BBA"/>
    <w:rsid w:val="00587FC2"/>
    <w:rsid w:val="0059048B"/>
    <w:rsid w:val="005907E4"/>
    <w:rsid w:val="00591151"/>
    <w:rsid w:val="005911BC"/>
    <w:rsid w:val="0059155F"/>
    <w:rsid w:val="00591566"/>
    <w:rsid w:val="0059237A"/>
    <w:rsid w:val="005924E5"/>
    <w:rsid w:val="0059259B"/>
    <w:rsid w:val="00592724"/>
    <w:rsid w:val="005927FB"/>
    <w:rsid w:val="00592C35"/>
    <w:rsid w:val="0059347F"/>
    <w:rsid w:val="00593D91"/>
    <w:rsid w:val="00593E9A"/>
    <w:rsid w:val="00593F37"/>
    <w:rsid w:val="0059403B"/>
    <w:rsid w:val="00594043"/>
    <w:rsid w:val="005943B5"/>
    <w:rsid w:val="005943CC"/>
    <w:rsid w:val="005944A5"/>
    <w:rsid w:val="00594B95"/>
    <w:rsid w:val="00594BA5"/>
    <w:rsid w:val="00594F52"/>
    <w:rsid w:val="0059518D"/>
    <w:rsid w:val="00595F47"/>
    <w:rsid w:val="00595FB7"/>
    <w:rsid w:val="0059637D"/>
    <w:rsid w:val="00596421"/>
    <w:rsid w:val="00596B74"/>
    <w:rsid w:val="00596BB1"/>
    <w:rsid w:val="00596FBD"/>
    <w:rsid w:val="005970E9"/>
    <w:rsid w:val="005976B6"/>
    <w:rsid w:val="0059772D"/>
    <w:rsid w:val="00597946"/>
    <w:rsid w:val="00597B16"/>
    <w:rsid w:val="00597CE0"/>
    <w:rsid w:val="005A00E1"/>
    <w:rsid w:val="005A08A3"/>
    <w:rsid w:val="005A0BA0"/>
    <w:rsid w:val="005A1100"/>
    <w:rsid w:val="005A309B"/>
    <w:rsid w:val="005A31D3"/>
    <w:rsid w:val="005A3231"/>
    <w:rsid w:val="005A3314"/>
    <w:rsid w:val="005A3880"/>
    <w:rsid w:val="005A392E"/>
    <w:rsid w:val="005A3C4F"/>
    <w:rsid w:val="005A41EC"/>
    <w:rsid w:val="005A43D1"/>
    <w:rsid w:val="005A460D"/>
    <w:rsid w:val="005A4D91"/>
    <w:rsid w:val="005A5369"/>
    <w:rsid w:val="005A5562"/>
    <w:rsid w:val="005A569D"/>
    <w:rsid w:val="005A5919"/>
    <w:rsid w:val="005A5A67"/>
    <w:rsid w:val="005A5CA5"/>
    <w:rsid w:val="005A5D7C"/>
    <w:rsid w:val="005A622E"/>
    <w:rsid w:val="005A6781"/>
    <w:rsid w:val="005A6AE0"/>
    <w:rsid w:val="005A6AFC"/>
    <w:rsid w:val="005A6DEA"/>
    <w:rsid w:val="005A6F27"/>
    <w:rsid w:val="005A6FFF"/>
    <w:rsid w:val="005A7331"/>
    <w:rsid w:val="005A7401"/>
    <w:rsid w:val="005A7404"/>
    <w:rsid w:val="005A7678"/>
    <w:rsid w:val="005A7700"/>
    <w:rsid w:val="005A78BE"/>
    <w:rsid w:val="005A7D9A"/>
    <w:rsid w:val="005B074B"/>
    <w:rsid w:val="005B07D5"/>
    <w:rsid w:val="005B0BC6"/>
    <w:rsid w:val="005B11A9"/>
    <w:rsid w:val="005B1305"/>
    <w:rsid w:val="005B13E3"/>
    <w:rsid w:val="005B14B3"/>
    <w:rsid w:val="005B1A42"/>
    <w:rsid w:val="005B1CED"/>
    <w:rsid w:val="005B208F"/>
    <w:rsid w:val="005B258A"/>
    <w:rsid w:val="005B26B7"/>
    <w:rsid w:val="005B27B3"/>
    <w:rsid w:val="005B2E72"/>
    <w:rsid w:val="005B30D7"/>
    <w:rsid w:val="005B3155"/>
    <w:rsid w:val="005B3247"/>
    <w:rsid w:val="005B352D"/>
    <w:rsid w:val="005B35DF"/>
    <w:rsid w:val="005B38A8"/>
    <w:rsid w:val="005B3F32"/>
    <w:rsid w:val="005B4321"/>
    <w:rsid w:val="005B470D"/>
    <w:rsid w:val="005B47C7"/>
    <w:rsid w:val="005B4AF9"/>
    <w:rsid w:val="005B50E6"/>
    <w:rsid w:val="005B5508"/>
    <w:rsid w:val="005B59AF"/>
    <w:rsid w:val="005B5A6D"/>
    <w:rsid w:val="005B5B96"/>
    <w:rsid w:val="005B5E09"/>
    <w:rsid w:val="005B5E94"/>
    <w:rsid w:val="005B60E3"/>
    <w:rsid w:val="005B6328"/>
    <w:rsid w:val="005B6372"/>
    <w:rsid w:val="005B6407"/>
    <w:rsid w:val="005B6D9B"/>
    <w:rsid w:val="005B70E6"/>
    <w:rsid w:val="005B79BD"/>
    <w:rsid w:val="005B7BF4"/>
    <w:rsid w:val="005B7E0F"/>
    <w:rsid w:val="005B7E50"/>
    <w:rsid w:val="005C0182"/>
    <w:rsid w:val="005C05E1"/>
    <w:rsid w:val="005C06E8"/>
    <w:rsid w:val="005C087C"/>
    <w:rsid w:val="005C08B1"/>
    <w:rsid w:val="005C0E04"/>
    <w:rsid w:val="005C0ED0"/>
    <w:rsid w:val="005C1058"/>
    <w:rsid w:val="005C2950"/>
    <w:rsid w:val="005C2D49"/>
    <w:rsid w:val="005C2EA3"/>
    <w:rsid w:val="005C301F"/>
    <w:rsid w:val="005C3483"/>
    <w:rsid w:val="005C3A06"/>
    <w:rsid w:val="005C3A37"/>
    <w:rsid w:val="005C3B7B"/>
    <w:rsid w:val="005C3D7F"/>
    <w:rsid w:val="005C40C6"/>
    <w:rsid w:val="005C41E3"/>
    <w:rsid w:val="005C45CE"/>
    <w:rsid w:val="005C4D78"/>
    <w:rsid w:val="005C5287"/>
    <w:rsid w:val="005C546B"/>
    <w:rsid w:val="005C5924"/>
    <w:rsid w:val="005C6005"/>
    <w:rsid w:val="005C6047"/>
    <w:rsid w:val="005C6075"/>
    <w:rsid w:val="005C7687"/>
    <w:rsid w:val="005C7AFC"/>
    <w:rsid w:val="005C7B05"/>
    <w:rsid w:val="005C7FC8"/>
    <w:rsid w:val="005D00E5"/>
    <w:rsid w:val="005D0D9C"/>
    <w:rsid w:val="005D0ED5"/>
    <w:rsid w:val="005D1760"/>
    <w:rsid w:val="005D1BBA"/>
    <w:rsid w:val="005D1DB6"/>
    <w:rsid w:val="005D1EAF"/>
    <w:rsid w:val="005D2E00"/>
    <w:rsid w:val="005D3166"/>
    <w:rsid w:val="005D361E"/>
    <w:rsid w:val="005D37E9"/>
    <w:rsid w:val="005D3AD4"/>
    <w:rsid w:val="005D4043"/>
    <w:rsid w:val="005D4F46"/>
    <w:rsid w:val="005D5491"/>
    <w:rsid w:val="005D5568"/>
    <w:rsid w:val="005D5583"/>
    <w:rsid w:val="005D55A9"/>
    <w:rsid w:val="005D5A04"/>
    <w:rsid w:val="005D5D40"/>
    <w:rsid w:val="005D6232"/>
    <w:rsid w:val="005D658E"/>
    <w:rsid w:val="005D70EF"/>
    <w:rsid w:val="005D7102"/>
    <w:rsid w:val="005D778C"/>
    <w:rsid w:val="005D7A95"/>
    <w:rsid w:val="005D7BE1"/>
    <w:rsid w:val="005E0234"/>
    <w:rsid w:val="005E0403"/>
    <w:rsid w:val="005E0513"/>
    <w:rsid w:val="005E0621"/>
    <w:rsid w:val="005E1098"/>
    <w:rsid w:val="005E1226"/>
    <w:rsid w:val="005E1356"/>
    <w:rsid w:val="005E1758"/>
    <w:rsid w:val="005E17DA"/>
    <w:rsid w:val="005E1CFC"/>
    <w:rsid w:val="005E1EAA"/>
    <w:rsid w:val="005E21D1"/>
    <w:rsid w:val="005E22A8"/>
    <w:rsid w:val="005E29C6"/>
    <w:rsid w:val="005E2AB0"/>
    <w:rsid w:val="005E2C94"/>
    <w:rsid w:val="005E2CAF"/>
    <w:rsid w:val="005E33EC"/>
    <w:rsid w:val="005E397F"/>
    <w:rsid w:val="005E3E34"/>
    <w:rsid w:val="005E4097"/>
    <w:rsid w:val="005E45FA"/>
    <w:rsid w:val="005E4948"/>
    <w:rsid w:val="005E4AA2"/>
    <w:rsid w:val="005E4AEE"/>
    <w:rsid w:val="005E4C3C"/>
    <w:rsid w:val="005E4DF7"/>
    <w:rsid w:val="005E516A"/>
    <w:rsid w:val="005E5617"/>
    <w:rsid w:val="005E56B1"/>
    <w:rsid w:val="005E5B3E"/>
    <w:rsid w:val="005E5C45"/>
    <w:rsid w:val="005E666E"/>
    <w:rsid w:val="005E66B1"/>
    <w:rsid w:val="005E6AC1"/>
    <w:rsid w:val="005E6F76"/>
    <w:rsid w:val="005E6FC2"/>
    <w:rsid w:val="005E709B"/>
    <w:rsid w:val="005E7A7A"/>
    <w:rsid w:val="005E7CCE"/>
    <w:rsid w:val="005E7EB8"/>
    <w:rsid w:val="005F006C"/>
    <w:rsid w:val="005F0C5A"/>
    <w:rsid w:val="005F0DBC"/>
    <w:rsid w:val="005F0F98"/>
    <w:rsid w:val="005F0FD9"/>
    <w:rsid w:val="005F1444"/>
    <w:rsid w:val="005F1B3A"/>
    <w:rsid w:val="005F22D8"/>
    <w:rsid w:val="005F23EF"/>
    <w:rsid w:val="005F23F8"/>
    <w:rsid w:val="005F2A4C"/>
    <w:rsid w:val="005F2AC4"/>
    <w:rsid w:val="005F3C35"/>
    <w:rsid w:val="005F3C52"/>
    <w:rsid w:val="005F4896"/>
    <w:rsid w:val="005F4E79"/>
    <w:rsid w:val="005F50F8"/>
    <w:rsid w:val="005F539E"/>
    <w:rsid w:val="005F576F"/>
    <w:rsid w:val="005F6385"/>
    <w:rsid w:val="005F675C"/>
    <w:rsid w:val="005F6794"/>
    <w:rsid w:val="005F6BBF"/>
    <w:rsid w:val="005F6FAC"/>
    <w:rsid w:val="005F72A2"/>
    <w:rsid w:val="005F7420"/>
    <w:rsid w:val="005F775B"/>
    <w:rsid w:val="005F7806"/>
    <w:rsid w:val="0060029A"/>
    <w:rsid w:val="006007C7"/>
    <w:rsid w:val="00600A3F"/>
    <w:rsid w:val="00600CC0"/>
    <w:rsid w:val="00600E47"/>
    <w:rsid w:val="00601FDC"/>
    <w:rsid w:val="00602720"/>
    <w:rsid w:val="00602CFA"/>
    <w:rsid w:val="00603068"/>
    <w:rsid w:val="006032C1"/>
    <w:rsid w:val="00603994"/>
    <w:rsid w:val="00603B5C"/>
    <w:rsid w:val="00604869"/>
    <w:rsid w:val="006048C2"/>
    <w:rsid w:val="0060490E"/>
    <w:rsid w:val="00604E1C"/>
    <w:rsid w:val="00605450"/>
    <w:rsid w:val="00605562"/>
    <w:rsid w:val="00605ECA"/>
    <w:rsid w:val="0060604D"/>
    <w:rsid w:val="00606317"/>
    <w:rsid w:val="00606843"/>
    <w:rsid w:val="00606880"/>
    <w:rsid w:val="00607275"/>
    <w:rsid w:val="006075A5"/>
    <w:rsid w:val="00607A06"/>
    <w:rsid w:val="00607C2E"/>
    <w:rsid w:val="00607F0F"/>
    <w:rsid w:val="0061027E"/>
    <w:rsid w:val="0061060A"/>
    <w:rsid w:val="00610DA8"/>
    <w:rsid w:val="00610F95"/>
    <w:rsid w:val="00610FEE"/>
    <w:rsid w:val="00611503"/>
    <w:rsid w:val="00611562"/>
    <w:rsid w:val="0061185E"/>
    <w:rsid w:val="00611968"/>
    <w:rsid w:val="00612555"/>
    <w:rsid w:val="006126FD"/>
    <w:rsid w:val="00612828"/>
    <w:rsid w:val="00612EBA"/>
    <w:rsid w:val="006135A3"/>
    <w:rsid w:val="00613FED"/>
    <w:rsid w:val="006144B1"/>
    <w:rsid w:val="006144CE"/>
    <w:rsid w:val="00614C06"/>
    <w:rsid w:val="00614DA0"/>
    <w:rsid w:val="006150D3"/>
    <w:rsid w:val="0061530A"/>
    <w:rsid w:val="0061554B"/>
    <w:rsid w:val="00615638"/>
    <w:rsid w:val="00615CCA"/>
    <w:rsid w:val="0061647A"/>
    <w:rsid w:val="006165C0"/>
    <w:rsid w:val="006167DA"/>
    <w:rsid w:val="00617390"/>
    <w:rsid w:val="006202E7"/>
    <w:rsid w:val="006207D0"/>
    <w:rsid w:val="0062093D"/>
    <w:rsid w:val="00620AFF"/>
    <w:rsid w:val="00620B22"/>
    <w:rsid w:val="00620B41"/>
    <w:rsid w:val="0062132F"/>
    <w:rsid w:val="006214BC"/>
    <w:rsid w:val="00621A89"/>
    <w:rsid w:val="00621A8F"/>
    <w:rsid w:val="00622016"/>
    <w:rsid w:val="00622322"/>
    <w:rsid w:val="006223B5"/>
    <w:rsid w:val="00622762"/>
    <w:rsid w:val="00622902"/>
    <w:rsid w:val="00622E29"/>
    <w:rsid w:val="006231C9"/>
    <w:rsid w:val="0062322D"/>
    <w:rsid w:val="00623446"/>
    <w:rsid w:val="00623AA6"/>
    <w:rsid w:val="00623B5F"/>
    <w:rsid w:val="00623D80"/>
    <w:rsid w:val="00624190"/>
    <w:rsid w:val="00624677"/>
    <w:rsid w:val="0062475D"/>
    <w:rsid w:val="00625363"/>
    <w:rsid w:val="00625C00"/>
    <w:rsid w:val="00626563"/>
    <w:rsid w:val="00626700"/>
    <w:rsid w:val="006267A2"/>
    <w:rsid w:val="00626ABC"/>
    <w:rsid w:val="00626C39"/>
    <w:rsid w:val="00626E02"/>
    <w:rsid w:val="00627BB4"/>
    <w:rsid w:val="006305D7"/>
    <w:rsid w:val="00630921"/>
    <w:rsid w:val="00630CC0"/>
    <w:rsid w:val="00630EE1"/>
    <w:rsid w:val="00631614"/>
    <w:rsid w:val="006317E3"/>
    <w:rsid w:val="00631895"/>
    <w:rsid w:val="006322F4"/>
    <w:rsid w:val="00632C26"/>
    <w:rsid w:val="00632E72"/>
    <w:rsid w:val="006334A9"/>
    <w:rsid w:val="00633E94"/>
    <w:rsid w:val="00634571"/>
    <w:rsid w:val="006347D1"/>
    <w:rsid w:val="00635103"/>
    <w:rsid w:val="006353A9"/>
    <w:rsid w:val="006353BA"/>
    <w:rsid w:val="006358E1"/>
    <w:rsid w:val="00635B5E"/>
    <w:rsid w:val="00635ED8"/>
    <w:rsid w:val="00635F4C"/>
    <w:rsid w:val="00636173"/>
    <w:rsid w:val="006361BE"/>
    <w:rsid w:val="00636A8C"/>
    <w:rsid w:val="00636DDD"/>
    <w:rsid w:val="006371FA"/>
    <w:rsid w:val="006375D3"/>
    <w:rsid w:val="00637A41"/>
    <w:rsid w:val="00637C1D"/>
    <w:rsid w:val="00637D7E"/>
    <w:rsid w:val="00640336"/>
    <w:rsid w:val="006403BA"/>
    <w:rsid w:val="00640425"/>
    <w:rsid w:val="00640549"/>
    <w:rsid w:val="00640B24"/>
    <w:rsid w:val="00640B72"/>
    <w:rsid w:val="00640C05"/>
    <w:rsid w:val="0064103C"/>
    <w:rsid w:val="00641245"/>
    <w:rsid w:val="006416A8"/>
    <w:rsid w:val="006417AA"/>
    <w:rsid w:val="00641A70"/>
    <w:rsid w:val="00641F01"/>
    <w:rsid w:val="0064247C"/>
    <w:rsid w:val="0064261E"/>
    <w:rsid w:val="006426A0"/>
    <w:rsid w:val="006426EF"/>
    <w:rsid w:val="00642B14"/>
    <w:rsid w:val="006431E2"/>
    <w:rsid w:val="006437CF"/>
    <w:rsid w:val="00644487"/>
    <w:rsid w:val="00644D95"/>
    <w:rsid w:val="006454CA"/>
    <w:rsid w:val="006455C4"/>
    <w:rsid w:val="0064577B"/>
    <w:rsid w:val="00645AEE"/>
    <w:rsid w:val="00645EE9"/>
    <w:rsid w:val="00645F70"/>
    <w:rsid w:val="00646BFF"/>
    <w:rsid w:val="00647562"/>
    <w:rsid w:val="00647B73"/>
    <w:rsid w:val="00647BDE"/>
    <w:rsid w:val="00650223"/>
    <w:rsid w:val="00650231"/>
    <w:rsid w:val="0065061F"/>
    <w:rsid w:val="00650BD8"/>
    <w:rsid w:val="00650DE7"/>
    <w:rsid w:val="00651100"/>
    <w:rsid w:val="0065119A"/>
    <w:rsid w:val="00651326"/>
    <w:rsid w:val="00651E9D"/>
    <w:rsid w:val="0065257D"/>
    <w:rsid w:val="00652682"/>
    <w:rsid w:val="006530AF"/>
    <w:rsid w:val="006530D2"/>
    <w:rsid w:val="00653155"/>
    <w:rsid w:val="00653392"/>
    <w:rsid w:val="006533C8"/>
    <w:rsid w:val="0065353D"/>
    <w:rsid w:val="0065359F"/>
    <w:rsid w:val="006535D5"/>
    <w:rsid w:val="00654049"/>
    <w:rsid w:val="0065406A"/>
    <w:rsid w:val="006540E1"/>
    <w:rsid w:val="006542B9"/>
    <w:rsid w:val="00654990"/>
    <w:rsid w:val="00654A44"/>
    <w:rsid w:val="00654CAA"/>
    <w:rsid w:val="00655156"/>
    <w:rsid w:val="00655D82"/>
    <w:rsid w:val="00655DC4"/>
    <w:rsid w:val="006560A7"/>
    <w:rsid w:val="00656314"/>
    <w:rsid w:val="00656A21"/>
    <w:rsid w:val="00656E67"/>
    <w:rsid w:val="00656E8F"/>
    <w:rsid w:val="00657057"/>
    <w:rsid w:val="006573FF"/>
    <w:rsid w:val="006574CA"/>
    <w:rsid w:val="00657834"/>
    <w:rsid w:val="00657BE1"/>
    <w:rsid w:val="00657D68"/>
    <w:rsid w:val="00657DB5"/>
    <w:rsid w:val="00657E62"/>
    <w:rsid w:val="0066008A"/>
    <w:rsid w:val="006601D6"/>
    <w:rsid w:val="00660A03"/>
    <w:rsid w:val="00660A3A"/>
    <w:rsid w:val="00660B45"/>
    <w:rsid w:val="00660D6A"/>
    <w:rsid w:val="00661959"/>
    <w:rsid w:val="00662302"/>
    <w:rsid w:val="006626BA"/>
    <w:rsid w:val="00662AC5"/>
    <w:rsid w:val="00662B7F"/>
    <w:rsid w:val="006631DA"/>
    <w:rsid w:val="0066320D"/>
    <w:rsid w:val="006633C9"/>
    <w:rsid w:val="00663BA9"/>
    <w:rsid w:val="00663BAB"/>
    <w:rsid w:val="00664147"/>
    <w:rsid w:val="0066438C"/>
    <w:rsid w:val="006645E8"/>
    <w:rsid w:val="0066485A"/>
    <w:rsid w:val="00664E56"/>
    <w:rsid w:val="00664F11"/>
    <w:rsid w:val="00665535"/>
    <w:rsid w:val="006658F3"/>
    <w:rsid w:val="00665A5A"/>
    <w:rsid w:val="00665A91"/>
    <w:rsid w:val="00665FC8"/>
    <w:rsid w:val="00666230"/>
    <w:rsid w:val="00666488"/>
    <w:rsid w:val="006664BE"/>
    <w:rsid w:val="0066651B"/>
    <w:rsid w:val="0066673B"/>
    <w:rsid w:val="00666858"/>
    <w:rsid w:val="006669D0"/>
    <w:rsid w:val="00666C47"/>
    <w:rsid w:val="00667270"/>
    <w:rsid w:val="0067025C"/>
    <w:rsid w:val="00670508"/>
    <w:rsid w:val="0067108C"/>
    <w:rsid w:val="00671205"/>
    <w:rsid w:val="00671262"/>
    <w:rsid w:val="00671D86"/>
    <w:rsid w:val="00671F20"/>
    <w:rsid w:val="0067224C"/>
    <w:rsid w:val="00672413"/>
    <w:rsid w:val="00672859"/>
    <w:rsid w:val="00672A2B"/>
    <w:rsid w:val="00672E27"/>
    <w:rsid w:val="00672E80"/>
    <w:rsid w:val="00673029"/>
    <w:rsid w:val="006731AD"/>
    <w:rsid w:val="00673382"/>
    <w:rsid w:val="0067349F"/>
    <w:rsid w:val="006734D5"/>
    <w:rsid w:val="00673738"/>
    <w:rsid w:val="00673A4C"/>
    <w:rsid w:val="00673E3E"/>
    <w:rsid w:val="006740AE"/>
    <w:rsid w:val="00674796"/>
    <w:rsid w:val="006747BC"/>
    <w:rsid w:val="00674AA9"/>
    <w:rsid w:val="00674CEA"/>
    <w:rsid w:val="00675118"/>
    <w:rsid w:val="00675282"/>
    <w:rsid w:val="006752BE"/>
    <w:rsid w:val="0067531F"/>
    <w:rsid w:val="006756C5"/>
    <w:rsid w:val="006757F8"/>
    <w:rsid w:val="006760C1"/>
    <w:rsid w:val="00676204"/>
    <w:rsid w:val="0067661B"/>
    <w:rsid w:val="006767DA"/>
    <w:rsid w:val="00676A55"/>
    <w:rsid w:val="00676A5D"/>
    <w:rsid w:val="00676A81"/>
    <w:rsid w:val="00676FF5"/>
    <w:rsid w:val="0067703A"/>
    <w:rsid w:val="00677208"/>
    <w:rsid w:val="00677251"/>
    <w:rsid w:val="00677364"/>
    <w:rsid w:val="0067760D"/>
    <w:rsid w:val="00677DCE"/>
    <w:rsid w:val="00677DE2"/>
    <w:rsid w:val="00677E3C"/>
    <w:rsid w:val="006806EA"/>
    <w:rsid w:val="00680875"/>
    <w:rsid w:val="00680AA3"/>
    <w:rsid w:val="00680F55"/>
    <w:rsid w:val="00681736"/>
    <w:rsid w:val="00681DDE"/>
    <w:rsid w:val="00681F66"/>
    <w:rsid w:val="006820B7"/>
    <w:rsid w:val="00682819"/>
    <w:rsid w:val="00682946"/>
    <w:rsid w:val="0068335D"/>
    <w:rsid w:val="00683B2F"/>
    <w:rsid w:val="00683EC2"/>
    <w:rsid w:val="00684043"/>
    <w:rsid w:val="00684123"/>
    <w:rsid w:val="006842BA"/>
    <w:rsid w:val="006844B1"/>
    <w:rsid w:val="006847E1"/>
    <w:rsid w:val="006848D7"/>
    <w:rsid w:val="00684DB4"/>
    <w:rsid w:val="00684DE6"/>
    <w:rsid w:val="00684F6D"/>
    <w:rsid w:val="0068531A"/>
    <w:rsid w:val="00685673"/>
    <w:rsid w:val="006857E1"/>
    <w:rsid w:val="00685A0B"/>
    <w:rsid w:val="00685FFF"/>
    <w:rsid w:val="006862AB"/>
    <w:rsid w:val="00686970"/>
    <w:rsid w:val="00687B62"/>
    <w:rsid w:val="006901CD"/>
    <w:rsid w:val="00690282"/>
    <w:rsid w:val="00690370"/>
    <w:rsid w:val="006905C3"/>
    <w:rsid w:val="00690B09"/>
    <w:rsid w:val="00690CB3"/>
    <w:rsid w:val="00691114"/>
    <w:rsid w:val="00691662"/>
    <w:rsid w:val="006919C8"/>
    <w:rsid w:val="00691A62"/>
    <w:rsid w:val="006926B7"/>
    <w:rsid w:val="006926C0"/>
    <w:rsid w:val="0069276B"/>
    <w:rsid w:val="0069303F"/>
    <w:rsid w:val="00693126"/>
    <w:rsid w:val="006931DD"/>
    <w:rsid w:val="0069366D"/>
    <w:rsid w:val="00693670"/>
    <w:rsid w:val="00693BD4"/>
    <w:rsid w:val="00693C03"/>
    <w:rsid w:val="0069428D"/>
    <w:rsid w:val="006943AE"/>
    <w:rsid w:val="006943FC"/>
    <w:rsid w:val="00694588"/>
    <w:rsid w:val="00694685"/>
    <w:rsid w:val="006946AC"/>
    <w:rsid w:val="006949AD"/>
    <w:rsid w:val="00694AA8"/>
    <w:rsid w:val="00694DA8"/>
    <w:rsid w:val="006951A6"/>
    <w:rsid w:val="0069527E"/>
    <w:rsid w:val="006957AE"/>
    <w:rsid w:val="006957EC"/>
    <w:rsid w:val="00695C68"/>
    <w:rsid w:val="00695D42"/>
    <w:rsid w:val="00695DED"/>
    <w:rsid w:val="0069609C"/>
    <w:rsid w:val="00696449"/>
    <w:rsid w:val="0069649E"/>
    <w:rsid w:val="00696B8B"/>
    <w:rsid w:val="00696D8E"/>
    <w:rsid w:val="00697593"/>
    <w:rsid w:val="00697B53"/>
    <w:rsid w:val="00697FE0"/>
    <w:rsid w:val="006A00EC"/>
    <w:rsid w:val="006A035C"/>
    <w:rsid w:val="006A0379"/>
    <w:rsid w:val="006A0423"/>
    <w:rsid w:val="006A052E"/>
    <w:rsid w:val="006A068C"/>
    <w:rsid w:val="006A0A71"/>
    <w:rsid w:val="006A1151"/>
    <w:rsid w:val="006A1196"/>
    <w:rsid w:val="006A132D"/>
    <w:rsid w:val="006A13A5"/>
    <w:rsid w:val="006A1733"/>
    <w:rsid w:val="006A1AAF"/>
    <w:rsid w:val="006A1F2A"/>
    <w:rsid w:val="006A2399"/>
    <w:rsid w:val="006A2CB4"/>
    <w:rsid w:val="006A300B"/>
    <w:rsid w:val="006A33D2"/>
    <w:rsid w:val="006A3B30"/>
    <w:rsid w:val="006A3C0D"/>
    <w:rsid w:val="006A402A"/>
    <w:rsid w:val="006A4C4B"/>
    <w:rsid w:val="006A58BF"/>
    <w:rsid w:val="006A5A19"/>
    <w:rsid w:val="006A5DB1"/>
    <w:rsid w:val="006A65DF"/>
    <w:rsid w:val="006A66DF"/>
    <w:rsid w:val="006A66F0"/>
    <w:rsid w:val="006A7132"/>
    <w:rsid w:val="006A71E3"/>
    <w:rsid w:val="006A75F2"/>
    <w:rsid w:val="006A7704"/>
    <w:rsid w:val="006A7A5E"/>
    <w:rsid w:val="006A7C7F"/>
    <w:rsid w:val="006A7C96"/>
    <w:rsid w:val="006B02A6"/>
    <w:rsid w:val="006B068E"/>
    <w:rsid w:val="006B0795"/>
    <w:rsid w:val="006B0CB2"/>
    <w:rsid w:val="006B0EB0"/>
    <w:rsid w:val="006B1D56"/>
    <w:rsid w:val="006B1E66"/>
    <w:rsid w:val="006B1E7F"/>
    <w:rsid w:val="006B22A5"/>
    <w:rsid w:val="006B2382"/>
    <w:rsid w:val="006B2BB7"/>
    <w:rsid w:val="006B2D58"/>
    <w:rsid w:val="006B2DCA"/>
    <w:rsid w:val="006B30D0"/>
    <w:rsid w:val="006B3448"/>
    <w:rsid w:val="006B364C"/>
    <w:rsid w:val="006B3783"/>
    <w:rsid w:val="006B3B66"/>
    <w:rsid w:val="006B3E32"/>
    <w:rsid w:val="006B406D"/>
    <w:rsid w:val="006B43F4"/>
    <w:rsid w:val="006B4781"/>
    <w:rsid w:val="006B48F6"/>
    <w:rsid w:val="006B4BC3"/>
    <w:rsid w:val="006B5804"/>
    <w:rsid w:val="006B588D"/>
    <w:rsid w:val="006B5D5C"/>
    <w:rsid w:val="006B63AA"/>
    <w:rsid w:val="006B64CA"/>
    <w:rsid w:val="006B6573"/>
    <w:rsid w:val="006B6593"/>
    <w:rsid w:val="006B65B8"/>
    <w:rsid w:val="006B6B22"/>
    <w:rsid w:val="006B6BFA"/>
    <w:rsid w:val="006B7F2D"/>
    <w:rsid w:val="006B7F69"/>
    <w:rsid w:val="006C04A0"/>
    <w:rsid w:val="006C1736"/>
    <w:rsid w:val="006C1B25"/>
    <w:rsid w:val="006C1B6A"/>
    <w:rsid w:val="006C1C9F"/>
    <w:rsid w:val="006C2174"/>
    <w:rsid w:val="006C24B7"/>
    <w:rsid w:val="006C2545"/>
    <w:rsid w:val="006C2617"/>
    <w:rsid w:val="006C2C99"/>
    <w:rsid w:val="006C2C9D"/>
    <w:rsid w:val="006C379C"/>
    <w:rsid w:val="006C3E24"/>
    <w:rsid w:val="006C3EE8"/>
    <w:rsid w:val="006C460B"/>
    <w:rsid w:val="006C48B0"/>
    <w:rsid w:val="006C49D0"/>
    <w:rsid w:val="006C4A3C"/>
    <w:rsid w:val="006C50AB"/>
    <w:rsid w:val="006C54F3"/>
    <w:rsid w:val="006C55CD"/>
    <w:rsid w:val="006C5F29"/>
    <w:rsid w:val="006C5F2C"/>
    <w:rsid w:val="006C5FE3"/>
    <w:rsid w:val="006C6181"/>
    <w:rsid w:val="006C62B6"/>
    <w:rsid w:val="006C62D6"/>
    <w:rsid w:val="006C693D"/>
    <w:rsid w:val="006C70D1"/>
    <w:rsid w:val="006C746E"/>
    <w:rsid w:val="006C7926"/>
    <w:rsid w:val="006C79D9"/>
    <w:rsid w:val="006C7E03"/>
    <w:rsid w:val="006C7E88"/>
    <w:rsid w:val="006D01A7"/>
    <w:rsid w:val="006D0DE3"/>
    <w:rsid w:val="006D101A"/>
    <w:rsid w:val="006D124E"/>
    <w:rsid w:val="006D143E"/>
    <w:rsid w:val="006D14BF"/>
    <w:rsid w:val="006D17C8"/>
    <w:rsid w:val="006D1C0D"/>
    <w:rsid w:val="006D28AD"/>
    <w:rsid w:val="006D3023"/>
    <w:rsid w:val="006D3220"/>
    <w:rsid w:val="006D324E"/>
    <w:rsid w:val="006D33BA"/>
    <w:rsid w:val="006D3701"/>
    <w:rsid w:val="006D3A12"/>
    <w:rsid w:val="006D3B5A"/>
    <w:rsid w:val="006D3D34"/>
    <w:rsid w:val="006D3F64"/>
    <w:rsid w:val="006D4192"/>
    <w:rsid w:val="006D41E9"/>
    <w:rsid w:val="006D4600"/>
    <w:rsid w:val="006D4DE2"/>
    <w:rsid w:val="006D4F90"/>
    <w:rsid w:val="006D51D8"/>
    <w:rsid w:val="006D5311"/>
    <w:rsid w:val="006D5A74"/>
    <w:rsid w:val="006D5DAE"/>
    <w:rsid w:val="006D621D"/>
    <w:rsid w:val="006D6BE4"/>
    <w:rsid w:val="006D6C56"/>
    <w:rsid w:val="006D6C6D"/>
    <w:rsid w:val="006D7EF3"/>
    <w:rsid w:val="006E09A9"/>
    <w:rsid w:val="006E0C89"/>
    <w:rsid w:val="006E150E"/>
    <w:rsid w:val="006E19AA"/>
    <w:rsid w:val="006E20BC"/>
    <w:rsid w:val="006E234F"/>
    <w:rsid w:val="006E2A62"/>
    <w:rsid w:val="006E2C03"/>
    <w:rsid w:val="006E2E52"/>
    <w:rsid w:val="006E2E99"/>
    <w:rsid w:val="006E304D"/>
    <w:rsid w:val="006E30A5"/>
    <w:rsid w:val="006E3160"/>
    <w:rsid w:val="006E39BB"/>
    <w:rsid w:val="006E3EF6"/>
    <w:rsid w:val="006E4320"/>
    <w:rsid w:val="006E4375"/>
    <w:rsid w:val="006E4BA9"/>
    <w:rsid w:val="006E4E52"/>
    <w:rsid w:val="006E526F"/>
    <w:rsid w:val="006E5655"/>
    <w:rsid w:val="006E583F"/>
    <w:rsid w:val="006E59F0"/>
    <w:rsid w:val="006E6005"/>
    <w:rsid w:val="006E66A0"/>
    <w:rsid w:val="006E6896"/>
    <w:rsid w:val="006E69DB"/>
    <w:rsid w:val="006E6AAD"/>
    <w:rsid w:val="006E6B2A"/>
    <w:rsid w:val="006E6CEB"/>
    <w:rsid w:val="006E718D"/>
    <w:rsid w:val="006E72F8"/>
    <w:rsid w:val="006E785F"/>
    <w:rsid w:val="006E7FCF"/>
    <w:rsid w:val="006F00E5"/>
    <w:rsid w:val="006F0262"/>
    <w:rsid w:val="006F02A5"/>
    <w:rsid w:val="006F063C"/>
    <w:rsid w:val="006F07B4"/>
    <w:rsid w:val="006F0DD8"/>
    <w:rsid w:val="006F0E59"/>
    <w:rsid w:val="006F1164"/>
    <w:rsid w:val="006F11B9"/>
    <w:rsid w:val="006F1BB6"/>
    <w:rsid w:val="006F1F1A"/>
    <w:rsid w:val="006F21B6"/>
    <w:rsid w:val="006F22B9"/>
    <w:rsid w:val="006F2326"/>
    <w:rsid w:val="006F2385"/>
    <w:rsid w:val="006F2781"/>
    <w:rsid w:val="006F2AE8"/>
    <w:rsid w:val="006F3479"/>
    <w:rsid w:val="006F3614"/>
    <w:rsid w:val="006F3E6D"/>
    <w:rsid w:val="006F3EAE"/>
    <w:rsid w:val="006F41B3"/>
    <w:rsid w:val="006F41D3"/>
    <w:rsid w:val="006F4236"/>
    <w:rsid w:val="006F42BE"/>
    <w:rsid w:val="006F447A"/>
    <w:rsid w:val="006F44BF"/>
    <w:rsid w:val="006F47A1"/>
    <w:rsid w:val="006F4B30"/>
    <w:rsid w:val="006F52F0"/>
    <w:rsid w:val="006F5893"/>
    <w:rsid w:val="006F59D4"/>
    <w:rsid w:val="006F6095"/>
    <w:rsid w:val="006F616B"/>
    <w:rsid w:val="006F6246"/>
    <w:rsid w:val="006F7127"/>
    <w:rsid w:val="006F7B02"/>
    <w:rsid w:val="006F7DA0"/>
    <w:rsid w:val="006F7DA9"/>
    <w:rsid w:val="00700265"/>
    <w:rsid w:val="007004EC"/>
    <w:rsid w:val="007005C1"/>
    <w:rsid w:val="007007AD"/>
    <w:rsid w:val="00700BA2"/>
    <w:rsid w:val="007017F0"/>
    <w:rsid w:val="00701EAB"/>
    <w:rsid w:val="00702258"/>
    <w:rsid w:val="00702396"/>
    <w:rsid w:val="00703159"/>
    <w:rsid w:val="00703209"/>
    <w:rsid w:val="007032B3"/>
    <w:rsid w:val="007033FB"/>
    <w:rsid w:val="00703CB7"/>
    <w:rsid w:val="00703EF9"/>
    <w:rsid w:val="007053B4"/>
    <w:rsid w:val="00705668"/>
    <w:rsid w:val="007059B5"/>
    <w:rsid w:val="00705AA0"/>
    <w:rsid w:val="0070601D"/>
    <w:rsid w:val="00706228"/>
    <w:rsid w:val="0070623A"/>
    <w:rsid w:val="007068A1"/>
    <w:rsid w:val="00706B6E"/>
    <w:rsid w:val="00706C65"/>
    <w:rsid w:val="00707015"/>
    <w:rsid w:val="00707053"/>
    <w:rsid w:val="00707A26"/>
    <w:rsid w:val="00707DD7"/>
    <w:rsid w:val="007100AB"/>
    <w:rsid w:val="00710263"/>
    <w:rsid w:val="0071039D"/>
    <w:rsid w:val="007104A3"/>
    <w:rsid w:val="007107C0"/>
    <w:rsid w:val="00710D24"/>
    <w:rsid w:val="0071118B"/>
    <w:rsid w:val="007111B9"/>
    <w:rsid w:val="00711761"/>
    <w:rsid w:val="00711D28"/>
    <w:rsid w:val="00711D68"/>
    <w:rsid w:val="00711DAB"/>
    <w:rsid w:val="00712317"/>
    <w:rsid w:val="007124EE"/>
    <w:rsid w:val="00712DD6"/>
    <w:rsid w:val="00712F86"/>
    <w:rsid w:val="0071325F"/>
    <w:rsid w:val="007132AF"/>
    <w:rsid w:val="007135AD"/>
    <w:rsid w:val="007135ED"/>
    <w:rsid w:val="0071361E"/>
    <w:rsid w:val="00713A67"/>
    <w:rsid w:val="00713BCA"/>
    <w:rsid w:val="00713E5A"/>
    <w:rsid w:val="007142FA"/>
    <w:rsid w:val="007146A3"/>
    <w:rsid w:val="007149B0"/>
    <w:rsid w:val="007154F6"/>
    <w:rsid w:val="0071588A"/>
    <w:rsid w:val="00715918"/>
    <w:rsid w:val="00715C5B"/>
    <w:rsid w:val="00715ED0"/>
    <w:rsid w:val="00716786"/>
    <w:rsid w:val="007169DE"/>
    <w:rsid w:val="00717243"/>
    <w:rsid w:val="007172F6"/>
    <w:rsid w:val="00717A8F"/>
    <w:rsid w:val="00717B24"/>
    <w:rsid w:val="00717CD2"/>
    <w:rsid w:val="00717D68"/>
    <w:rsid w:val="00717DEF"/>
    <w:rsid w:val="00720998"/>
    <w:rsid w:val="007209EF"/>
    <w:rsid w:val="00720E6A"/>
    <w:rsid w:val="007210FF"/>
    <w:rsid w:val="00721127"/>
    <w:rsid w:val="007211ED"/>
    <w:rsid w:val="00721AF9"/>
    <w:rsid w:val="00721C53"/>
    <w:rsid w:val="0072208B"/>
    <w:rsid w:val="0072218A"/>
    <w:rsid w:val="00722853"/>
    <w:rsid w:val="00722859"/>
    <w:rsid w:val="0072388A"/>
    <w:rsid w:val="007238A5"/>
    <w:rsid w:val="007238D7"/>
    <w:rsid w:val="007240A9"/>
    <w:rsid w:val="00724311"/>
    <w:rsid w:val="007247BC"/>
    <w:rsid w:val="00725188"/>
    <w:rsid w:val="00725208"/>
    <w:rsid w:val="00725461"/>
    <w:rsid w:val="00725557"/>
    <w:rsid w:val="007256CE"/>
    <w:rsid w:val="00725E79"/>
    <w:rsid w:val="00725F9B"/>
    <w:rsid w:val="007263CC"/>
    <w:rsid w:val="007264BA"/>
    <w:rsid w:val="00726784"/>
    <w:rsid w:val="00726BEA"/>
    <w:rsid w:val="00726D69"/>
    <w:rsid w:val="00726F24"/>
    <w:rsid w:val="007273A2"/>
    <w:rsid w:val="007277C8"/>
    <w:rsid w:val="00727ECA"/>
    <w:rsid w:val="00730454"/>
    <w:rsid w:val="00730908"/>
    <w:rsid w:val="00730D5E"/>
    <w:rsid w:val="00730E83"/>
    <w:rsid w:val="00731185"/>
    <w:rsid w:val="00731208"/>
    <w:rsid w:val="0073124F"/>
    <w:rsid w:val="007318E7"/>
    <w:rsid w:val="00731910"/>
    <w:rsid w:val="00731B81"/>
    <w:rsid w:val="00732208"/>
    <w:rsid w:val="0073226A"/>
    <w:rsid w:val="007322B1"/>
    <w:rsid w:val="007324A7"/>
    <w:rsid w:val="00733486"/>
    <w:rsid w:val="007336C8"/>
    <w:rsid w:val="0073372D"/>
    <w:rsid w:val="00733B7C"/>
    <w:rsid w:val="00734128"/>
    <w:rsid w:val="0073438C"/>
    <w:rsid w:val="0073448A"/>
    <w:rsid w:val="00734AFF"/>
    <w:rsid w:val="00734B88"/>
    <w:rsid w:val="00734D83"/>
    <w:rsid w:val="00734F21"/>
    <w:rsid w:val="0073518B"/>
    <w:rsid w:val="00735289"/>
    <w:rsid w:val="00735735"/>
    <w:rsid w:val="00735793"/>
    <w:rsid w:val="00735C23"/>
    <w:rsid w:val="007360F2"/>
    <w:rsid w:val="00736E59"/>
    <w:rsid w:val="007371B1"/>
    <w:rsid w:val="00737502"/>
    <w:rsid w:val="00737CA2"/>
    <w:rsid w:val="00737E80"/>
    <w:rsid w:val="00740037"/>
    <w:rsid w:val="007401BA"/>
    <w:rsid w:val="00740339"/>
    <w:rsid w:val="00740807"/>
    <w:rsid w:val="0074080C"/>
    <w:rsid w:val="00740CA4"/>
    <w:rsid w:val="0074128E"/>
    <w:rsid w:val="00741494"/>
    <w:rsid w:val="00742191"/>
    <w:rsid w:val="007424FF"/>
    <w:rsid w:val="00742748"/>
    <w:rsid w:val="00742AD2"/>
    <w:rsid w:val="0074307C"/>
    <w:rsid w:val="007434D8"/>
    <w:rsid w:val="0074384C"/>
    <w:rsid w:val="0074392C"/>
    <w:rsid w:val="00743959"/>
    <w:rsid w:val="00743CFD"/>
    <w:rsid w:val="00743FDF"/>
    <w:rsid w:val="007442AB"/>
    <w:rsid w:val="00744661"/>
    <w:rsid w:val="00744744"/>
    <w:rsid w:val="007447AA"/>
    <w:rsid w:val="00744C23"/>
    <w:rsid w:val="00744C8C"/>
    <w:rsid w:val="00744E41"/>
    <w:rsid w:val="0074527A"/>
    <w:rsid w:val="00745360"/>
    <w:rsid w:val="007453BF"/>
    <w:rsid w:val="00745892"/>
    <w:rsid w:val="00745D1B"/>
    <w:rsid w:val="00746427"/>
    <w:rsid w:val="0074679A"/>
    <w:rsid w:val="00746965"/>
    <w:rsid w:val="00746DB1"/>
    <w:rsid w:val="00747539"/>
    <w:rsid w:val="00747775"/>
    <w:rsid w:val="00747837"/>
    <w:rsid w:val="00747935"/>
    <w:rsid w:val="00747E83"/>
    <w:rsid w:val="00747EEB"/>
    <w:rsid w:val="00747FCC"/>
    <w:rsid w:val="0075039C"/>
    <w:rsid w:val="00750687"/>
    <w:rsid w:val="00750980"/>
    <w:rsid w:val="00751596"/>
    <w:rsid w:val="00751882"/>
    <w:rsid w:val="00751DD9"/>
    <w:rsid w:val="00752453"/>
    <w:rsid w:val="00752876"/>
    <w:rsid w:val="00752917"/>
    <w:rsid w:val="00752AA5"/>
    <w:rsid w:val="00752B45"/>
    <w:rsid w:val="0075346F"/>
    <w:rsid w:val="00753964"/>
    <w:rsid w:val="00753A85"/>
    <w:rsid w:val="00753F79"/>
    <w:rsid w:val="00754EED"/>
    <w:rsid w:val="00754EF0"/>
    <w:rsid w:val="007553C2"/>
    <w:rsid w:val="00755797"/>
    <w:rsid w:val="007558A8"/>
    <w:rsid w:val="00755C95"/>
    <w:rsid w:val="00755F15"/>
    <w:rsid w:val="0075626F"/>
    <w:rsid w:val="007562FB"/>
    <w:rsid w:val="007563A7"/>
    <w:rsid w:val="00757037"/>
    <w:rsid w:val="00757180"/>
    <w:rsid w:val="007573D4"/>
    <w:rsid w:val="007574A8"/>
    <w:rsid w:val="00757655"/>
    <w:rsid w:val="007578BA"/>
    <w:rsid w:val="00757AAC"/>
    <w:rsid w:val="00757B4E"/>
    <w:rsid w:val="00757D58"/>
    <w:rsid w:val="00757F0B"/>
    <w:rsid w:val="0076026F"/>
    <w:rsid w:val="00760274"/>
    <w:rsid w:val="007606D2"/>
    <w:rsid w:val="00760849"/>
    <w:rsid w:val="007608A8"/>
    <w:rsid w:val="00760C53"/>
    <w:rsid w:val="00760F72"/>
    <w:rsid w:val="00761396"/>
    <w:rsid w:val="007614B7"/>
    <w:rsid w:val="00761E22"/>
    <w:rsid w:val="0076266B"/>
    <w:rsid w:val="00763C13"/>
    <w:rsid w:val="00763D28"/>
    <w:rsid w:val="00763E5E"/>
    <w:rsid w:val="0076416A"/>
    <w:rsid w:val="0076417B"/>
    <w:rsid w:val="00764445"/>
    <w:rsid w:val="0076467E"/>
    <w:rsid w:val="00764BDE"/>
    <w:rsid w:val="00764DD8"/>
    <w:rsid w:val="00764F1B"/>
    <w:rsid w:val="00765073"/>
    <w:rsid w:val="0076556F"/>
    <w:rsid w:val="00765AEE"/>
    <w:rsid w:val="00765D17"/>
    <w:rsid w:val="00765D5B"/>
    <w:rsid w:val="0076604E"/>
    <w:rsid w:val="007661BC"/>
    <w:rsid w:val="007663C3"/>
    <w:rsid w:val="00766CF4"/>
    <w:rsid w:val="00766D5F"/>
    <w:rsid w:val="00767226"/>
    <w:rsid w:val="00767641"/>
    <w:rsid w:val="00767841"/>
    <w:rsid w:val="00767A50"/>
    <w:rsid w:val="00767CEA"/>
    <w:rsid w:val="00767EF4"/>
    <w:rsid w:val="0077020B"/>
    <w:rsid w:val="007704E8"/>
    <w:rsid w:val="00770555"/>
    <w:rsid w:val="00770593"/>
    <w:rsid w:val="007709B1"/>
    <w:rsid w:val="00770A36"/>
    <w:rsid w:val="0077267D"/>
    <w:rsid w:val="007729A7"/>
    <w:rsid w:val="007734E6"/>
    <w:rsid w:val="007737DC"/>
    <w:rsid w:val="007738E9"/>
    <w:rsid w:val="00773931"/>
    <w:rsid w:val="00773947"/>
    <w:rsid w:val="00773A24"/>
    <w:rsid w:val="00773B61"/>
    <w:rsid w:val="0077453E"/>
    <w:rsid w:val="007749C9"/>
    <w:rsid w:val="00774D65"/>
    <w:rsid w:val="0077519E"/>
    <w:rsid w:val="00775607"/>
    <w:rsid w:val="00775A18"/>
    <w:rsid w:val="00775C0A"/>
    <w:rsid w:val="00775D36"/>
    <w:rsid w:val="00776303"/>
    <w:rsid w:val="007767DE"/>
    <w:rsid w:val="00777344"/>
    <w:rsid w:val="007774B5"/>
    <w:rsid w:val="007778FD"/>
    <w:rsid w:val="00777B75"/>
    <w:rsid w:val="00777D9F"/>
    <w:rsid w:val="00780130"/>
    <w:rsid w:val="0078049E"/>
    <w:rsid w:val="00780594"/>
    <w:rsid w:val="00780765"/>
    <w:rsid w:val="007809FD"/>
    <w:rsid w:val="00780A76"/>
    <w:rsid w:val="00780ECE"/>
    <w:rsid w:val="007813E6"/>
    <w:rsid w:val="007818FD"/>
    <w:rsid w:val="00781996"/>
    <w:rsid w:val="007821E7"/>
    <w:rsid w:val="00782664"/>
    <w:rsid w:val="00782768"/>
    <w:rsid w:val="00783C7E"/>
    <w:rsid w:val="00783E45"/>
    <w:rsid w:val="007844E7"/>
    <w:rsid w:val="007845EF"/>
    <w:rsid w:val="00784606"/>
    <w:rsid w:val="00784E0C"/>
    <w:rsid w:val="00784EAD"/>
    <w:rsid w:val="007861B6"/>
    <w:rsid w:val="00786298"/>
    <w:rsid w:val="0078652F"/>
    <w:rsid w:val="00786DE8"/>
    <w:rsid w:val="00786EAE"/>
    <w:rsid w:val="00787131"/>
    <w:rsid w:val="00787B59"/>
    <w:rsid w:val="00787E18"/>
    <w:rsid w:val="0079039B"/>
    <w:rsid w:val="0079069C"/>
    <w:rsid w:val="00790828"/>
    <w:rsid w:val="00790AC5"/>
    <w:rsid w:val="00790C14"/>
    <w:rsid w:val="00791164"/>
    <w:rsid w:val="007917D0"/>
    <w:rsid w:val="00791E86"/>
    <w:rsid w:val="00792295"/>
    <w:rsid w:val="00792455"/>
    <w:rsid w:val="007927AD"/>
    <w:rsid w:val="00792B79"/>
    <w:rsid w:val="00792D0A"/>
    <w:rsid w:val="00792F82"/>
    <w:rsid w:val="0079350D"/>
    <w:rsid w:val="007937BA"/>
    <w:rsid w:val="00793C31"/>
    <w:rsid w:val="007940CD"/>
    <w:rsid w:val="00794391"/>
    <w:rsid w:val="007943F2"/>
    <w:rsid w:val="0079440C"/>
    <w:rsid w:val="007948F2"/>
    <w:rsid w:val="00795918"/>
    <w:rsid w:val="007960D2"/>
    <w:rsid w:val="0079647E"/>
    <w:rsid w:val="00796E15"/>
    <w:rsid w:val="00796EC9"/>
    <w:rsid w:val="00797129"/>
    <w:rsid w:val="007979E4"/>
    <w:rsid w:val="007A0096"/>
    <w:rsid w:val="007A0160"/>
    <w:rsid w:val="007A0199"/>
    <w:rsid w:val="007A0566"/>
    <w:rsid w:val="007A0841"/>
    <w:rsid w:val="007A1289"/>
    <w:rsid w:val="007A143F"/>
    <w:rsid w:val="007A15C2"/>
    <w:rsid w:val="007A20F6"/>
    <w:rsid w:val="007A241D"/>
    <w:rsid w:val="007A243A"/>
    <w:rsid w:val="007A29EB"/>
    <w:rsid w:val="007A2BF5"/>
    <w:rsid w:val="007A2FB5"/>
    <w:rsid w:val="007A3304"/>
    <w:rsid w:val="007A3BDD"/>
    <w:rsid w:val="007A4500"/>
    <w:rsid w:val="007A46D7"/>
    <w:rsid w:val="007A481C"/>
    <w:rsid w:val="007A4C78"/>
    <w:rsid w:val="007A4F62"/>
    <w:rsid w:val="007A5564"/>
    <w:rsid w:val="007A55AF"/>
    <w:rsid w:val="007A56AB"/>
    <w:rsid w:val="007A5DC4"/>
    <w:rsid w:val="007A5E31"/>
    <w:rsid w:val="007A649C"/>
    <w:rsid w:val="007A687D"/>
    <w:rsid w:val="007A68B4"/>
    <w:rsid w:val="007A6AE5"/>
    <w:rsid w:val="007A739B"/>
    <w:rsid w:val="007A75B9"/>
    <w:rsid w:val="007B0172"/>
    <w:rsid w:val="007B07F9"/>
    <w:rsid w:val="007B0824"/>
    <w:rsid w:val="007B08E1"/>
    <w:rsid w:val="007B0AAB"/>
    <w:rsid w:val="007B0FC5"/>
    <w:rsid w:val="007B11B4"/>
    <w:rsid w:val="007B1229"/>
    <w:rsid w:val="007B1317"/>
    <w:rsid w:val="007B1322"/>
    <w:rsid w:val="007B19A2"/>
    <w:rsid w:val="007B1A3D"/>
    <w:rsid w:val="007B1B5A"/>
    <w:rsid w:val="007B1ECC"/>
    <w:rsid w:val="007B229D"/>
    <w:rsid w:val="007B27A4"/>
    <w:rsid w:val="007B2CF2"/>
    <w:rsid w:val="007B2D17"/>
    <w:rsid w:val="007B2E3F"/>
    <w:rsid w:val="007B3169"/>
    <w:rsid w:val="007B3328"/>
    <w:rsid w:val="007B343B"/>
    <w:rsid w:val="007B3553"/>
    <w:rsid w:val="007B3E96"/>
    <w:rsid w:val="007B41CD"/>
    <w:rsid w:val="007B4361"/>
    <w:rsid w:val="007B452F"/>
    <w:rsid w:val="007B4620"/>
    <w:rsid w:val="007B4675"/>
    <w:rsid w:val="007B4AFC"/>
    <w:rsid w:val="007B4BE0"/>
    <w:rsid w:val="007B4C78"/>
    <w:rsid w:val="007B5027"/>
    <w:rsid w:val="007B5572"/>
    <w:rsid w:val="007B5805"/>
    <w:rsid w:val="007B58F3"/>
    <w:rsid w:val="007B5AA4"/>
    <w:rsid w:val="007B5BF5"/>
    <w:rsid w:val="007B5BFB"/>
    <w:rsid w:val="007B5FBC"/>
    <w:rsid w:val="007B629E"/>
    <w:rsid w:val="007B660B"/>
    <w:rsid w:val="007B6D27"/>
    <w:rsid w:val="007B702E"/>
    <w:rsid w:val="007C0593"/>
    <w:rsid w:val="007C064C"/>
    <w:rsid w:val="007C085A"/>
    <w:rsid w:val="007C098F"/>
    <w:rsid w:val="007C09CC"/>
    <w:rsid w:val="007C10CB"/>
    <w:rsid w:val="007C1188"/>
    <w:rsid w:val="007C118D"/>
    <w:rsid w:val="007C1439"/>
    <w:rsid w:val="007C1E56"/>
    <w:rsid w:val="007C221B"/>
    <w:rsid w:val="007C2310"/>
    <w:rsid w:val="007C2591"/>
    <w:rsid w:val="007C2695"/>
    <w:rsid w:val="007C26F3"/>
    <w:rsid w:val="007C2805"/>
    <w:rsid w:val="007C2818"/>
    <w:rsid w:val="007C286C"/>
    <w:rsid w:val="007C288A"/>
    <w:rsid w:val="007C2CC7"/>
    <w:rsid w:val="007C3053"/>
    <w:rsid w:val="007C3863"/>
    <w:rsid w:val="007C3D7B"/>
    <w:rsid w:val="007C408C"/>
    <w:rsid w:val="007C43F6"/>
    <w:rsid w:val="007C4F5E"/>
    <w:rsid w:val="007C553E"/>
    <w:rsid w:val="007C6131"/>
    <w:rsid w:val="007C66A9"/>
    <w:rsid w:val="007C66E7"/>
    <w:rsid w:val="007C6FB5"/>
    <w:rsid w:val="007C7071"/>
    <w:rsid w:val="007C7080"/>
    <w:rsid w:val="007C70D6"/>
    <w:rsid w:val="007C72A8"/>
    <w:rsid w:val="007C72C8"/>
    <w:rsid w:val="007C7899"/>
    <w:rsid w:val="007C7D02"/>
    <w:rsid w:val="007D066E"/>
    <w:rsid w:val="007D09D0"/>
    <w:rsid w:val="007D0C38"/>
    <w:rsid w:val="007D0C73"/>
    <w:rsid w:val="007D186A"/>
    <w:rsid w:val="007D18C1"/>
    <w:rsid w:val="007D18D3"/>
    <w:rsid w:val="007D1AAB"/>
    <w:rsid w:val="007D1B4D"/>
    <w:rsid w:val="007D1B81"/>
    <w:rsid w:val="007D1BC0"/>
    <w:rsid w:val="007D1E3C"/>
    <w:rsid w:val="007D1F96"/>
    <w:rsid w:val="007D26B9"/>
    <w:rsid w:val="007D28DF"/>
    <w:rsid w:val="007D29EA"/>
    <w:rsid w:val="007D2B54"/>
    <w:rsid w:val="007D2B63"/>
    <w:rsid w:val="007D3900"/>
    <w:rsid w:val="007D453D"/>
    <w:rsid w:val="007D45C7"/>
    <w:rsid w:val="007D50CC"/>
    <w:rsid w:val="007D5261"/>
    <w:rsid w:val="007D5628"/>
    <w:rsid w:val="007D58AE"/>
    <w:rsid w:val="007D5EBD"/>
    <w:rsid w:val="007D5F14"/>
    <w:rsid w:val="007D5FE9"/>
    <w:rsid w:val="007D614F"/>
    <w:rsid w:val="007D63FC"/>
    <w:rsid w:val="007D6B7C"/>
    <w:rsid w:val="007D6DBB"/>
    <w:rsid w:val="007D6E33"/>
    <w:rsid w:val="007D70CF"/>
    <w:rsid w:val="007D716A"/>
    <w:rsid w:val="007D7359"/>
    <w:rsid w:val="007D74E1"/>
    <w:rsid w:val="007D771C"/>
    <w:rsid w:val="007D7BD6"/>
    <w:rsid w:val="007D7D6E"/>
    <w:rsid w:val="007D7E68"/>
    <w:rsid w:val="007E0080"/>
    <w:rsid w:val="007E07BA"/>
    <w:rsid w:val="007E0EF0"/>
    <w:rsid w:val="007E13FA"/>
    <w:rsid w:val="007E1D14"/>
    <w:rsid w:val="007E1D2C"/>
    <w:rsid w:val="007E1FE1"/>
    <w:rsid w:val="007E208A"/>
    <w:rsid w:val="007E21FE"/>
    <w:rsid w:val="007E26E5"/>
    <w:rsid w:val="007E2A73"/>
    <w:rsid w:val="007E2FE3"/>
    <w:rsid w:val="007E30FD"/>
    <w:rsid w:val="007E3518"/>
    <w:rsid w:val="007E3550"/>
    <w:rsid w:val="007E359C"/>
    <w:rsid w:val="007E370D"/>
    <w:rsid w:val="007E386A"/>
    <w:rsid w:val="007E3A02"/>
    <w:rsid w:val="007E3D40"/>
    <w:rsid w:val="007E3EA7"/>
    <w:rsid w:val="007E3FE5"/>
    <w:rsid w:val="007E419A"/>
    <w:rsid w:val="007E470B"/>
    <w:rsid w:val="007E4D19"/>
    <w:rsid w:val="007E4FBC"/>
    <w:rsid w:val="007E5097"/>
    <w:rsid w:val="007E5789"/>
    <w:rsid w:val="007E59C8"/>
    <w:rsid w:val="007E5C2C"/>
    <w:rsid w:val="007E5D2B"/>
    <w:rsid w:val="007E5E73"/>
    <w:rsid w:val="007E621A"/>
    <w:rsid w:val="007E660C"/>
    <w:rsid w:val="007E68C0"/>
    <w:rsid w:val="007E6FA9"/>
    <w:rsid w:val="007E713B"/>
    <w:rsid w:val="007E72FF"/>
    <w:rsid w:val="007E77EF"/>
    <w:rsid w:val="007E7D8D"/>
    <w:rsid w:val="007F0126"/>
    <w:rsid w:val="007F0385"/>
    <w:rsid w:val="007F04E4"/>
    <w:rsid w:val="007F09F7"/>
    <w:rsid w:val="007F0D13"/>
    <w:rsid w:val="007F1120"/>
    <w:rsid w:val="007F1455"/>
    <w:rsid w:val="007F17E0"/>
    <w:rsid w:val="007F1922"/>
    <w:rsid w:val="007F19C3"/>
    <w:rsid w:val="007F1F39"/>
    <w:rsid w:val="007F22F0"/>
    <w:rsid w:val="007F2390"/>
    <w:rsid w:val="007F2D2E"/>
    <w:rsid w:val="007F2F79"/>
    <w:rsid w:val="007F2FD4"/>
    <w:rsid w:val="007F32C4"/>
    <w:rsid w:val="007F32F2"/>
    <w:rsid w:val="007F382C"/>
    <w:rsid w:val="007F3A6D"/>
    <w:rsid w:val="007F4188"/>
    <w:rsid w:val="007F440A"/>
    <w:rsid w:val="007F469B"/>
    <w:rsid w:val="007F4D16"/>
    <w:rsid w:val="007F53B8"/>
    <w:rsid w:val="007F53F3"/>
    <w:rsid w:val="007F585D"/>
    <w:rsid w:val="007F5AE4"/>
    <w:rsid w:val="007F5B2D"/>
    <w:rsid w:val="007F5BBF"/>
    <w:rsid w:val="007F5DC4"/>
    <w:rsid w:val="007F66E9"/>
    <w:rsid w:val="007F682A"/>
    <w:rsid w:val="007F68D3"/>
    <w:rsid w:val="007F6D9C"/>
    <w:rsid w:val="007F70C3"/>
    <w:rsid w:val="007F73E0"/>
    <w:rsid w:val="007F798D"/>
    <w:rsid w:val="007F7C1D"/>
    <w:rsid w:val="007F7E80"/>
    <w:rsid w:val="00800BB6"/>
    <w:rsid w:val="00800E48"/>
    <w:rsid w:val="00800F9B"/>
    <w:rsid w:val="00801160"/>
    <w:rsid w:val="008013C1"/>
    <w:rsid w:val="00801691"/>
    <w:rsid w:val="00801A4A"/>
    <w:rsid w:val="00801B2D"/>
    <w:rsid w:val="00801CD4"/>
    <w:rsid w:val="0080220E"/>
    <w:rsid w:val="0080273F"/>
    <w:rsid w:val="00803626"/>
    <w:rsid w:val="00803ABC"/>
    <w:rsid w:val="00803ABE"/>
    <w:rsid w:val="0080488E"/>
    <w:rsid w:val="00804ADE"/>
    <w:rsid w:val="00804CD6"/>
    <w:rsid w:val="00805110"/>
    <w:rsid w:val="00805234"/>
    <w:rsid w:val="00805601"/>
    <w:rsid w:val="00805A99"/>
    <w:rsid w:val="00805C67"/>
    <w:rsid w:val="00806300"/>
    <w:rsid w:val="008066CF"/>
    <w:rsid w:val="00806754"/>
    <w:rsid w:val="00806756"/>
    <w:rsid w:val="00806768"/>
    <w:rsid w:val="008067A2"/>
    <w:rsid w:val="00807370"/>
    <w:rsid w:val="008074BC"/>
    <w:rsid w:val="00807678"/>
    <w:rsid w:val="00807A21"/>
    <w:rsid w:val="00807C16"/>
    <w:rsid w:val="00807C31"/>
    <w:rsid w:val="00807C44"/>
    <w:rsid w:val="008100EB"/>
    <w:rsid w:val="00810607"/>
    <w:rsid w:val="00810754"/>
    <w:rsid w:val="00810D0F"/>
    <w:rsid w:val="00810EEB"/>
    <w:rsid w:val="00810FB1"/>
    <w:rsid w:val="00811414"/>
    <w:rsid w:val="008115A4"/>
    <w:rsid w:val="008119D1"/>
    <w:rsid w:val="00811CA1"/>
    <w:rsid w:val="00812388"/>
    <w:rsid w:val="008125B8"/>
    <w:rsid w:val="00812AC2"/>
    <w:rsid w:val="00812E25"/>
    <w:rsid w:val="00813651"/>
    <w:rsid w:val="00813C74"/>
    <w:rsid w:val="008143E9"/>
    <w:rsid w:val="008146AA"/>
    <w:rsid w:val="008146E4"/>
    <w:rsid w:val="00815071"/>
    <w:rsid w:val="00815F89"/>
    <w:rsid w:val="0081693A"/>
    <w:rsid w:val="00816AFE"/>
    <w:rsid w:val="00816F36"/>
    <w:rsid w:val="00817063"/>
    <w:rsid w:val="00817387"/>
    <w:rsid w:val="00817F15"/>
    <w:rsid w:val="0082090E"/>
    <w:rsid w:val="00820BB9"/>
    <w:rsid w:val="0082104D"/>
    <w:rsid w:val="008210B9"/>
    <w:rsid w:val="008212C3"/>
    <w:rsid w:val="008213D1"/>
    <w:rsid w:val="0082177F"/>
    <w:rsid w:val="00821901"/>
    <w:rsid w:val="00821AC2"/>
    <w:rsid w:val="00821F6E"/>
    <w:rsid w:val="008226E1"/>
    <w:rsid w:val="00822CD7"/>
    <w:rsid w:val="008230B1"/>
    <w:rsid w:val="008231CB"/>
    <w:rsid w:val="00823400"/>
    <w:rsid w:val="008236BC"/>
    <w:rsid w:val="008236ED"/>
    <w:rsid w:val="00823B3B"/>
    <w:rsid w:val="008240C9"/>
    <w:rsid w:val="00824A2E"/>
    <w:rsid w:val="0082513E"/>
    <w:rsid w:val="00825198"/>
    <w:rsid w:val="0082525D"/>
    <w:rsid w:val="008252EE"/>
    <w:rsid w:val="00825DDF"/>
    <w:rsid w:val="008260BB"/>
    <w:rsid w:val="0082624B"/>
    <w:rsid w:val="008264EA"/>
    <w:rsid w:val="00826A3E"/>
    <w:rsid w:val="00826E25"/>
    <w:rsid w:val="00827257"/>
    <w:rsid w:val="00827259"/>
    <w:rsid w:val="008273E7"/>
    <w:rsid w:val="00827A72"/>
    <w:rsid w:val="00827F09"/>
    <w:rsid w:val="008308E7"/>
    <w:rsid w:val="00830B09"/>
    <w:rsid w:val="00830C1C"/>
    <w:rsid w:val="0083182B"/>
    <w:rsid w:val="008319AB"/>
    <w:rsid w:val="008326C1"/>
    <w:rsid w:val="0083275F"/>
    <w:rsid w:val="008327FD"/>
    <w:rsid w:val="00832DFA"/>
    <w:rsid w:val="00832E2E"/>
    <w:rsid w:val="00832EA5"/>
    <w:rsid w:val="00833975"/>
    <w:rsid w:val="00833ECC"/>
    <w:rsid w:val="00834CB6"/>
    <w:rsid w:val="00834D24"/>
    <w:rsid w:val="00834E47"/>
    <w:rsid w:val="00834E61"/>
    <w:rsid w:val="00835387"/>
    <w:rsid w:val="00835832"/>
    <w:rsid w:val="00835E1C"/>
    <w:rsid w:val="00836033"/>
    <w:rsid w:val="00836348"/>
    <w:rsid w:val="00836355"/>
    <w:rsid w:val="008363F3"/>
    <w:rsid w:val="00836498"/>
    <w:rsid w:val="00836608"/>
    <w:rsid w:val="00836836"/>
    <w:rsid w:val="00836873"/>
    <w:rsid w:val="00836A35"/>
    <w:rsid w:val="00836F3D"/>
    <w:rsid w:val="008370AB"/>
    <w:rsid w:val="00837F11"/>
    <w:rsid w:val="0084036D"/>
    <w:rsid w:val="00840471"/>
    <w:rsid w:val="008409E0"/>
    <w:rsid w:val="00840EB9"/>
    <w:rsid w:val="00841C86"/>
    <w:rsid w:val="00841D02"/>
    <w:rsid w:val="00841D9B"/>
    <w:rsid w:val="00841F60"/>
    <w:rsid w:val="0084230A"/>
    <w:rsid w:val="00842747"/>
    <w:rsid w:val="00842ACE"/>
    <w:rsid w:val="00842E95"/>
    <w:rsid w:val="00842F4E"/>
    <w:rsid w:val="00843014"/>
    <w:rsid w:val="00843181"/>
    <w:rsid w:val="0084329C"/>
    <w:rsid w:val="00843529"/>
    <w:rsid w:val="008436E0"/>
    <w:rsid w:val="0084395F"/>
    <w:rsid w:val="008439AF"/>
    <w:rsid w:val="00843C45"/>
    <w:rsid w:val="00843D93"/>
    <w:rsid w:val="00843E22"/>
    <w:rsid w:val="0084478A"/>
    <w:rsid w:val="008449BC"/>
    <w:rsid w:val="00844DA2"/>
    <w:rsid w:val="00844F9A"/>
    <w:rsid w:val="00845525"/>
    <w:rsid w:val="00845B72"/>
    <w:rsid w:val="008462EC"/>
    <w:rsid w:val="00846442"/>
    <w:rsid w:val="0084675A"/>
    <w:rsid w:val="00846801"/>
    <w:rsid w:val="00846AC0"/>
    <w:rsid w:val="00847194"/>
    <w:rsid w:val="008473E4"/>
    <w:rsid w:val="00847435"/>
    <w:rsid w:val="00847741"/>
    <w:rsid w:val="00847919"/>
    <w:rsid w:val="0084795D"/>
    <w:rsid w:val="00847E05"/>
    <w:rsid w:val="0085012E"/>
    <w:rsid w:val="008506C3"/>
    <w:rsid w:val="00850746"/>
    <w:rsid w:val="00850A9C"/>
    <w:rsid w:val="008510EB"/>
    <w:rsid w:val="008511A9"/>
    <w:rsid w:val="008511B2"/>
    <w:rsid w:val="00851DB6"/>
    <w:rsid w:val="00852341"/>
    <w:rsid w:val="0085251D"/>
    <w:rsid w:val="0085258D"/>
    <w:rsid w:val="00852709"/>
    <w:rsid w:val="00852734"/>
    <w:rsid w:val="008528F0"/>
    <w:rsid w:val="00852B58"/>
    <w:rsid w:val="008530BD"/>
    <w:rsid w:val="0085384E"/>
    <w:rsid w:val="00853FFF"/>
    <w:rsid w:val="008540F9"/>
    <w:rsid w:val="0085491C"/>
    <w:rsid w:val="00854A4B"/>
    <w:rsid w:val="00854E14"/>
    <w:rsid w:val="00854FC9"/>
    <w:rsid w:val="00855057"/>
    <w:rsid w:val="00855E94"/>
    <w:rsid w:val="0085634D"/>
    <w:rsid w:val="0085655A"/>
    <w:rsid w:val="0085659E"/>
    <w:rsid w:val="008565B5"/>
    <w:rsid w:val="0085689D"/>
    <w:rsid w:val="008568F9"/>
    <w:rsid w:val="00856B64"/>
    <w:rsid w:val="00856D05"/>
    <w:rsid w:val="00856D4F"/>
    <w:rsid w:val="00856E90"/>
    <w:rsid w:val="0085737A"/>
    <w:rsid w:val="008578AA"/>
    <w:rsid w:val="00857AF1"/>
    <w:rsid w:val="008605F8"/>
    <w:rsid w:val="00860790"/>
    <w:rsid w:val="00860846"/>
    <w:rsid w:val="00860882"/>
    <w:rsid w:val="00860B93"/>
    <w:rsid w:val="00860D6A"/>
    <w:rsid w:val="00860E95"/>
    <w:rsid w:val="00860EC0"/>
    <w:rsid w:val="0086109D"/>
    <w:rsid w:val="0086162C"/>
    <w:rsid w:val="00861E61"/>
    <w:rsid w:val="00861E67"/>
    <w:rsid w:val="00862770"/>
    <w:rsid w:val="00863645"/>
    <w:rsid w:val="00863775"/>
    <w:rsid w:val="008638A5"/>
    <w:rsid w:val="00863B6F"/>
    <w:rsid w:val="00863E46"/>
    <w:rsid w:val="00864087"/>
    <w:rsid w:val="00864A30"/>
    <w:rsid w:val="00864A64"/>
    <w:rsid w:val="008650A7"/>
    <w:rsid w:val="00865489"/>
    <w:rsid w:val="008656C3"/>
    <w:rsid w:val="00865D88"/>
    <w:rsid w:val="008666C3"/>
    <w:rsid w:val="008666EC"/>
    <w:rsid w:val="008667A5"/>
    <w:rsid w:val="00866A57"/>
    <w:rsid w:val="00866C02"/>
    <w:rsid w:val="00866F01"/>
    <w:rsid w:val="00867072"/>
    <w:rsid w:val="008671AE"/>
    <w:rsid w:val="008674F4"/>
    <w:rsid w:val="008678C8"/>
    <w:rsid w:val="008679ED"/>
    <w:rsid w:val="00867ED4"/>
    <w:rsid w:val="00870334"/>
    <w:rsid w:val="0087085C"/>
    <w:rsid w:val="00870F9F"/>
    <w:rsid w:val="0087141F"/>
    <w:rsid w:val="00871757"/>
    <w:rsid w:val="00871BBE"/>
    <w:rsid w:val="00872045"/>
    <w:rsid w:val="00872067"/>
    <w:rsid w:val="008720FF"/>
    <w:rsid w:val="0087238F"/>
    <w:rsid w:val="00872428"/>
    <w:rsid w:val="008725A4"/>
    <w:rsid w:val="00872A20"/>
    <w:rsid w:val="00872C81"/>
    <w:rsid w:val="0087341C"/>
    <w:rsid w:val="008734E5"/>
    <w:rsid w:val="00874235"/>
    <w:rsid w:val="008748E5"/>
    <w:rsid w:val="00874EFA"/>
    <w:rsid w:val="0087502F"/>
    <w:rsid w:val="00875112"/>
    <w:rsid w:val="0087527C"/>
    <w:rsid w:val="00875F08"/>
    <w:rsid w:val="00876683"/>
    <w:rsid w:val="008766FB"/>
    <w:rsid w:val="008768D7"/>
    <w:rsid w:val="008776EB"/>
    <w:rsid w:val="00877AA2"/>
    <w:rsid w:val="0088089D"/>
    <w:rsid w:val="00880906"/>
    <w:rsid w:val="0088093F"/>
    <w:rsid w:val="00880EBC"/>
    <w:rsid w:val="0088102F"/>
    <w:rsid w:val="00881E6A"/>
    <w:rsid w:val="008825E0"/>
    <w:rsid w:val="00882A48"/>
    <w:rsid w:val="00882BE7"/>
    <w:rsid w:val="00882E37"/>
    <w:rsid w:val="00882EBB"/>
    <w:rsid w:val="00882F9A"/>
    <w:rsid w:val="00883111"/>
    <w:rsid w:val="00883202"/>
    <w:rsid w:val="00883306"/>
    <w:rsid w:val="00883A15"/>
    <w:rsid w:val="0088425F"/>
    <w:rsid w:val="00884A05"/>
    <w:rsid w:val="00884BDB"/>
    <w:rsid w:val="008853D7"/>
    <w:rsid w:val="008854F6"/>
    <w:rsid w:val="008857B4"/>
    <w:rsid w:val="00885A2E"/>
    <w:rsid w:val="00885A35"/>
    <w:rsid w:val="00885F98"/>
    <w:rsid w:val="0088646B"/>
    <w:rsid w:val="00886C2C"/>
    <w:rsid w:val="00886F45"/>
    <w:rsid w:val="00886F49"/>
    <w:rsid w:val="00886F9A"/>
    <w:rsid w:val="0088765E"/>
    <w:rsid w:val="00887846"/>
    <w:rsid w:val="008879FA"/>
    <w:rsid w:val="00887C99"/>
    <w:rsid w:val="008900CD"/>
    <w:rsid w:val="0089035D"/>
    <w:rsid w:val="00890383"/>
    <w:rsid w:val="008905A9"/>
    <w:rsid w:val="0089104D"/>
    <w:rsid w:val="00891596"/>
    <w:rsid w:val="0089161F"/>
    <w:rsid w:val="00891898"/>
    <w:rsid w:val="00891D3A"/>
    <w:rsid w:val="0089239D"/>
    <w:rsid w:val="008927CC"/>
    <w:rsid w:val="008927CE"/>
    <w:rsid w:val="00892EDE"/>
    <w:rsid w:val="00892F1A"/>
    <w:rsid w:val="00893069"/>
    <w:rsid w:val="00893184"/>
    <w:rsid w:val="008933FC"/>
    <w:rsid w:val="00893B04"/>
    <w:rsid w:val="008941B6"/>
    <w:rsid w:val="00894406"/>
    <w:rsid w:val="00894F10"/>
    <w:rsid w:val="00895207"/>
    <w:rsid w:val="00895439"/>
    <w:rsid w:val="008959D2"/>
    <w:rsid w:val="00895EE1"/>
    <w:rsid w:val="00896BBA"/>
    <w:rsid w:val="008970C8"/>
    <w:rsid w:val="00897364"/>
    <w:rsid w:val="00897486"/>
    <w:rsid w:val="008A057E"/>
    <w:rsid w:val="008A063A"/>
    <w:rsid w:val="008A07B5"/>
    <w:rsid w:val="008A0F95"/>
    <w:rsid w:val="008A1040"/>
    <w:rsid w:val="008A1D9B"/>
    <w:rsid w:val="008A21EF"/>
    <w:rsid w:val="008A229F"/>
    <w:rsid w:val="008A236F"/>
    <w:rsid w:val="008A2BBB"/>
    <w:rsid w:val="008A2CEC"/>
    <w:rsid w:val="008A316B"/>
    <w:rsid w:val="008A33A2"/>
    <w:rsid w:val="008A3692"/>
    <w:rsid w:val="008A3B9A"/>
    <w:rsid w:val="008A3FC6"/>
    <w:rsid w:val="008A4882"/>
    <w:rsid w:val="008A4FB9"/>
    <w:rsid w:val="008A52A5"/>
    <w:rsid w:val="008A5303"/>
    <w:rsid w:val="008A53E2"/>
    <w:rsid w:val="008A53F7"/>
    <w:rsid w:val="008A540C"/>
    <w:rsid w:val="008A5688"/>
    <w:rsid w:val="008A588A"/>
    <w:rsid w:val="008A5B14"/>
    <w:rsid w:val="008A5C18"/>
    <w:rsid w:val="008A5DB7"/>
    <w:rsid w:val="008A5E61"/>
    <w:rsid w:val="008A5F71"/>
    <w:rsid w:val="008A6376"/>
    <w:rsid w:val="008A65BC"/>
    <w:rsid w:val="008A7008"/>
    <w:rsid w:val="008A7270"/>
    <w:rsid w:val="008A74CA"/>
    <w:rsid w:val="008A7B5B"/>
    <w:rsid w:val="008A7BD0"/>
    <w:rsid w:val="008A7C43"/>
    <w:rsid w:val="008B012B"/>
    <w:rsid w:val="008B025C"/>
    <w:rsid w:val="008B0293"/>
    <w:rsid w:val="008B038D"/>
    <w:rsid w:val="008B0566"/>
    <w:rsid w:val="008B08A0"/>
    <w:rsid w:val="008B0927"/>
    <w:rsid w:val="008B0C87"/>
    <w:rsid w:val="008B0CED"/>
    <w:rsid w:val="008B2297"/>
    <w:rsid w:val="008B26DB"/>
    <w:rsid w:val="008B2783"/>
    <w:rsid w:val="008B286E"/>
    <w:rsid w:val="008B357D"/>
    <w:rsid w:val="008B35C9"/>
    <w:rsid w:val="008B39EA"/>
    <w:rsid w:val="008B3D68"/>
    <w:rsid w:val="008B481E"/>
    <w:rsid w:val="008B53A4"/>
    <w:rsid w:val="008B5494"/>
    <w:rsid w:val="008B56E3"/>
    <w:rsid w:val="008B5784"/>
    <w:rsid w:val="008B5A69"/>
    <w:rsid w:val="008B5C7B"/>
    <w:rsid w:val="008B6295"/>
    <w:rsid w:val="008B66A4"/>
    <w:rsid w:val="008B6D8A"/>
    <w:rsid w:val="008B72FF"/>
    <w:rsid w:val="008B7488"/>
    <w:rsid w:val="008B7938"/>
    <w:rsid w:val="008B7D9B"/>
    <w:rsid w:val="008B7EA0"/>
    <w:rsid w:val="008C02F3"/>
    <w:rsid w:val="008C03E9"/>
    <w:rsid w:val="008C0958"/>
    <w:rsid w:val="008C0A0E"/>
    <w:rsid w:val="008C0B5B"/>
    <w:rsid w:val="008C0CE1"/>
    <w:rsid w:val="008C0DF3"/>
    <w:rsid w:val="008C12F7"/>
    <w:rsid w:val="008C14CB"/>
    <w:rsid w:val="008C1DAF"/>
    <w:rsid w:val="008C2448"/>
    <w:rsid w:val="008C24FA"/>
    <w:rsid w:val="008C2894"/>
    <w:rsid w:val="008C2BCC"/>
    <w:rsid w:val="008C33FC"/>
    <w:rsid w:val="008C389E"/>
    <w:rsid w:val="008C3BFB"/>
    <w:rsid w:val="008C3C5C"/>
    <w:rsid w:val="008C3F6B"/>
    <w:rsid w:val="008C4431"/>
    <w:rsid w:val="008C44E6"/>
    <w:rsid w:val="008C477E"/>
    <w:rsid w:val="008C5071"/>
    <w:rsid w:val="008C52C7"/>
    <w:rsid w:val="008C5417"/>
    <w:rsid w:val="008C58A2"/>
    <w:rsid w:val="008C5921"/>
    <w:rsid w:val="008C5B48"/>
    <w:rsid w:val="008C5E6C"/>
    <w:rsid w:val="008C61D3"/>
    <w:rsid w:val="008C62FA"/>
    <w:rsid w:val="008C6941"/>
    <w:rsid w:val="008C6C83"/>
    <w:rsid w:val="008C6FD3"/>
    <w:rsid w:val="008C75D2"/>
    <w:rsid w:val="008C7A41"/>
    <w:rsid w:val="008C7D96"/>
    <w:rsid w:val="008D0D00"/>
    <w:rsid w:val="008D197A"/>
    <w:rsid w:val="008D1E19"/>
    <w:rsid w:val="008D2708"/>
    <w:rsid w:val="008D32A2"/>
    <w:rsid w:val="008D32DE"/>
    <w:rsid w:val="008D3343"/>
    <w:rsid w:val="008D35E5"/>
    <w:rsid w:val="008D3678"/>
    <w:rsid w:val="008D37C9"/>
    <w:rsid w:val="008D407B"/>
    <w:rsid w:val="008D41D7"/>
    <w:rsid w:val="008D44DC"/>
    <w:rsid w:val="008D467A"/>
    <w:rsid w:val="008D4B28"/>
    <w:rsid w:val="008D4B5D"/>
    <w:rsid w:val="008D520F"/>
    <w:rsid w:val="008D5385"/>
    <w:rsid w:val="008D5602"/>
    <w:rsid w:val="008D59E6"/>
    <w:rsid w:val="008D5CD8"/>
    <w:rsid w:val="008D6039"/>
    <w:rsid w:val="008D6543"/>
    <w:rsid w:val="008D6B37"/>
    <w:rsid w:val="008D6C89"/>
    <w:rsid w:val="008D728A"/>
    <w:rsid w:val="008D7E07"/>
    <w:rsid w:val="008D7E18"/>
    <w:rsid w:val="008E09DE"/>
    <w:rsid w:val="008E0CC4"/>
    <w:rsid w:val="008E0F50"/>
    <w:rsid w:val="008E0FAF"/>
    <w:rsid w:val="008E180B"/>
    <w:rsid w:val="008E19DF"/>
    <w:rsid w:val="008E2832"/>
    <w:rsid w:val="008E2B11"/>
    <w:rsid w:val="008E2C9B"/>
    <w:rsid w:val="008E3310"/>
    <w:rsid w:val="008E349A"/>
    <w:rsid w:val="008E3CC5"/>
    <w:rsid w:val="008E3F61"/>
    <w:rsid w:val="008E474A"/>
    <w:rsid w:val="008E48F5"/>
    <w:rsid w:val="008E493D"/>
    <w:rsid w:val="008E4B17"/>
    <w:rsid w:val="008E5152"/>
    <w:rsid w:val="008E562B"/>
    <w:rsid w:val="008E58C0"/>
    <w:rsid w:val="008E5D4A"/>
    <w:rsid w:val="008E6052"/>
    <w:rsid w:val="008E6139"/>
    <w:rsid w:val="008E6381"/>
    <w:rsid w:val="008E640D"/>
    <w:rsid w:val="008E6600"/>
    <w:rsid w:val="008E6797"/>
    <w:rsid w:val="008E68EB"/>
    <w:rsid w:val="008E6E7D"/>
    <w:rsid w:val="008E7086"/>
    <w:rsid w:val="008E70D1"/>
    <w:rsid w:val="008E767C"/>
    <w:rsid w:val="008E7700"/>
    <w:rsid w:val="008E7888"/>
    <w:rsid w:val="008E7CDD"/>
    <w:rsid w:val="008F04D5"/>
    <w:rsid w:val="008F05AE"/>
    <w:rsid w:val="008F1DF4"/>
    <w:rsid w:val="008F1F17"/>
    <w:rsid w:val="008F1F39"/>
    <w:rsid w:val="008F2290"/>
    <w:rsid w:val="008F22B4"/>
    <w:rsid w:val="008F24A5"/>
    <w:rsid w:val="008F2ACA"/>
    <w:rsid w:val="008F2EF5"/>
    <w:rsid w:val="008F346F"/>
    <w:rsid w:val="008F3B4B"/>
    <w:rsid w:val="008F3C51"/>
    <w:rsid w:val="008F41C8"/>
    <w:rsid w:val="008F4469"/>
    <w:rsid w:val="008F446A"/>
    <w:rsid w:val="008F4657"/>
    <w:rsid w:val="008F59D5"/>
    <w:rsid w:val="008F5D5E"/>
    <w:rsid w:val="008F62E6"/>
    <w:rsid w:val="008F7198"/>
    <w:rsid w:val="008F783E"/>
    <w:rsid w:val="008F79A8"/>
    <w:rsid w:val="008F7A8D"/>
    <w:rsid w:val="008F7B94"/>
    <w:rsid w:val="008F7F05"/>
    <w:rsid w:val="00900066"/>
    <w:rsid w:val="0090048D"/>
    <w:rsid w:val="00900BF4"/>
    <w:rsid w:val="00900E35"/>
    <w:rsid w:val="00900FB9"/>
    <w:rsid w:val="0090104C"/>
    <w:rsid w:val="00901627"/>
    <w:rsid w:val="00901E0C"/>
    <w:rsid w:val="00901E10"/>
    <w:rsid w:val="009021CA"/>
    <w:rsid w:val="00902216"/>
    <w:rsid w:val="00902243"/>
    <w:rsid w:val="0090255E"/>
    <w:rsid w:val="00902B1B"/>
    <w:rsid w:val="009033E7"/>
    <w:rsid w:val="00903FAB"/>
    <w:rsid w:val="009041A5"/>
    <w:rsid w:val="009046E0"/>
    <w:rsid w:val="009052EC"/>
    <w:rsid w:val="00905578"/>
    <w:rsid w:val="00905617"/>
    <w:rsid w:val="009059FA"/>
    <w:rsid w:val="00905E5C"/>
    <w:rsid w:val="00905F63"/>
    <w:rsid w:val="0090682C"/>
    <w:rsid w:val="0090691C"/>
    <w:rsid w:val="00906A98"/>
    <w:rsid w:val="00906CC1"/>
    <w:rsid w:val="00907319"/>
    <w:rsid w:val="00907638"/>
    <w:rsid w:val="00907A0E"/>
    <w:rsid w:val="00907D2B"/>
    <w:rsid w:val="0091039A"/>
    <w:rsid w:val="0091077E"/>
    <w:rsid w:val="00910A5E"/>
    <w:rsid w:val="00910C0C"/>
    <w:rsid w:val="00910CC0"/>
    <w:rsid w:val="00910E02"/>
    <w:rsid w:val="00911145"/>
    <w:rsid w:val="00911368"/>
    <w:rsid w:val="00911700"/>
    <w:rsid w:val="0091187B"/>
    <w:rsid w:val="00911A4D"/>
    <w:rsid w:val="00911E36"/>
    <w:rsid w:val="0091207A"/>
    <w:rsid w:val="009120F5"/>
    <w:rsid w:val="009122DA"/>
    <w:rsid w:val="0091253E"/>
    <w:rsid w:val="00912761"/>
    <w:rsid w:val="00912832"/>
    <w:rsid w:val="00912896"/>
    <w:rsid w:val="00912FE8"/>
    <w:rsid w:val="009131F5"/>
    <w:rsid w:val="009132A7"/>
    <w:rsid w:val="00913338"/>
    <w:rsid w:val="00913396"/>
    <w:rsid w:val="009133B8"/>
    <w:rsid w:val="0091344F"/>
    <w:rsid w:val="00913606"/>
    <w:rsid w:val="00913834"/>
    <w:rsid w:val="00913836"/>
    <w:rsid w:val="00913A65"/>
    <w:rsid w:val="009141C4"/>
    <w:rsid w:val="0091422B"/>
    <w:rsid w:val="00914297"/>
    <w:rsid w:val="009145AC"/>
    <w:rsid w:val="00914D7F"/>
    <w:rsid w:val="009153E7"/>
    <w:rsid w:val="009157FC"/>
    <w:rsid w:val="00915881"/>
    <w:rsid w:val="00915933"/>
    <w:rsid w:val="00915A8A"/>
    <w:rsid w:val="00916317"/>
    <w:rsid w:val="00916827"/>
    <w:rsid w:val="00916E42"/>
    <w:rsid w:val="00916F97"/>
    <w:rsid w:val="009170AA"/>
    <w:rsid w:val="0091737B"/>
    <w:rsid w:val="00917AAB"/>
    <w:rsid w:val="00917DDA"/>
    <w:rsid w:val="009203C1"/>
    <w:rsid w:val="00920989"/>
    <w:rsid w:val="00921174"/>
    <w:rsid w:val="009212CD"/>
    <w:rsid w:val="00921811"/>
    <w:rsid w:val="00921E96"/>
    <w:rsid w:val="00921F3C"/>
    <w:rsid w:val="009223AA"/>
    <w:rsid w:val="0092253E"/>
    <w:rsid w:val="00922921"/>
    <w:rsid w:val="00922EA0"/>
    <w:rsid w:val="00923388"/>
    <w:rsid w:val="00923D69"/>
    <w:rsid w:val="00923FB9"/>
    <w:rsid w:val="0092401C"/>
    <w:rsid w:val="00924916"/>
    <w:rsid w:val="009249AE"/>
    <w:rsid w:val="00924A2B"/>
    <w:rsid w:val="009251F9"/>
    <w:rsid w:val="0092525C"/>
    <w:rsid w:val="009253FF"/>
    <w:rsid w:val="009256AC"/>
    <w:rsid w:val="00925978"/>
    <w:rsid w:val="00925986"/>
    <w:rsid w:val="00925A5E"/>
    <w:rsid w:val="00926901"/>
    <w:rsid w:val="00926B8A"/>
    <w:rsid w:val="009272C1"/>
    <w:rsid w:val="00927595"/>
    <w:rsid w:val="00927660"/>
    <w:rsid w:val="009277C0"/>
    <w:rsid w:val="00927A17"/>
    <w:rsid w:val="00927A42"/>
    <w:rsid w:val="00927BD5"/>
    <w:rsid w:val="00927D99"/>
    <w:rsid w:val="00927E45"/>
    <w:rsid w:val="00930483"/>
    <w:rsid w:val="009305A7"/>
    <w:rsid w:val="0093081E"/>
    <w:rsid w:val="00930A86"/>
    <w:rsid w:val="00930E4C"/>
    <w:rsid w:val="0093105C"/>
    <w:rsid w:val="00931318"/>
    <w:rsid w:val="00931687"/>
    <w:rsid w:val="00931C46"/>
    <w:rsid w:val="00932881"/>
    <w:rsid w:val="0093315A"/>
    <w:rsid w:val="009331C6"/>
    <w:rsid w:val="009332D6"/>
    <w:rsid w:val="00933499"/>
    <w:rsid w:val="00933755"/>
    <w:rsid w:val="0093405B"/>
    <w:rsid w:val="00934353"/>
    <w:rsid w:val="00934B50"/>
    <w:rsid w:val="00934DD2"/>
    <w:rsid w:val="00934F7D"/>
    <w:rsid w:val="00935489"/>
    <w:rsid w:val="009355A1"/>
    <w:rsid w:val="009355C9"/>
    <w:rsid w:val="00936235"/>
    <w:rsid w:val="009363D6"/>
    <w:rsid w:val="009367F7"/>
    <w:rsid w:val="00936EE2"/>
    <w:rsid w:val="00940ABE"/>
    <w:rsid w:val="00940F22"/>
    <w:rsid w:val="009411FF"/>
    <w:rsid w:val="009412B9"/>
    <w:rsid w:val="009416DF"/>
    <w:rsid w:val="0094198F"/>
    <w:rsid w:val="00941D8F"/>
    <w:rsid w:val="00941E4B"/>
    <w:rsid w:val="00943204"/>
    <w:rsid w:val="009437B9"/>
    <w:rsid w:val="0094384B"/>
    <w:rsid w:val="009438DF"/>
    <w:rsid w:val="00943D58"/>
    <w:rsid w:val="009448CC"/>
    <w:rsid w:val="00944AC5"/>
    <w:rsid w:val="00944BFB"/>
    <w:rsid w:val="00944CB3"/>
    <w:rsid w:val="009453C3"/>
    <w:rsid w:val="00945571"/>
    <w:rsid w:val="0094592D"/>
    <w:rsid w:val="00945BAC"/>
    <w:rsid w:val="00945BD5"/>
    <w:rsid w:val="00945E99"/>
    <w:rsid w:val="009460C3"/>
    <w:rsid w:val="00946AED"/>
    <w:rsid w:val="00946BC1"/>
    <w:rsid w:val="00946E4E"/>
    <w:rsid w:val="0094708C"/>
    <w:rsid w:val="00947564"/>
    <w:rsid w:val="00947C84"/>
    <w:rsid w:val="00947CC9"/>
    <w:rsid w:val="0095069D"/>
    <w:rsid w:val="00950885"/>
    <w:rsid w:val="00950A4E"/>
    <w:rsid w:val="00950C9D"/>
    <w:rsid w:val="00950CCC"/>
    <w:rsid w:val="009515D4"/>
    <w:rsid w:val="009517DF"/>
    <w:rsid w:val="00951826"/>
    <w:rsid w:val="00951B54"/>
    <w:rsid w:val="00951DD6"/>
    <w:rsid w:val="0095207B"/>
    <w:rsid w:val="00952534"/>
    <w:rsid w:val="0095263C"/>
    <w:rsid w:val="00952DB6"/>
    <w:rsid w:val="00952FA4"/>
    <w:rsid w:val="0095392F"/>
    <w:rsid w:val="009539B2"/>
    <w:rsid w:val="00953A59"/>
    <w:rsid w:val="00953FD4"/>
    <w:rsid w:val="009542AD"/>
    <w:rsid w:val="0095471E"/>
    <w:rsid w:val="00955437"/>
    <w:rsid w:val="00955746"/>
    <w:rsid w:val="00955966"/>
    <w:rsid w:val="00955B67"/>
    <w:rsid w:val="00955BF4"/>
    <w:rsid w:val="00955E42"/>
    <w:rsid w:val="009560B8"/>
    <w:rsid w:val="0095652F"/>
    <w:rsid w:val="009566E3"/>
    <w:rsid w:val="00956957"/>
    <w:rsid w:val="00956A8A"/>
    <w:rsid w:val="00956F57"/>
    <w:rsid w:val="00956FBE"/>
    <w:rsid w:val="00957142"/>
    <w:rsid w:val="00960007"/>
    <w:rsid w:val="0096047E"/>
    <w:rsid w:val="00960EEB"/>
    <w:rsid w:val="0096144B"/>
    <w:rsid w:val="0096190E"/>
    <w:rsid w:val="00961C1E"/>
    <w:rsid w:val="00961F82"/>
    <w:rsid w:val="009622B0"/>
    <w:rsid w:val="009622D9"/>
    <w:rsid w:val="00962479"/>
    <w:rsid w:val="0096257D"/>
    <w:rsid w:val="009626BF"/>
    <w:rsid w:val="00962F6F"/>
    <w:rsid w:val="009633D0"/>
    <w:rsid w:val="00963A0E"/>
    <w:rsid w:val="00963CB6"/>
    <w:rsid w:val="00963D37"/>
    <w:rsid w:val="00964122"/>
    <w:rsid w:val="009641EF"/>
    <w:rsid w:val="0096468A"/>
    <w:rsid w:val="00964720"/>
    <w:rsid w:val="0096514E"/>
    <w:rsid w:val="00965668"/>
    <w:rsid w:val="00965890"/>
    <w:rsid w:val="009658C6"/>
    <w:rsid w:val="00965BE9"/>
    <w:rsid w:val="00965D5C"/>
    <w:rsid w:val="00965F2F"/>
    <w:rsid w:val="0096606F"/>
    <w:rsid w:val="00966113"/>
    <w:rsid w:val="00966494"/>
    <w:rsid w:val="009666A0"/>
    <w:rsid w:val="009667EB"/>
    <w:rsid w:val="00967106"/>
    <w:rsid w:val="00967379"/>
    <w:rsid w:val="00967BCA"/>
    <w:rsid w:val="00967DF9"/>
    <w:rsid w:val="00970188"/>
    <w:rsid w:val="00970494"/>
    <w:rsid w:val="00970950"/>
    <w:rsid w:val="00970DEE"/>
    <w:rsid w:val="009711DD"/>
    <w:rsid w:val="009715EE"/>
    <w:rsid w:val="00971B28"/>
    <w:rsid w:val="00972631"/>
    <w:rsid w:val="009733AD"/>
    <w:rsid w:val="009736F9"/>
    <w:rsid w:val="009739D0"/>
    <w:rsid w:val="00973B61"/>
    <w:rsid w:val="00974D62"/>
    <w:rsid w:val="009751DF"/>
    <w:rsid w:val="00975558"/>
    <w:rsid w:val="00975769"/>
    <w:rsid w:val="00975A3D"/>
    <w:rsid w:val="00975BEA"/>
    <w:rsid w:val="00975CF8"/>
    <w:rsid w:val="00975D06"/>
    <w:rsid w:val="00975E6A"/>
    <w:rsid w:val="00975EF5"/>
    <w:rsid w:val="0097601E"/>
    <w:rsid w:val="0097606C"/>
    <w:rsid w:val="00976125"/>
    <w:rsid w:val="00976535"/>
    <w:rsid w:val="0097678A"/>
    <w:rsid w:val="009769FC"/>
    <w:rsid w:val="00976D6E"/>
    <w:rsid w:val="00977276"/>
    <w:rsid w:val="0097738F"/>
    <w:rsid w:val="0097761E"/>
    <w:rsid w:val="00977700"/>
    <w:rsid w:val="00977C1B"/>
    <w:rsid w:val="00977F5E"/>
    <w:rsid w:val="00980327"/>
    <w:rsid w:val="00980693"/>
    <w:rsid w:val="00980A33"/>
    <w:rsid w:val="00980B3F"/>
    <w:rsid w:val="00980CA4"/>
    <w:rsid w:val="00981007"/>
    <w:rsid w:val="00981A3A"/>
    <w:rsid w:val="00981A4E"/>
    <w:rsid w:val="00981CBB"/>
    <w:rsid w:val="00981E56"/>
    <w:rsid w:val="00982470"/>
    <w:rsid w:val="009826E5"/>
    <w:rsid w:val="00982B15"/>
    <w:rsid w:val="0098347C"/>
    <w:rsid w:val="00983ABB"/>
    <w:rsid w:val="00983B5B"/>
    <w:rsid w:val="00983CE6"/>
    <w:rsid w:val="00983D03"/>
    <w:rsid w:val="00983D07"/>
    <w:rsid w:val="00983EFE"/>
    <w:rsid w:val="00984169"/>
    <w:rsid w:val="009842E1"/>
    <w:rsid w:val="009843E5"/>
    <w:rsid w:val="00984763"/>
    <w:rsid w:val="00984D1E"/>
    <w:rsid w:val="00984E8C"/>
    <w:rsid w:val="00984F49"/>
    <w:rsid w:val="00984F99"/>
    <w:rsid w:val="00985012"/>
    <w:rsid w:val="00985AEC"/>
    <w:rsid w:val="00985B99"/>
    <w:rsid w:val="00985B9A"/>
    <w:rsid w:val="00985D7E"/>
    <w:rsid w:val="009862CD"/>
    <w:rsid w:val="009867E4"/>
    <w:rsid w:val="00986E4B"/>
    <w:rsid w:val="00987279"/>
    <w:rsid w:val="009872F4"/>
    <w:rsid w:val="009877FA"/>
    <w:rsid w:val="0099000D"/>
    <w:rsid w:val="009904C3"/>
    <w:rsid w:val="0099093E"/>
    <w:rsid w:val="00990AEA"/>
    <w:rsid w:val="00991759"/>
    <w:rsid w:val="00991C16"/>
    <w:rsid w:val="0099254F"/>
    <w:rsid w:val="00992617"/>
    <w:rsid w:val="00992687"/>
    <w:rsid w:val="00992D39"/>
    <w:rsid w:val="0099302F"/>
    <w:rsid w:val="00993A8B"/>
    <w:rsid w:val="00993BB6"/>
    <w:rsid w:val="00993FD0"/>
    <w:rsid w:val="0099460F"/>
    <w:rsid w:val="009947C3"/>
    <w:rsid w:val="00995279"/>
    <w:rsid w:val="009953E5"/>
    <w:rsid w:val="0099548F"/>
    <w:rsid w:val="009954EE"/>
    <w:rsid w:val="00995D12"/>
    <w:rsid w:val="0099671D"/>
    <w:rsid w:val="009968E1"/>
    <w:rsid w:val="00996BDE"/>
    <w:rsid w:val="00996F70"/>
    <w:rsid w:val="009970A3"/>
    <w:rsid w:val="00997107"/>
    <w:rsid w:val="00997336"/>
    <w:rsid w:val="00997959"/>
    <w:rsid w:val="00997BB3"/>
    <w:rsid w:val="00997D1F"/>
    <w:rsid w:val="00997DF8"/>
    <w:rsid w:val="009A0174"/>
    <w:rsid w:val="009A019F"/>
    <w:rsid w:val="009A01B0"/>
    <w:rsid w:val="009A05C9"/>
    <w:rsid w:val="009A0A86"/>
    <w:rsid w:val="009A1081"/>
    <w:rsid w:val="009A19EF"/>
    <w:rsid w:val="009A21F4"/>
    <w:rsid w:val="009A2690"/>
    <w:rsid w:val="009A28C7"/>
    <w:rsid w:val="009A2A8F"/>
    <w:rsid w:val="009A2CBC"/>
    <w:rsid w:val="009A30E5"/>
    <w:rsid w:val="009A3693"/>
    <w:rsid w:val="009A37BC"/>
    <w:rsid w:val="009A3C73"/>
    <w:rsid w:val="009A3CF1"/>
    <w:rsid w:val="009A45F2"/>
    <w:rsid w:val="009A4D3F"/>
    <w:rsid w:val="009A505A"/>
    <w:rsid w:val="009A53D1"/>
    <w:rsid w:val="009A5A06"/>
    <w:rsid w:val="009A5BBD"/>
    <w:rsid w:val="009A5CDB"/>
    <w:rsid w:val="009A5E37"/>
    <w:rsid w:val="009A5E50"/>
    <w:rsid w:val="009A5F05"/>
    <w:rsid w:val="009A60A0"/>
    <w:rsid w:val="009A6156"/>
    <w:rsid w:val="009A6201"/>
    <w:rsid w:val="009A670A"/>
    <w:rsid w:val="009A69EF"/>
    <w:rsid w:val="009A6D53"/>
    <w:rsid w:val="009A6F99"/>
    <w:rsid w:val="009A7160"/>
    <w:rsid w:val="009A7AF8"/>
    <w:rsid w:val="009A7B50"/>
    <w:rsid w:val="009B0776"/>
    <w:rsid w:val="009B07DB"/>
    <w:rsid w:val="009B0BDA"/>
    <w:rsid w:val="009B0C8E"/>
    <w:rsid w:val="009B0D1A"/>
    <w:rsid w:val="009B104B"/>
    <w:rsid w:val="009B121A"/>
    <w:rsid w:val="009B1244"/>
    <w:rsid w:val="009B1D85"/>
    <w:rsid w:val="009B2311"/>
    <w:rsid w:val="009B2352"/>
    <w:rsid w:val="009B25C4"/>
    <w:rsid w:val="009B27D9"/>
    <w:rsid w:val="009B2AB4"/>
    <w:rsid w:val="009B2B19"/>
    <w:rsid w:val="009B2B50"/>
    <w:rsid w:val="009B2F88"/>
    <w:rsid w:val="009B346B"/>
    <w:rsid w:val="009B356A"/>
    <w:rsid w:val="009B38FA"/>
    <w:rsid w:val="009B3AE7"/>
    <w:rsid w:val="009B3E20"/>
    <w:rsid w:val="009B425E"/>
    <w:rsid w:val="009B47EC"/>
    <w:rsid w:val="009B52B8"/>
    <w:rsid w:val="009B555F"/>
    <w:rsid w:val="009B5A11"/>
    <w:rsid w:val="009B5A94"/>
    <w:rsid w:val="009B5C19"/>
    <w:rsid w:val="009B5D05"/>
    <w:rsid w:val="009B60D8"/>
    <w:rsid w:val="009B61D7"/>
    <w:rsid w:val="009B6281"/>
    <w:rsid w:val="009B629D"/>
    <w:rsid w:val="009B67F7"/>
    <w:rsid w:val="009B707F"/>
    <w:rsid w:val="009B71C1"/>
    <w:rsid w:val="009B72E5"/>
    <w:rsid w:val="009C0525"/>
    <w:rsid w:val="009C06A2"/>
    <w:rsid w:val="009C07D5"/>
    <w:rsid w:val="009C114A"/>
    <w:rsid w:val="009C174A"/>
    <w:rsid w:val="009C19A8"/>
    <w:rsid w:val="009C1CF6"/>
    <w:rsid w:val="009C2246"/>
    <w:rsid w:val="009C2C06"/>
    <w:rsid w:val="009C2CD1"/>
    <w:rsid w:val="009C2FB2"/>
    <w:rsid w:val="009C31AC"/>
    <w:rsid w:val="009C38B9"/>
    <w:rsid w:val="009C40E9"/>
    <w:rsid w:val="009C4258"/>
    <w:rsid w:val="009C4505"/>
    <w:rsid w:val="009C4EEB"/>
    <w:rsid w:val="009C54B8"/>
    <w:rsid w:val="009C5B42"/>
    <w:rsid w:val="009C5D60"/>
    <w:rsid w:val="009C5E3D"/>
    <w:rsid w:val="009C5E4A"/>
    <w:rsid w:val="009C6066"/>
    <w:rsid w:val="009C696E"/>
    <w:rsid w:val="009C6D12"/>
    <w:rsid w:val="009C6E07"/>
    <w:rsid w:val="009C724C"/>
    <w:rsid w:val="009C73D6"/>
    <w:rsid w:val="009C7DA8"/>
    <w:rsid w:val="009D0265"/>
    <w:rsid w:val="009D02E9"/>
    <w:rsid w:val="009D09B5"/>
    <w:rsid w:val="009D0EE5"/>
    <w:rsid w:val="009D1285"/>
    <w:rsid w:val="009D14C2"/>
    <w:rsid w:val="009D1B66"/>
    <w:rsid w:val="009D2BEF"/>
    <w:rsid w:val="009D2D10"/>
    <w:rsid w:val="009D3636"/>
    <w:rsid w:val="009D3A82"/>
    <w:rsid w:val="009D3A8B"/>
    <w:rsid w:val="009D3DB3"/>
    <w:rsid w:val="009D4085"/>
    <w:rsid w:val="009D489F"/>
    <w:rsid w:val="009D4AB7"/>
    <w:rsid w:val="009D58E6"/>
    <w:rsid w:val="009D5CF8"/>
    <w:rsid w:val="009D60C5"/>
    <w:rsid w:val="009D6313"/>
    <w:rsid w:val="009D6579"/>
    <w:rsid w:val="009D6A81"/>
    <w:rsid w:val="009D6A8C"/>
    <w:rsid w:val="009D6CD7"/>
    <w:rsid w:val="009D6DA0"/>
    <w:rsid w:val="009D74B8"/>
    <w:rsid w:val="009D7621"/>
    <w:rsid w:val="009D7698"/>
    <w:rsid w:val="009D7A15"/>
    <w:rsid w:val="009D7BA5"/>
    <w:rsid w:val="009E0152"/>
    <w:rsid w:val="009E074F"/>
    <w:rsid w:val="009E0762"/>
    <w:rsid w:val="009E108A"/>
    <w:rsid w:val="009E183F"/>
    <w:rsid w:val="009E1C94"/>
    <w:rsid w:val="009E1E2F"/>
    <w:rsid w:val="009E2830"/>
    <w:rsid w:val="009E2A92"/>
    <w:rsid w:val="009E3D24"/>
    <w:rsid w:val="009E4027"/>
    <w:rsid w:val="009E418F"/>
    <w:rsid w:val="009E4215"/>
    <w:rsid w:val="009E4282"/>
    <w:rsid w:val="009E4587"/>
    <w:rsid w:val="009E45D1"/>
    <w:rsid w:val="009E465E"/>
    <w:rsid w:val="009E4CB6"/>
    <w:rsid w:val="009E5942"/>
    <w:rsid w:val="009E615A"/>
    <w:rsid w:val="009E6911"/>
    <w:rsid w:val="009E6E81"/>
    <w:rsid w:val="009E7006"/>
    <w:rsid w:val="009E75BA"/>
    <w:rsid w:val="009E76DE"/>
    <w:rsid w:val="009E7790"/>
    <w:rsid w:val="009F02BD"/>
    <w:rsid w:val="009F0808"/>
    <w:rsid w:val="009F0A47"/>
    <w:rsid w:val="009F0B60"/>
    <w:rsid w:val="009F0EDD"/>
    <w:rsid w:val="009F148B"/>
    <w:rsid w:val="009F1CCF"/>
    <w:rsid w:val="009F1E99"/>
    <w:rsid w:val="009F1F62"/>
    <w:rsid w:val="009F26C6"/>
    <w:rsid w:val="009F2DFC"/>
    <w:rsid w:val="009F310F"/>
    <w:rsid w:val="009F3A76"/>
    <w:rsid w:val="009F3C7C"/>
    <w:rsid w:val="009F3ECC"/>
    <w:rsid w:val="009F43EC"/>
    <w:rsid w:val="009F4439"/>
    <w:rsid w:val="009F46A8"/>
    <w:rsid w:val="009F46F2"/>
    <w:rsid w:val="009F4E7D"/>
    <w:rsid w:val="009F55BC"/>
    <w:rsid w:val="009F5B59"/>
    <w:rsid w:val="009F5CB7"/>
    <w:rsid w:val="009F60BE"/>
    <w:rsid w:val="009F67E7"/>
    <w:rsid w:val="009F6B0C"/>
    <w:rsid w:val="009F6BCA"/>
    <w:rsid w:val="009F753E"/>
    <w:rsid w:val="009F76BF"/>
    <w:rsid w:val="009F771F"/>
    <w:rsid w:val="009F7ABB"/>
    <w:rsid w:val="009F7EA1"/>
    <w:rsid w:val="00A000F7"/>
    <w:rsid w:val="00A001A1"/>
    <w:rsid w:val="00A00476"/>
    <w:rsid w:val="00A00A8A"/>
    <w:rsid w:val="00A00C0A"/>
    <w:rsid w:val="00A00EA7"/>
    <w:rsid w:val="00A00FFC"/>
    <w:rsid w:val="00A013C1"/>
    <w:rsid w:val="00A014AF"/>
    <w:rsid w:val="00A01BA5"/>
    <w:rsid w:val="00A01E6F"/>
    <w:rsid w:val="00A0235A"/>
    <w:rsid w:val="00A0266F"/>
    <w:rsid w:val="00A02B3F"/>
    <w:rsid w:val="00A02E72"/>
    <w:rsid w:val="00A03A41"/>
    <w:rsid w:val="00A03B2E"/>
    <w:rsid w:val="00A03D05"/>
    <w:rsid w:val="00A03E19"/>
    <w:rsid w:val="00A03F26"/>
    <w:rsid w:val="00A03F37"/>
    <w:rsid w:val="00A0451B"/>
    <w:rsid w:val="00A04543"/>
    <w:rsid w:val="00A04705"/>
    <w:rsid w:val="00A04D43"/>
    <w:rsid w:val="00A05060"/>
    <w:rsid w:val="00A05A3E"/>
    <w:rsid w:val="00A05BFD"/>
    <w:rsid w:val="00A05C43"/>
    <w:rsid w:val="00A06308"/>
    <w:rsid w:val="00A066D6"/>
    <w:rsid w:val="00A06D5B"/>
    <w:rsid w:val="00A06EC7"/>
    <w:rsid w:val="00A07260"/>
    <w:rsid w:val="00A07C38"/>
    <w:rsid w:val="00A07EA8"/>
    <w:rsid w:val="00A07FD4"/>
    <w:rsid w:val="00A10131"/>
    <w:rsid w:val="00A10511"/>
    <w:rsid w:val="00A10559"/>
    <w:rsid w:val="00A10761"/>
    <w:rsid w:val="00A10816"/>
    <w:rsid w:val="00A1108F"/>
    <w:rsid w:val="00A11329"/>
    <w:rsid w:val="00A11ABC"/>
    <w:rsid w:val="00A11C98"/>
    <w:rsid w:val="00A122DC"/>
    <w:rsid w:val="00A124A2"/>
    <w:rsid w:val="00A12715"/>
    <w:rsid w:val="00A12958"/>
    <w:rsid w:val="00A13204"/>
    <w:rsid w:val="00A1339C"/>
    <w:rsid w:val="00A136DF"/>
    <w:rsid w:val="00A13945"/>
    <w:rsid w:val="00A139FC"/>
    <w:rsid w:val="00A13CDB"/>
    <w:rsid w:val="00A14025"/>
    <w:rsid w:val="00A1412A"/>
    <w:rsid w:val="00A14466"/>
    <w:rsid w:val="00A149A9"/>
    <w:rsid w:val="00A15728"/>
    <w:rsid w:val="00A157C3"/>
    <w:rsid w:val="00A15BE3"/>
    <w:rsid w:val="00A15E23"/>
    <w:rsid w:val="00A161C5"/>
    <w:rsid w:val="00A1623C"/>
    <w:rsid w:val="00A16899"/>
    <w:rsid w:val="00A169A0"/>
    <w:rsid w:val="00A16A36"/>
    <w:rsid w:val="00A16C4A"/>
    <w:rsid w:val="00A170C9"/>
    <w:rsid w:val="00A1714A"/>
    <w:rsid w:val="00A17D48"/>
    <w:rsid w:val="00A2045E"/>
    <w:rsid w:val="00A209AC"/>
    <w:rsid w:val="00A20B6E"/>
    <w:rsid w:val="00A20EBB"/>
    <w:rsid w:val="00A2130A"/>
    <w:rsid w:val="00A21532"/>
    <w:rsid w:val="00A21B8D"/>
    <w:rsid w:val="00A21BC4"/>
    <w:rsid w:val="00A21CC7"/>
    <w:rsid w:val="00A21F7D"/>
    <w:rsid w:val="00A22845"/>
    <w:rsid w:val="00A23435"/>
    <w:rsid w:val="00A2358F"/>
    <w:rsid w:val="00A235BF"/>
    <w:rsid w:val="00A237AF"/>
    <w:rsid w:val="00A2391A"/>
    <w:rsid w:val="00A239F2"/>
    <w:rsid w:val="00A23C07"/>
    <w:rsid w:val="00A240C7"/>
    <w:rsid w:val="00A24115"/>
    <w:rsid w:val="00A24C17"/>
    <w:rsid w:val="00A24DE6"/>
    <w:rsid w:val="00A24FF8"/>
    <w:rsid w:val="00A25000"/>
    <w:rsid w:val="00A25454"/>
    <w:rsid w:val="00A257DB"/>
    <w:rsid w:val="00A258AB"/>
    <w:rsid w:val="00A25D9F"/>
    <w:rsid w:val="00A25EC1"/>
    <w:rsid w:val="00A25FA1"/>
    <w:rsid w:val="00A263D7"/>
    <w:rsid w:val="00A269E8"/>
    <w:rsid w:val="00A26D86"/>
    <w:rsid w:val="00A27095"/>
    <w:rsid w:val="00A27F80"/>
    <w:rsid w:val="00A30490"/>
    <w:rsid w:val="00A3085B"/>
    <w:rsid w:val="00A30CC3"/>
    <w:rsid w:val="00A30EF5"/>
    <w:rsid w:val="00A318FC"/>
    <w:rsid w:val="00A3203C"/>
    <w:rsid w:val="00A32265"/>
    <w:rsid w:val="00A323A6"/>
    <w:rsid w:val="00A323C4"/>
    <w:rsid w:val="00A32779"/>
    <w:rsid w:val="00A3295A"/>
    <w:rsid w:val="00A32A6A"/>
    <w:rsid w:val="00A3358E"/>
    <w:rsid w:val="00A337A5"/>
    <w:rsid w:val="00A344A2"/>
    <w:rsid w:val="00A34538"/>
    <w:rsid w:val="00A34C4A"/>
    <w:rsid w:val="00A34F62"/>
    <w:rsid w:val="00A35893"/>
    <w:rsid w:val="00A35C6E"/>
    <w:rsid w:val="00A35E06"/>
    <w:rsid w:val="00A36159"/>
    <w:rsid w:val="00A3683A"/>
    <w:rsid w:val="00A36DD0"/>
    <w:rsid w:val="00A36DFD"/>
    <w:rsid w:val="00A37203"/>
    <w:rsid w:val="00A37260"/>
    <w:rsid w:val="00A3746D"/>
    <w:rsid w:val="00A374C5"/>
    <w:rsid w:val="00A37901"/>
    <w:rsid w:val="00A37AAE"/>
    <w:rsid w:val="00A37D0F"/>
    <w:rsid w:val="00A40709"/>
    <w:rsid w:val="00A407D9"/>
    <w:rsid w:val="00A408DA"/>
    <w:rsid w:val="00A41612"/>
    <w:rsid w:val="00A41902"/>
    <w:rsid w:val="00A41DDB"/>
    <w:rsid w:val="00A42668"/>
    <w:rsid w:val="00A42689"/>
    <w:rsid w:val="00A42D7F"/>
    <w:rsid w:val="00A42DA1"/>
    <w:rsid w:val="00A430E9"/>
    <w:rsid w:val="00A43201"/>
    <w:rsid w:val="00A43421"/>
    <w:rsid w:val="00A43525"/>
    <w:rsid w:val="00A438B3"/>
    <w:rsid w:val="00A439E2"/>
    <w:rsid w:val="00A43A7E"/>
    <w:rsid w:val="00A43B17"/>
    <w:rsid w:val="00A43BF2"/>
    <w:rsid w:val="00A446E3"/>
    <w:rsid w:val="00A4474C"/>
    <w:rsid w:val="00A44A64"/>
    <w:rsid w:val="00A44B0A"/>
    <w:rsid w:val="00A44C6F"/>
    <w:rsid w:val="00A44FE8"/>
    <w:rsid w:val="00A45161"/>
    <w:rsid w:val="00A455C0"/>
    <w:rsid w:val="00A456A0"/>
    <w:rsid w:val="00A458DE"/>
    <w:rsid w:val="00A45A63"/>
    <w:rsid w:val="00A465CF"/>
    <w:rsid w:val="00A46D2D"/>
    <w:rsid w:val="00A47039"/>
    <w:rsid w:val="00A4758F"/>
    <w:rsid w:val="00A4772A"/>
    <w:rsid w:val="00A5113D"/>
    <w:rsid w:val="00A51D29"/>
    <w:rsid w:val="00A51D9C"/>
    <w:rsid w:val="00A51E50"/>
    <w:rsid w:val="00A521A2"/>
    <w:rsid w:val="00A5234A"/>
    <w:rsid w:val="00A52C50"/>
    <w:rsid w:val="00A52E96"/>
    <w:rsid w:val="00A52F96"/>
    <w:rsid w:val="00A5327A"/>
    <w:rsid w:val="00A53863"/>
    <w:rsid w:val="00A544A7"/>
    <w:rsid w:val="00A5458D"/>
    <w:rsid w:val="00A54B02"/>
    <w:rsid w:val="00A54C90"/>
    <w:rsid w:val="00A54E17"/>
    <w:rsid w:val="00A54F6B"/>
    <w:rsid w:val="00A5551B"/>
    <w:rsid w:val="00A559ED"/>
    <w:rsid w:val="00A561C1"/>
    <w:rsid w:val="00A5629F"/>
    <w:rsid w:val="00A5645C"/>
    <w:rsid w:val="00A5650A"/>
    <w:rsid w:val="00A56EA5"/>
    <w:rsid w:val="00A57C42"/>
    <w:rsid w:val="00A57D18"/>
    <w:rsid w:val="00A57DE4"/>
    <w:rsid w:val="00A60234"/>
    <w:rsid w:val="00A60453"/>
    <w:rsid w:val="00A6048A"/>
    <w:rsid w:val="00A6061B"/>
    <w:rsid w:val="00A609AF"/>
    <w:rsid w:val="00A60CD7"/>
    <w:rsid w:val="00A60EB8"/>
    <w:rsid w:val="00A610F7"/>
    <w:rsid w:val="00A61316"/>
    <w:rsid w:val="00A61EFD"/>
    <w:rsid w:val="00A6221E"/>
    <w:rsid w:val="00A62A4D"/>
    <w:rsid w:val="00A62CD7"/>
    <w:rsid w:val="00A62E0E"/>
    <w:rsid w:val="00A62E96"/>
    <w:rsid w:val="00A636FF"/>
    <w:rsid w:val="00A6377F"/>
    <w:rsid w:val="00A637E0"/>
    <w:rsid w:val="00A63F49"/>
    <w:rsid w:val="00A640F1"/>
    <w:rsid w:val="00A643C7"/>
    <w:rsid w:val="00A64AB0"/>
    <w:rsid w:val="00A64C18"/>
    <w:rsid w:val="00A64D99"/>
    <w:rsid w:val="00A64E63"/>
    <w:rsid w:val="00A6553B"/>
    <w:rsid w:val="00A65F55"/>
    <w:rsid w:val="00A65F7D"/>
    <w:rsid w:val="00A66066"/>
    <w:rsid w:val="00A66150"/>
    <w:rsid w:val="00A666B9"/>
    <w:rsid w:val="00A66F4E"/>
    <w:rsid w:val="00A67AD1"/>
    <w:rsid w:val="00A67BBA"/>
    <w:rsid w:val="00A67D46"/>
    <w:rsid w:val="00A67DDB"/>
    <w:rsid w:val="00A7016E"/>
    <w:rsid w:val="00A701C7"/>
    <w:rsid w:val="00A7053F"/>
    <w:rsid w:val="00A70699"/>
    <w:rsid w:val="00A70B9F"/>
    <w:rsid w:val="00A711E4"/>
    <w:rsid w:val="00A715A8"/>
    <w:rsid w:val="00A715CE"/>
    <w:rsid w:val="00A71B80"/>
    <w:rsid w:val="00A71EA1"/>
    <w:rsid w:val="00A720E2"/>
    <w:rsid w:val="00A72344"/>
    <w:rsid w:val="00A72492"/>
    <w:rsid w:val="00A72F1C"/>
    <w:rsid w:val="00A73457"/>
    <w:rsid w:val="00A73603"/>
    <w:rsid w:val="00A737BD"/>
    <w:rsid w:val="00A7394D"/>
    <w:rsid w:val="00A73A3C"/>
    <w:rsid w:val="00A73F76"/>
    <w:rsid w:val="00A74050"/>
    <w:rsid w:val="00A742F9"/>
    <w:rsid w:val="00A74560"/>
    <w:rsid w:val="00A748F0"/>
    <w:rsid w:val="00A74997"/>
    <w:rsid w:val="00A74A62"/>
    <w:rsid w:val="00A750C3"/>
    <w:rsid w:val="00A752B7"/>
    <w:rsid w:val="00A7536D"/>
    <w:rsid w:val="00A75466"/>
    <w:rsid w:val="00A75500"/>
    <w:rsid w:val="00A756B3"/>
    <w:rsid w:val="00A75B71"/>
    <w:rsid w:val="00A75D69"/>
    <w:rsid w:val="00A76467"/>
    <w:rsid w:val="00A7673B"/>
    <w:rsid w:val="00A76B1A"/>
    <w:rsid w:val="00A76EAC"/>
    <w:rsid w:val="00A76F4A"/>
    <w:rsid w:val="00A77194"/>
    <w:rsid w:val="00A77AED"/>
    <w:rsid w:val="00A77C67"/>
    <w:rsid w:val="00A77F08"/>
    <w:rsid w:val="00A80BA6"/>
    <w:rsid w:val="00A80CB8"/>
    <w:rsid w:val="00A80F65"/>
    <w:rsid w:val="00A81477"/>
    <w:rsid w:val="00A81831"/>
    <w:rsid w:val="00A81CE0"/>
    <w:rsid w:val="00A82027"/>
    <w:rsid w:val="00A820FC"/>
    <w:rsid w:val="00A82132"/>
    <w:rsid w:val="00A82158"/>
    <w:rsid w:val="00A8229C"/>
    <w:rsid w:val="00A82307"/>
    <w:rsid w:val="00A823DD"/>
    <w:rsid w:val="00A825DF"/>
    <w:rsid w:val="00A827DE"/>
    <w:rsid w:val="00A8280B"/>
    <w:rsid w:val="00A8286B"/>
    <w:rsid w:val="00A83146"/>
    <w:rsid w:val="00A832C3"/>
    <w:rsid w:val="00A83486"/>
    <w:rsid w:val="00A837A8"/>
    <w:rsid w:val="00A83B52"/>
    <w:rsid w:val="00A83BC8"/>
    <w:rsid w:val="00A83CA0"/>
    <w:rsid w:val="00A84313"/>
    <w:rsid w:val="00A84619"/>
    <w:rsid w:val="00A847D1"/>
    <w:rsid w:val="00A84E52"/>
    <w:rsid w:val="00A8514A"/>
    <w:rsid w:val="00A85164"/>
    <w:rsid w:val="00A85223"/>
    <w:rsid w:val="00A8526B"/>
    <w:rsid w:val="00A858B8"/>
    <w:rsid w:val="00A858D6"/>
    <w:rsid w:val="00A86020"/>
    <w:rsid w:val="00A86739"/>
    <w:rsid w:val="00A87577"/>
    <w:rsid w:val="00A87588"/>
    <w:rsid w:val="00A876F8"/>
    <w:rsid w:val="00A87A63"/>
    <w:rsid w:val="00A87A95"/>
    <w:rsid w:val="00A87B9F"/>
    <w:rsid w:val="00A900D9"/>
    <w:rsid w:val="00A90304"/>
    <w:rsid w:val="00A90382"/>
    <w:rsid w:val="00A9073A"/>
    <w:rsid w:val="00A90ABD"/>
    <w:rsid w:val="00A90DB0"/>
    <w:rsid w:val="00A91421"/>
    <w:rsid w:val="00A91943"/>
    <w:rsid w:val="00A919EE"/>
    <w:rsid w:val="00A91D9A"/>
    <w:rsid w:val="00A91E06"/>
    <w:rsid w:val="00A91EC5"/>
    <w:rsid w:val="00A921D3"/>
    <w:rsid w:val="00A9285F"/>
    <w:rsid w:val="00A9330C"/>
    <w:rsid w:val="00A935AF"/>
    <w:rsid w:val="00A94196"/>
    <w:rsid w:val="00A94674"/>
    <w:rsid w:val="00A94792"/>
    <w:rsid w:val="00A94BDC"/>
    <w:rsid w:val="00A94DE2"/>
    <w:rsid w:val="00A94DF6"/>
    <w:rsid w:val="00A94E97"/>
    <w:rsid w:val="00A959A8"/>
    <w:rsid w:val="00A9613E"/>
    <w:rsid w:val="00A9615E"/>
    <w:rsid w:val="00A96403"/>
    <w:rsid w:val="00A96463"/>
    <w:rsid w:val="00A967E5"/>
    <w:rsid w:val="00A967FE"/>
    <w:rsid w:val="00A96A89"/>
    <w:rsid w:val="00A96D1B"/>
    <w:rsid w:val="00A9783F"/>
    <w:rsid w:val="00A978E6"/>
    <w:rsid w:val="00A97E76"/>
    <w:rsid w:val="00A97FA3"/>
    <w:rsid w:val="00AA0785"/>
    <w:rsid w:val="00AA0F2E"/>
    <w:rsid w:val="00AA1054"/>
    <w:rsid w:val="00AA16C5"/>
    <w:rsid w:val="00AA1905"/>
    <w:rsid w:val="00AA1A6C"/>
    <w:rsid w:val="00AA1E74"/>
    <w:rsid w:val="00AA29C8"/>
    <w:rsid w:val="00AA2AB9"/>
    <w:rsid w:val="00AA2F8E"/>
    <w:rsid w:val="00AA3075"/>
    <w:rsid w:val="00AA364E"/>
    <w:rsid w:val="00AA377E"/>
    <w:rsid w:val="00AA383D"/>
    <w:rsid w:val="00AA3C23"/>
    <w:rsid w:val="00AA48E7"/>
    <w:rsid w:val="00AA4AE2"/>
    <w:rsid w:val="00AA4BE2"/>
    <w:rsid w:val="00AA4EDD"/>
    <w:rsid w:val="00AA5262"/>
    <w:rsid w:val="00AA5AB1"/>
    <w:rsid w:val="00AA5AF6"/>
    <w:rsid w:val="00AA611D"/>
    <w:rsid w:val="00AA6B11"/>
    <w:rsid w:val="00AA6BF5"/>
    <w:rsid w:val="00AA7073"/>
    <w:rsid w:val="00AA70AB"/>
    <w:rsid w:val="00AA70C7"/>
    <w:rsid w:val="00AA7394"/>
    <w:rsid w:val="00AA73DA"/>
    <w:rsid w:val="00AA7597"/>
    <w:rsid w:val="00AA7F14"/>
    <w:rsid w:val="00AB013B"/>
    <w:rsid w:val="00AB01D0"/>
    <w:rsid w:val="00AB06FA"/>
    <w:rsid w:val="00AB0F9F"/>
    <w:rsid w:val="00AB1115"/>
    <w:rsid w:val="00AB16A3"/>
    <w:rsid w:val="00AB1AA8"/>
    <w:rsid w:val="00AB1B0B"/>
    <w:rsid w:val="00AB1D3C"/>
    <w:rsid w:val="00AB1E2C"/>
    <w:rsid w:val="00AB1E51"/>
    <w:rsid w:val="00AB2343"/>
    <w:rsid w:val="00AB2344"/>
    <w:rsid w:val="00AB2384"/>
    <w:rsid w:val="00AB25CF"/>
    <w:rsid w:val="00AB2D2F"/>
    <w:rsid w:val="00AB2E84"/>
    <w:rsid w:val="00AB3F1C"/>
    <w:rsid w:val="00AB4108"/>
    <w:rsid w:val="00AB436B"/>
    <w:rsid w:val="00AB4724"/>
    <w:rsid w:val="00AB493D"/>
    <w:rsid w:val="00AB4994"/>
    <w:rsid w:val="00AB4B49"/>
    <w:rsid w:val="00AB5252"/>
    <w:rsid w:val="00AB551E"/>
    <w:rsid w:val="00AB5732"/>
    <w:rsid w:val="00AB5E1D"/>
    <w:rsid w:val="00AB63E7"/>
    <w:rsid w:val="00AB66D1"/>
    <w:rsid w:val="00AB6CC8"/>
    <w:rsid w:val="00AB7249"/>
    <w:rsid w:val="00AB7395"/>
    <w:rsid w:val="00AB7731"/>
    <w:rsid w:val="00AC0012"/>
    <w:rsid w:val="00AC028A"/>
    <w:rsid w:val="00AC0A8A"/>
    <w:rsid w:val="00AC0B20"/>
    <w:rsid w:val="00AC0B5B"/>
    <w:rsid w:val="00AC0ECC"/>
    <w:rsid w:val="00AC1107"/>
    <w:rsid w:val="00AC1152"/>
    <w:rsid w:val="00AC11A2"/>
    <w:rsid w:val="00AC1362"/>
    <w:rsid w:val="00AC1530"/>
    <w:rsid w:val="00AC17A7"/>
    <w:rsid w:val="00AC1F6A"/>
    <w:rsid w:val="00AC2147"/>
    <w:rsid w:val="00AC3352"/>
    <w:rsid w:val="00AC3A94"/>
    <w:rsid w:val="00AC3F5C"/>
    <w:rsid w:val="00AC4398"/>
    <w:rsid w:val="00AC45CE"/>
    <w:rsid w:val="00AC4739"/>
    <w:rsid w:val="00AC49B1"/>
    <w:rsid w:val="00AC49D2"/>
    <w:rsid w:val="00AC4FDD"/>
    <w:rsid w:val="00AC56CC"/>
    <w:rsid w:val="00AC63FC"/>
    <w:rsid w:val="00AC6C7C"/>
    <w:rsid w:val="00AC6F88"/>
    <w:rsid w:val="00AC72F3"/>
    <w:rsid w:val="00AC745C"/>
    <w:rsid w:val="00AC74DA"/>
    <w:rsid w:val="00AC76FB"/>
    <w:rsid w:val="00AC7B89"/>
    <w:rsid w:val="00AC7D07"/>
    <w:rsid w:val="00AC7E16"/>
    <w:rsid w:val="00AD0476"/>
    <w:rsid w:val="00AD04A3"/>
    <w:rsid w:val="00AD06AB"/>
    <w:rsid w:val="00AD10C7"/>
    <w:rsid w:val="00AD1273"/>
    <w:rsid w:val="00AD1A99"/>
    <w:rsid w:val="00AD1D30"/>
    <w:rsid w:val="00AD1D38"/>
    <w:rsid w:val="00AD1E10"/>
    <w:rsid w:val="00AD1EF8"/>
    <w:rsid w:val="00AD2D8F"/>
    <w:rsid w:val="00AD2EC2"/>
    <w:rsid w:val="00AD2EE6"/>
    <w:rsid w:val="00AD31C7"/>
    <w:rsid w:val="00AD359B"/>
    <w:rsid w:val="00AD365B"/>
    <w:rsid w:val="00AD388B"/>
    <w:rsid w:val="00AD38FE"/>
    <w:rsid w:val="00AD4123"/>
    <w:rsid w:val="00AD4176"/>
    <w:rsid w:val="00AD4AA3"/>
    <w:rsid w:val="00AD4C45"/>
    <w:rsid w:val="00AD4E3A"/>
    <w:rsid w:val="00AD52C9"/>
    <w:rsid w:val="00AD5657"/>
    <w:rsid w:val="00AD59E4"/>
    <w:rsid w:val="00AD5C9B"/>
    <w:rsid w:val="00AD638F"/>
    <w:rsid w:val="00AD6941"/>
    <w:rsid w:val="00AD6A80"/>
    <w:rsid w:val="00AD7731"/>
    <w:rsid w:val="00AD79B5"/>
    <w:rsid w:val="00AD7A0A"/>
    <w:rsid w:val="00AD7A85"/>
    <w:rsid w:val="00AD7DB0"/>
    <w:rsid w:val="00AD7F9B"/>
    <w:rsid w:val="00AD7FEF"/>
    <w:rsid w:val="00AE069E"/>
    <w:rsid w:val="00AE06B7"/>
    <w:rsid w:val="00AE0B5F"/>
    <w:rsid w:val="00AE11B6"/>
    <w:rsid w:val="00AE11DE"/>
    <w:rsid w:val="00AE12CA"/>
    <w:rsid w:val="00AE1962"/>
    <w:rsid w:val="00AE1A27"/>
    <w:rsid w:val="00AE1EE7"/>
    <w:rsid w:val="00AE2212"/>
    <w:rsid w:val="00AE2255"/>
    <w:rsid w:val="00AE24FB"/>
    <w:rsid w:val="00AE2620"/>
    <w:rsid w:val="00AE298D"/>
    <w:rsid w:val="00AE35A1"/>
    <w:rsid w:val="00AE368D"/>
    <w:rsid w:val="00AE369D"/>
    <w:rsid w:val="00AE36AF"/>
    <w:rsid w:val="00AE384E"/>
    <w:rsid w:val="00AE39BF"/>
    <w:rsid w:val="00AE3CF8"/>
    <w:rsid w:val="00AE3FF4"/>
    <w:rsid w:val="00AE4072"/>
    <w:rsid w:val="00AE451F"/>
    <w:rsid w:val="00AE49C0"/>
    <w:rsid w:val="00AE4CEA"/>
    <w:rsid w:val="00AE4F94"/>
    <w:rsid w:val="00AE53DD"/>
    <w:rsid w:val="00AE57CC"/>
    <w:rsid w:val="00AE5907"/>
    <w:rsid w:val="00AE5C29"/>
    <w:rsid w:val="00AE7778"/>
    <w:rsid w:val="00AF0015"/>
    <w:rsid w:val="00AF00AE"/>
    <w:rsid w:val="00AF0333"/>
    <w:rsid w:val="00AF0434"/>
    <w:rsid w:val="00AF04B5"/>
    <w:rsid w:val="00AF04CD"/>
    <w:rsid w:val="00AF23BE"/>
    <w:rsid w:val="00AF2DAC"/>
    <w:rsid w:val="00AF2EB7"/>
    <w:rsid w:val="00AF2F04"/>
    <w:rsid w:val="00AF2F87"/>
    <w:rsid w:val="00AF3041"/>
    <w:rsid w:val="00AF3BB4"/>
    <w:rsid w:val="00AF3E0F"/>
    <w:rsid w:val="00AF3E57"/>
    <w:rsid w:val="00AF48A7"/>
    <w:rsid w:val="00AF4A66"/>
    <w:rsid w:val="00AF5144"/>
    <w:rsid w:val="00AF5198"/>
    <w:rsid w:val="00AF5FB4"/>
    <w:rsid w:val="00AF6057"/>
    <w:rsid w:val="00AF60D7"/>
    <w:rsid w:val="00AF63AB"/>
    <w:rsid w:val="00AF643C"/>
    <w:rsid w:val="00AF6723"/>
    <w:rsid w:val="00AF69D6"/>
    <w:rsid w:val="00AF6A64"/>
    <w:rsid w:val="00AF6B02"/>
    <w:rsid w:val="00AF6C9E"/>
    <w:rsid w:val="00AF72F0"/>
    <w:rsid w:val="00AF757D"/>
    <w:rsid w:val="00B0036C"/>
    <w:rsid w:val="00B0076A"/>
    <w:rsid w:val="00B00988"/>
    <w:rsid w:val="00B00D85"/>
    <w:rsid w:val="00B00FCE"/>
    <w:rsid w:val="00B010E1"/>
    <w:rsid w:val="00B011DD"/>
    <w:rsid w:val="00B016A5"/>
    <w:rsid w:val="00B02042"/>
    <w:rsid w:val="00B021A7"/>
    <w:rsid w:val="00B025E3"/>
    <w:rsid w:val="00B026D7"/>
    <w:rsid w:val="00B02D56"/>
    <w:rsid w:val="00B02F36"/>
    <w:rsid w:val="00B02F5C"/>
    <w:rsid w:val="00B03515"/>
    <w:rsid w:val="00B03540"/>
    <w:rsid w:val="00B04149"/>
    <w:rsid w:val="00B04BB6"/>
    <w:rsid w:val="00B04ED3"/>
    <w:rsid w:val="00B05056"/>
    <w:rsid w:val="00B05FAE"/>
    <w:rsid w:val="00B063C4"/>
    <w:rsid w:val="00B064EC"/>
    <w:rsid w:val="00B067F4"/>
    <w:rsid w:val="00B06B15"/>
    <w:rsid w:val="00B06BAA"/>
    <w:rsid w:val="00B06C91"/>
    <w:rsid w:val="00B06CA9"/>
    <w:rsid w:val="00B06D79"/>
    <w:rsid w:val="00B071F8"/>
    <w:rsid w:val="00B0738E"/>
    <w:rsid w:val="00B07FE5"/>
    <w:rsid w:val="00B101D4"/>
    <w:rsid w:val="00B10C85"/>
    <w:rsid w:val="00B10FD7"/>
    <w:rsid w:val="00B11734"/>
    <w:rsid w:val="00B119F6"/>
    <w:rsid w:val="00B11C62"/>
    <w:rsid w:val="00B122A1"/>
    <w:rsid w:val="00B124F8"/>
    <w:rsid w:val="00B128B2"/>
    <w:rsid w:val="00B12C8E"/>
    <w:rsid w:val="00B12DB6"/>
    <w:rsid w:val="00B13237"/>
    <w:rsid w:val="00B13813"/>
    <w:rsid w:val="00B13828"/>
    <w:rsid w:val="00B13902"/>
    <w:rsid w:val="00B13D8B"/>
    <w:rsid w:val="00B141F3"/>
    <w:rsid w:val="00B146AC"/>
    <w:rsid w:val="00B14835"/>
    <w:rsid w:val="00B14BAB"/>
    <w:rsid w:val="00B14EBE"/>
    <w:rsid w:val="00B14EF1"/>
    <w:rsid w:val="00B151BC"/>
    <w:rsid w:val="00B161ED"/>
    <w:rsid w:val="00B16381"/>
    <w:rsid w:val="00B16C03"/>
    <w:rsid w:val="00B16F11"/>
    <w:rsid w:val="00B176C7"/>
    <w:rsid w:val="00B178D9"/>
    <w:rsid w:val="00B17E64"/>
    <w:rsid w:val="00B2001A"/>
    <w:rsid w:val="00B204CC"/>
    <w:rsid w:val="00B2057A"/>
    <w:rsid w:val="00B206C0"/>
    <w:rsid w:val="00B21008"/>
    <w:rsid w:val="00B2101E"/>
    <w:rsid w:val="00B21093"/>
    <w:rsid w:val="00B219AA"/>
    <w:rsid w:val="00B21A66"/>
    <w:rsid w:val="00B21C0A"/>
    <w:rsid w:val="00B22466"/>
    <w:rsid w:val="00B2257E"/>
    <w:rsid w:val="00B22BE5"/>
    <w:rsid w:val="00B233BB"/>
    <w:rsid w:val="00B237F0"/>
    <w:rsid w:val="00B238BD"/>
    <w:rsid w:val="00B23B40"/>
    <w:rsid w:val="00B23D1C"/>
    <w:rsid w:val="00B23E15"/>
    <w:rsid w:val="00B23E59"/>
    <w:rsid w:val="00B24394"/>
    <w:rsid w:val="00B2446E"/>
    <w:rsid w:val="00B24BAE"/>
    <w:rsid w:val="00B24D49"/>
    <w:rsid w:val="00B24F4C"/>
    <w:rsid w:val="00B251B6"/>
    <w:rsid w:val="00B25687"/>
    <w:rsid w:val="00B25EE8"/>
    <w:rsid w:val="00B25EF5"/>
    <w:rsid w:val="00B26306"/>
    <w:rsid w:val="00B26813"/>
    <w:rsid w:val="00B268B2"/>
    <w:rsid w:val="00B26E3A"/>
    <w:rsid w:val="00B26E9D"/>
    <w:rsid w:val="00B2747D"/>
    <w:rsid w:val="00B275D4"/>
    <w:rsid w:val="00B27993"/>
    <w:rsid w:val="00B27A6A"/>
    <w:rsid w:val="00B301DC"/>
    <w:rsid w:val="00B3024A"/>
    <w:rsid w:val="00B305B1"/>
    <w:rsid w:val="00B30D45"/>
    <w:rsid w:val="00B30E13"/>
    <w:rsid w:val="00B315BD"/>
    <w:rsid w:val="00B317FC"/>
    <w:rsid w:val="00B31FB2"/>
    <w:rsid w:val="00B322AB"/>
    <w:rsid w:val="00B3295A"/>
    <w:rsid w:val="00B32AD2"/>
    <w:rsid w:val="00B32B6B"/>
    <w:rsid w:val="00B33095"/>
    <w:rsid w:val="00B33176"/>
    <w:rsid w:val="00B33A9C"/>
    <w:rsid w:val="00B33E41"/>
    <w:rsid w:val="00B33F7D"/>
    <w:rsid w:val="00B346B2"/>
    <w:rsid w:val="00B34AF3"/>
    <w:rsid w:val="00B34B4B"/>
    <w:rsid w:val="00B34BC2"/>
    <w:rsid w:val="00B34CFE"/>
    <w:rsid w:val="00B34E38"/>
    <w:rsid w:val="00B35338"/>
    <w:rsid w:val="00B3576F"/>
    <w:rsid w:val="00B35D84"/>
    <w:rsid w:val="00B36E75"/>
    <w:rsid w:val="00B370F6"/>
    <w:rsid w:val="00B37315"/>
    <w:rsid w:val="00B375F5"/>
    <w:rsid w:val="00B37791"/>
    <w:rsid w:val="00B37860"/>
    <w:rsid w:val="00B37C2D"/>
    <w:rsid w:val="00B37C30"/>
    <w:rsid w:val="00B37F24"/>
    <w:rsid w:val="00B4070D"/>
    <w:rsid w:val="00B40950"/>
    <w:rsid w:val="00B4140F"/>
    <w:rsid w:val="00B415D3"/>
    <w:rsid w:val="00B416E4"/>
    <w:rsid w:val="00B418BC"/>
    <w:rsid w:val="00B41DB1"/>
    <w:rsid w:val="00B41F62"/>
    <w:rsid w:val="00B42698"/>
    <w:rsid w:val="00B42F4E"/>
    <w:rsid w:val="00B4310A"/>
    <w:rsid w:val="00B432AA"/>
    <w:rsid w:val="00B437D2"/>
    <w:rsid w:val="00B43C9C"/>
    <w:rsid w:val="00B43EB9"/>
    <w:rsid w:val="00B43F8F"/>
    <w:rsid w:val="00B440EA"/>
    <w:rsid w:val="00B44EBD"/>
    <w:rsid w:val="00B452B7"/>
    <w:rsid w:val="00B458F4"/>
    <w:rsid w:val="00B45E34"/>
    <w:rsid w:val="00B4667F"/>
    <w:rsid w:val="00B466FC"/>
    <w:rsid w:val="00B46724"/>
    <w:rsid w:val="00B46EC6"/>
    <w:rsid w:val="00B47865"/>
    <w:rsid w:val="00B50283"/>
    <w:rsid w:val="00B5056F"/>
    <w:rsid w:val="00B507DB"/>
    <w:rsid w:val="00B50A23"/>
    <w:rsid w:val="00B50E97"/>
    <w:rsid w:val="00B50FF9"/>
    <w:rsid w:val="00B51444"/>
    <w:rsid w:val="00B514D0"/>
    <w:rsid w:val="00B51A4C"/>
    <w:rsid w:val="00B51AEE"/>
    <w:rsid w:val="00B51B67"/>
    <w:rsid w:val="00B51BCD"/>
    <w:rsid w:val="00B52410"/>
    <w:rsid w:val="00B527A1"/>
    <w:rsid w:val="00B52942"/>
    <w:rsid w:val="00B52DC7"/>
    <w:rsid w:val="00B52F89"/>
    <w:rsid w:val="00B5395A"/>
    <w:rsid w:val="00B543DE"/>
    <w:rsid w:val="00B547BC"/>
    <w:rsid w:val="00B5495F"/>
    <w:rsid w:val="00B54EC8"/>
    <w:rsid w:val="00B553E5"/>
    <w:rsid w:val="00B55691"/>
    <w:rsid w:val="00B558D1"/>
    <w:rsid w:val="00B55C82"/>
    <w:rsid w:val="00B55CD6"/>
    <w:rsid w:val="00B56307"/>
    <w:rsid w:val="00B5645B"/>
    <w:rsid w:val="00B56D2A"/>
    <w:rsid w:val="00B56D86"/>
    <w:rsid w:val="00B5773F"/>
    <w:rsid w:val="00B57DCE"/>
    <w:rsid w:val="00B60844"/>
    <w:rsid w:val="00B60960"/>
    <w:rsid w:val="00B60EBF"/>
    <w:rsid w:val="00B61750"/>
    <w:rsid w:val="00B61B4A"/>
    <w:rsid w:val="00B61F43"/>
    <w:rsid w:val="00B62742"/>
    <w:rsid w:val="00B628C0"/>
    <w:rsid w:val="00B62AC0"/>
    <w:rsid w:val="00B63679"/>
    <w:rsid w:val="00B637CB"/>
    <w:rsid w:val="00B64560"/>
    <w:rsid w:val="00B64B68"/>
    <w:rsid w:val="00B64EB2"/>
    <w:rsid w:val="00B65202"/>
    <w:rsid w:val="00B652DA"/>
    <w:rsid w:val="00B65C4E"/>
    <w:rsid w:val="00B65E47"/>
    <w:rsid w:val="00B65EF7"/>
    <w:rsid w:val="00B66A5C"/>
    <w:rsid w:val="00B67136"/>
    <w:rsid w:val="00B673B8"/>
    <w:rsid w:val="00B67465"/>
    <w:rsid w:val="00B67B03"/>
    <w:rsid w:val="00B70131"/>
    <w:rsid w:val="00B70862"/>
    <w:rsid w:val="00B71256"/>
    <w:rsid w:val="00B716ED"/>
    <w:rsid w:val="00B719C9"/>
    <w:rsid w:val="00B71E5D"/>
    <w:rsid w:val="00B7258F"/>
    <w:rsid w:val="00B73175"/>
    <w:rsid w:val="00B735CC"/>
    <w:rsid w:val="00B73685"/>
    <w:rsid w:val="00B73898"/>
    <w:rsid w:val="00B73BD3"/>
    <w:rsid w:val="00B73D5F"/>
    <w:rsid w:val="00B74474"/>
    <w:rsid w:val="00B74501"/>
    <w:rsid w:val="00B746A1"/>
    <w:rsid w:val="00B74F8F"/>
    <w:rsid w:val="00B75102"/>
    <w:rsid w:val="00B752C6"/>
    <w:rsid w:val="00B75789"/>
    <w:rsid w:val="00B76315"/>
    <w:rsid w:val="00B7699D"/>
    <w:rsid w:val="00B76B14"/>
    <w:rsid w:val="00B76B62"/>
    <w:rsid w:val="00B7720B"/>
    <w:rsid w:val="00B77653"/>
    <w:rsid w:val="00B77A67"/>
    <w:rsid w:val="00B804E9"/>
    <w:rsid w:val="00B80922"/>
    <w:rsid w:val="00B80B5F"/>
    <w:rsid w:val="00B81147"/>
    <w:rsid w:val="00B81454"/>
    <w:rsid w:val="00B81457"/>
    <w:rsid w:val="00B8162D"/>
    <w:rsid w:val="00B816DB"/>
    <w:rsid w:val="00B81C79"/>
    <w:rsid w:val="00B81D42"/>
    <w:rsid w:val="00B81E88"/>
    <w:rsid w:val="00B81F18"/>
    <w:rsid w:val="00B82065"/>
    <w:rsid w:val="00B82829"/>
    <w:rsid w:val="00B82E15"/>
    <w:rsid w:val="00B82EBB"/>
    <w:rsid w:val="00B83437"/>
    <w:rsid w:val="00B8345A"/>
    <w:rsid w:val="00B837C0"/>
    <w:rsid w:val="00B83975"/>
    <w:rsid w:val="00B83CD3"/>
    <w:rsid w:val="00B8403B"/>
    <w:rsid w:val="00B84555"/>
    <w:rsid w:val="00B84874"/>
    <w:rsid w:val="00B848B5"/>
    <w:rsid w:val="00B84E31"/>
    <w:rsid w:val="00B85052"/>
    <w:rsid w:val="00B85389"/>
    <w:rsid w:val="00B85791"/>
    <w:rsid w:val="00B85D07"/>
    <w:rsid w:val="00B8666D"/>
    <w:rsid w:val="00B86AA8"/>
    <w:rsid w:val="00B872AC"/>
    <w:rsid w:val="00B87393"/>
    <w:rsid w:val="00B87452"/>
    <w:rsid w:val="00B87873"/>
    <w:rsid w:val="00B90875"/>
    <w:rsid w:val="00B90EAB"/>
    <w:rsid w:val="00B91384"/>
    <w:rsid w:val="00B9140D"/>
    <w:rsid w:val="00B91733"/>
    <w:rsid w:val="00B918F6"/>
    <w:rsid w:val="00B91CA8"/>
    <w:rsid w:val="00B91E01"/>
    <w:rsid w:val="00B91FBE"/>
    <w:rsid w:val="00B9297A"/>
    <w:rsid w:val="00B93366"/>
    <w:rsid w:val="00B939FE"/>
    <w:rsid w:val="00B93A05"/>
    <w:rsid w:val="00B93C0D"/>
    <w:rsid w:val="00B93C46"/>
    <w:rsid w:val="00B9477F"/>
    <w:rsid w:val="00B9479C"/>
    <w:rsid w:val="00B94CF9"/>
    <w:rsid w:val="00B95417"/>
    <w:rsid w:val="00B95507"/>
    <w:rsid w:val="00B955C5"/>
    <w:rsid w:val="00B956A1"/>
    <w:rsid w:val="00B956C3"/>
    <w:rsid w:val="00B957D0"/>
    <w:rsid w:val="00B96477"/>
    <w:rsid w:val="00B96A06"/>
    <w:rsid w:val="00B96A64"/>
    <w:rsid w:val="00B96F1B"/>
    <w:rsid w:val="00B975D4"/>
    <w:rsid w:val="00B976C8"/>
    <w:rsid w:val="00BA0810"/>
    <w:rsid w:val="00BA08F1"/>
    <w:rsid w:val="00BA1396"/>
    <w:rsid w:val="00BA153C"/>
    <w:rsid w:val="00BA1619"/>
    <w:rsid w:val="00BA1658"/>
    <w:rsid w:val="00BA1ABA"/>
    <w:rsid w:val="00BA23D6"/>
    <w:rsid w:val="00BA2527"/>
    <w:rsid w:val="00BA2DF5"/>
    <w:rsid w:val="00BA32BF"/>
    <w:rsid w:val="00BA333B"/>
    <w:rsid w:val="00BA35D1"/>
    <w:rsid w:val="00BA3877"/>
    <w:rsid w:val="00BA390E"/>
    <w:rsid w:val="00BA45F7"/>
    <w:rsid w:val="00BA4710"/>
    <w:rsid w:val="00BA49A0"/>
    <w:rsid w:val="00BA4AF2"/>
    <w:rsid w:val="00BA5100"/>
    <w:rsid w:val="00BA563D"/>
    <w:rsid w:val="00BA589C"/>
    <w:rsid w:val="00BA59E0"/>
    <w:rsid w:val="00BA5DFA"/>
    <w:rsid w:val="00BA5F5A"/>
    <w:rsid w:val="00BA67EA"/>
    <w:rsid w:val="00BA7055"/>
    <w:rsid w:val="00BB03DA"/>
    <w:rsid w:val="00BB0601"/>
    <w:rsid w:val="00BB0691"/>
    <w:rsid w:val="00BB06F4"/>
    <w:rsid w:val="00BB07CE"/>
    <w:rsid w:val="00BB081D"/>
    <w:rsid w:val="00BB0AFC"/>
    <w:rsid w:val="00BB0B3D"/>
    <w:rsid w:val="00BB14AC"/>
    <w:rsid w:val="00BB1B55"/>
    <w:rsid w:val="00BB1CE2"/>
    <w:rsid w:val="00BB1E4F"/>
    <w:rsid w:val="00BB1E7C"/>
    <w:rsid w:val="00BB2D12"/>
    <w:rsid w:val="00BB340A"/>
    <w:rsid w:val="00BB37D6"/>
    <w:rsid w:val="00BB39C7"/>
    <w:rsid w:val="00BB3D01"/>
    <w:rsid w:val="00BB3D68"/>
    <w:rsid w:val="00BB3EB2"/>
    <w:rsid w:val="00BB458D"/>
    <w:rsid w:val="00BB551F"/>
    <w:rsid w:val="00BB55F9"/>
    <w:rsid w:val="00BB564B"/>
    <w:rsid w:val="00BB5CCD"/>
    <w:rsid w:val="00BB6714"/>
    <w:rsid w:val="00BB6AAE"/>
    <w:rsid w:val="00BB7262"/>
    <w:rsid w:val="00BB7B3C"/>
    <w:rsid w:val="00BB7CCC"/>
    <w:rsid w:val="00BB7E55"/>
    <w:rsid w:val="00BC04BE"/>
    <w:rsid w:val="00BC0596"/>
    <w:rsid w:val="00BC087C"/>
    <w:rsid w:val="00BC0BF0"/>
    <w:rsid w:val="00BC1535"/>
    <w:rsid w:val="00BC16F9"/>
    <w:rsid w:val="00BC1797"/>
    <w:rsid w:val="00BC18DF"/>
    <w:rsid w:val="00BC1F19"/>
    <w:rsid w:val="00BC207E"/>
    <w:rsid w:val="00BC23BF"/>
    <w:rsid w:val="00BC23DC"/>
    <w:rsid w:val="00BC24A6"/>
    <w:rsid w:val="00BC2A48"/>
    <w:rsid w:val="00BC2CE8"/>
    <w:rsid w:val="00BC2F85"/>
    <w:rsid w:val="00BC35DC"/>
    <w:rsid w:val="00BC387C"/>
    <w:rsid w:val="00BC3A70"/>
    <w:rsid w:val="00BC3E05"/>
    <w:rsid w:val="00BC3F59"/>
    <w:rsid w:val="00BC4093"/>
    <w:rsid w:val="00BC4792"/>
    <w:rsid w:val="00BC4AB4"/>
    <w:rsid w:val="00BC4D3E"/>
    <w:rsid w:val="00BC510B"/>
    <w:rsid w:val="00BC56C2"/>
    <w:rsid w:val="00BC5904"/>
    <w:rsid w:val="00BC5B21"/>
    <w:rsid w:val="00BC5E91"/>
    <w:rsid w:val="00BC5FA0"/>
    <w:rsid w:val="00BC6496"/>
    <w:rsid w:val="00BC7133"/>
    <w:rsid w:val="00BC71DB"/>
    <w:rsid w:val="00BC7686"/>
    <w:rsid w:val="00BC7CD6"/>
    <w:rsid w:val="00BC7D5B"/>
    <w:rsid w:val="00BC7F0F"/>
    <w:rsid w:val="00BC7F53"/>
    <w:rsid w:val="00BC7FAF"/>
    <w:rsid w:val="00BD0A9C"/>
    <w:rsid w:val="00BD0D18"/>
    <w:rsid w:val="00BD1040"/>
    <w:rsid w:val="00BD14A6"/>
    <w:rsid w:val="00BD1883"/>
    <w:rsid w:val="00BD18A2"/>
    <w:rsid w:val="00BD1987"/>
    <w:rsid w:val="00BD1CDF"/>
    <w:rsid w:val="00BD1E7A"/>
    <w:rsid w:val="00BD1F4C"/>
    <w:rsid w:val="00BD2064"/>
    <w:rsid w:val="00BD2073"/>
    <w:rsid w:val="00BD20EB"/>
    <w:rsid w:val="00BD23A3"/>
    <w:rsid w:val="00BD23BE"/>
    <w:rsid w:val="00BD2819"/>
    <w:rsid w:val="00BD2F16"/>
    <w:rsid w:val="00BD2F9C"/>
    <w:rsid w:val="00BD34F4"/>
    <w:rsid w:val="00BD3519"/>
    <w:rsid w:val="00BD3A39"/>
    <w:rsid w:val="00BD4012"/>
    <w:rsid w:val="00BD4205"/>
    <w:rsid w:val="00BD4212"/>
    <w:rsid w:val="00BD427C"/>
    <w:rsid w:val="00BD428C"/>
    <w:rsid w:val="00BD42E8"/>
    <w:rsid w:val="00BD43E3"/>
    <w:rsid w:val="00BD443C"/>
    <w:rsid w:val="00BD45B1"/>
    <w:rsid w:val="00BD46AA"/>
    <w:rsid w:val="00BD46D2"/>
    <w:rsid w:val="00BD4758"/>
    <w:rsid w:val="00BD4A3B"/>
    <w:rsid w:val="00BD4AAF"/>
    <w:rsid w:val="00BD4C4C"/>
    <w:rsid w:val="00BD4DA9"/>
    <w:rsid w:val="00BD6B5B"/>
    <w:rsid w:val="00BD703A"/>
    <w:rsid w:val="00BD73CF"/>
    <w:rsid w:val="00BD74CA"/>
    <w:rsid w:val="00BD7873"/>
    <w:rsid w:val="00BD7BC3"/>
    <w:rsid w:val="00BE0153"/>
    <w:rsid w:val="00BE0FDF"/>
    <w:rsid w:val="00BE15F4"/>
    <w:rsid w:val="00BE168F"/>
    <w:rsid w:val="00BE17C7"/>
    <w:rsid w:val="00BE2019"/>
    <w:rsid w:val="00BE23E9"/>
    <w:rsid w:val="00BE2A4E"/>
    <w:rsid w:val="00BE2A77"/>
    <w:rsid w:val="00BE2D0F"/>
    <w:rsid w:val="00BE3037"/>
    <w:rsid w:val="00BE329D"/>
    <w:rsid w:val="00BE3927"/>
    <w:rsid w:val="00BE4267"/>
    <w:rsid w:val="00BE4AA1"/>
    <w:rsid w:val="00BE4C00"/>
    <w:rsid w:val="00BE5104"/>
    <w:rsid w:val="00BE510B"/>
    <w:rsid w:val="00BE5249"/>
    <w:rsid w:val="00BE5772"/>
    <w:rsid w:val="00BE597A"/>
    <w:rsid w:val="00BE60D9"/>
    <w:rsid w:val="00BE6197"/>
    <w:rsid w:val="00BE678F"/>
    <w:rsid w:val="00BE697C"/>
    <w:rsid w:val="00BE6A3F"/>
    <w:rsid w:val="00BE6D02"/>
    <w:rsid w:val="00BE79D1"/>
    <w:rsid w:val="00BF06FC"/>
    <w:rsid w:val="00BF0A1A"/>
    <w:rsid w:val="00BF17E5"/>
    <w:rsid w:val="00BF1F27"/>
    <w:rsid w:val="00BF2234"/>
    <w:rsid w:val="00BF2AA1"/>
    <w:rsid w:val="00BF2BCE"/>
    <w:rsid w:val="00BF2DB3"/>
    <w:rsid w:val="00BF2F3C"/>
    <w:rsid w:val="00BF2FA0"/>
    <w:rsid w:val="00BF3448"/>
    <w:rsid w:val="00BF363D"/>
    <w:rsid w:val="00BF3CDF"/>
    <w:rsid w:val="00BF4161"/>
    <w:rsid w:val="00BF43B8"/>
    <w:rsid w:val="00BF463C"/>
    <w:rsid w:val="00BF502F"/>
    <w:rsid w:val="00BF5241"/>
    <w:rsid w:val="00BF5393"/>
    <w:rsid w:val="00BF570E"/>
    <w:rsid w:val="00BF5B53"/>
    <w:rsid w:val="00BF5D48"/>
    <w:rsid w:val="00BF5E2C"/>
    <w:rsid w:val="00BF5FDB"/>
    <w:rsid w:val="00BF614D"/>
    <w:rsid w:val="00BF62DC"/>
    <w:rsid w:val="00BF69BE"/>
    <w:rsid w:val="00BF6CBB"/>
    <w:rsid w:val="00BF6E76"/>
    <w:rsid w:val="00BF73C8"/>
    <w:rsid w:val="00BF7607"/>
    <w:rsid w:val="00BF7928"/>
    <w:rsid w:val="00BF7AE6"/>
    <w:rsid w:val="00BF7D50"/>
    <w:rsid w:val="00C005C3"/>
    <w:rsid w:val="00C00840"/>
    <w:rsid w:val="00C00DCB"/>
    <w:rsid w:val="00C00F18"/>
    <w:rsid w:val="00C011FE"/>
    <w:rsid w:val="00C01376"/>
    <w:rsid w:val="00C01DBF"/>
    <w:rsid w:val="00C02064"/>
    <w:rsid w:val="00C024E4"/>
    <w:rsid w:val="00C03048"/>
    <w:rsid w:val="00C034DC"/>
    <w:rsid w:val="00C040E5"/>
    <w:rsid w:val="00C0445E"/>
    <w:rsid w:val="00C044BC"/>
    <w:rsid w:val="00C047FE"/>
    <w:rsid w:val="00C05627"/>
    <w:rsid w:val="00C05A0D"/>
    <w:rsid w:val="00C05AE9"/>
    <w:rsid w:val="00C05E35"/>
    <w:rsid w:val="00C06042"/>
    <w:rsid w:val="00C061FF"/>
    <w:rsid w:val="00C0625D"/>
    <w:rsid w:val="00C06326"/>
    <w:rsid w:val="00C064A9"/>
    <w:rsid w:val="00C06825"/>
    <w:rsid w:val="00C0691C"/>
    <w:rsid w:val="00C06B18"/>
    <w:rsid w:val="00C07556"/>
    <w:rsid w:val="00C1009D"/>
    <w:rsid w:val="00C10398"/>
    <w:rsid w:val="00C103FB"/>
    <w:rsid w:val="00C10B35"/>
    <w:rsid w:val="00C10CC3"/>
    <w:rsid w:val="00C10FA3"/>
    <w:rsid w:val="00C1117E"/>
    <w:rsid w:val="00C11761"/>
    <w:rsid w:val="00C11992"/>
    <w:rsid w:val="00C11B59"/>
    <w:rsid w:val="00C11D38"/>
    <w:rsid w:val="00C11EDD"/>
    <w:rsid w:val="00C122A7"/>
    <w:rsid w:val="00C12908"/>
    <w:rsid w:val="00C1293D"/>
    <w:rsid w:val="00C12F7D"/>
    <w:rsid w:val="00C13149"/>
    <w:rsid w:val="00C1357B"/>
    <w:rsid w:val="00C14C60"/>
    <w:rsid w:val="00C14C62"/>
    <w:rsid w:val="00C14D60"/>
    <w:rsid w:val="00C14F22"/>
    <w:rsid w:val="00C1556C"/>
    <w:rsid w:val="00C15966"/>
    <w:rsid w:val="00C15C36"/>
    <w:rsid w:val="00C15E17"/>
    <w:rsid w:val="00C163B6"/>
    <w:rsid w:val="00C16BA7"/>
    <w:rsid w:val="00C16D1E"/>
    <w:rsid w:val="00C172C9"/>
    <w:rsid w:val="00C173FB"/>
    <w:rsid w:val="00C17596"/>
    <w:rsid w:val="00C17946"/>
    <w:rsid w:val="00C17C25"/>
    <w:rsid w:val="00C17FDC"/>
    <w:rsid w:val="00C20047"/>
    <w:rsid w:val="00C200AF"/>
    <w:rsid w:val="00C20534"/>
    <w:rsid w:val="00C2069F"/>
    <w:rsid w:val="00C20DC2"/>
    <w:rsid w:val="00C21242"/>
    <w:rsid w:val="00C21460"/>
    <w:rsid w:val="00C2148F"/>
    <w:rsid w:val="00C21F75"/>
    <w:rsid w:val="00C220B1"/>
    <w:rsid w:val="00C22420"/>
    <w:rsid w:val="00C22B44"/>
    <w:rsid w:val="00C22BC8"/>
    <w:rsid w:val="00C23268"/>
    <w:rsid w:val="00C23615"/>
    <w:rsid w:val="00C2386A"/>
    <w:rsid w:val="00C23D0B"/>
    <w:rsid w:val="00C245DD"/>
    <w:rsid w:val="00C246C0"/>
    <w:rsid w:val="00C24771"/>
    <w:rsid w:val="00C2481F"/>
    <w:rsid w:val="00C24ABA"/>
    <w:rsid w:val="00C24C40"/>
    <w:rsid w:val="00C25131"/>
    <w:rsid w:val="00C2527D"/>
    <w:rsid w:val="00C255DA"/>
    <w:rsid w:val="00C25798"/>
    <w:rsid w:val="00C257FF"/>
    <w:rsid w:val="00C25AC9"/>
    <w:rsid w:val="00C25EC7"/>
    <w:rsid w:val="00C261FF"/>
    <w:rsid w:val="00C26A07"/>
    <w:rsid w:val="00C26BB8"/>
    <w:rsid w:val="00C26E20"/>
    <w:rsid w:val="00C2755C"/>
    <w:rsid w:val="00C2778D"/>
    <w:rsid w:val="00C278DF"/>
    <w:rsid w:val="00C301A5"/>
    <w:rsid w:val="00C30808"/>
    <w:rsid w:val="00C3193B"/>
    <w:rsid w:val="00C31A98"/>
    <w:rsid w:val="00C31DE6"/>
    <w:rsid w:val="00C31DEC"/>
    <w:rsid w:val="00C321C5"/>
    <w:rsid w:val="00C3242B"/>
    <w:rsid w:val="00C32BC6"/>
    <w:rsid w:val="00C32D05"/>
    <w:rsid w:val="00C32D6B"/>
    <w:rsid w:val="00C32F9C"/>
    <w:rsid w:val="00C333E3"/>
    <w:rsid w:val="00C334A9"/>
    <w:rsid w:val="00C336AF"/>
    <w:rsid w:val="00C33856"/>
    <w:rsid w:val="00C338CF"/>
    <w:rsid w:val="00C33C5A"/>
    <w:rsid w:val="00C33CCF"/>
    <w:rsid w:val="00C33E8C"/>
    <w:rsid w:val="00C33FA7"/>
    <w:rsid w:val="00C34077"/>
    <w:rsid w:val="00C342E5"/>
    <w:rsid w:val="00C34373"/>
    <w:rsid w:val="00C344CB"/>
    <w:rsid w:val="00C3478F"/>
    <w:rsid w:val="00C3480C"/>
    <w:rsid w:val="00C348DB"/>
    <w:rsid w:val="00C34952"/>
    <w:rsid w:val="00C34B9F"/>
    <w:rsid w:val="00C35071"/>
    <w:rsid w:val="00C35338"/>
    <w:rsid w:val="00C35978"/>
    <w:rsid w:val="00C35999"/>
    <w:rsid w:val="00C35DAC"/>
    <w:rsid w:val="00C35EB9"/>
    <w:rsid w:val="00C362A6"/>
    <w:rsid w:val="00C36429"/>
    <w:rsid w:val="00C3651A"/>
    <w:rsid w:val="00C365CF"/>
    <w:rsid w:val="00C36620"/>
    <w:rsid w:val="00C36C2D"/>
    <w:rsid w:val="00C36CE0"/>
    <w:rsid w:val="00C3719B"/>
    <w:rsid w:val="00C37291"/>
    <w:rsid w:val="00C37771"/>
    <w:rsid w:val="00C37A09"/>
    <w:rsid w:val="00C37C68"/>
    <w:rsid w:val="00C4014C"/>
    <w:rsid w:val="00C4056B"/>
    <w:rsid w:val="00C408C8"/>
    <w:rsid w:val="00C40C3D"/>
    <w:rsid w:val="00C40C5B"/>
    <w:rsid w:val="00C40E32"/>
    <w:rsid w:val="00C41035"/>
    <w:rsid w:val="00C41206"/>
    <w:rsid w:val="00C412DE"/>
    <w:rsid w:val="00C41A3D"/>
    <w:rsid w:val="00C41AD3"/>
    <w:rsid w:val="00C41B53"/>
    <w:rsid w:val="00C41D02"/>
    <w:rsid w:val="00C41DCA"/>
    <w:rsid w:val="00C4208B"/>
    <w:rsid w:val="00C420CF"/>
    <w:rsid w:val="00C42930"/>
    <w:rsid w:val="00C42D86"/>
    <w:rsid w:val="00C4338F"/>
    <w:rsid w:val="00C433E2"/>
    <w:rsid w:val="00C4384F"/>
    <w:rsid w:val="00C44022"/>
    <w:rsid w:val="00C440E5"/>
    <w:rsid w:val="00C440FE"/>
    <w:rsid w:val="00C44140"/>
    <w:rsid w:val="00C44C27"/>
    <w:rsid w:val="00C44DFA"/>
    <w:rsid w:val="00C45050"/>
    <w:rsid w:val="00C45225"/>
    <w:rsid w:val="00C456AF"/>
    <w:rsid w:val="00C458FD"/>
    <w:rsid w:val="00C45E0B"/>
    <w:rsid w:val="00C45E19"/>
    <w:rsid w:val="00C46734"/>
    <w:rsid w:val="00C46AAB"/>
    <w:rsid w:val="00C46B14"/>
    <w:rsid w:val="00C470B8"/>
    <w:rsid w:val="00C471DE"/>
    <w:rsid w:val="00C4752B"/>
    <w:rsid w:val="00C477A8"/>
    <w:rsid w:val="00C47A88"/>
    <w:rsid w:val="00C47C52"/>
    <w:rsid w:val="00C5038B"/>
    <w:rsid w:val="00C5050E"/>
    <w:rsid w:val="00C51556"/>
    <w:rsid w:val="00C515FF"/>
    <w:rsid w:val="00C517E6"/>
    <w:rsid w:val="00C51A2F"/>
    <w:rsid w:val="00C52878"/>
    <w:rsid w:val="00C52924"/>
    <w:rsid w:val="00C52C23"/>
    <w:rsid w:val="00C53B91"/>
    <w:rsid w:val="00C53DC3"/>
    <w:rsid w:val="00C540B0"/>
    <w:rsid w:val="00C54169"/>
    <w:rsid w:val="00C546A4"/>
    <w:rsid w:val="00C54C89"/>
    <w:rsid w:val="00C5539D"/>
    <w:rsid w:val="00C55B4A"/>
    <w:rsid w:val="00C55B6E"/>
    <w:rsid w:val="00C56305"/>
    <w:rsid w:val="00C5644B"/>
    <w:rsid w:val="00C565DA"/>
    <w:rsid w:val="00C565F3"/>
    <w:rsid w:val="00C5669C"/>
    <w:rsid w:val="00C5695B"/>
    <w:rsid w:val="00C56B6E"/>
    <w:rsid w:val="00C56FF3"/>
    <w:rsid w:val="00C57080"/>
    <w:rsid w:val="00C57558"/>
    <w:rsid w:val="00C575BA"/>
    <w:rsid w:val="00C57790"/>
    <w:rsid w:val="00C5790F"/>
    <w:rsid w:val="00C57986"/>
    <w:rsid w:val="00C57CE7"/>
    <w:rsid w:val="00C601F9"/>
    <w:rsid w:val="00C60319"/>
    <w:rsid w:val="00C60636"/>
    <w:rsid w:val="00C606A1"/>
    <w:rsid w:val="00C606F9"/>
    <w:rsid w:val="00C60926"/>
    <w:rsid w:val="00C6099A"/>
    <w:rsid w:val="00C60A4F"/>
    <w:rsid w:val="00C60DDA"/>
    <w:rsid w:val="00C60DE4"/>
    <w:rsid w:val="00C60E61"/>
    <w:rsid w:val="00C6106C"/>
    <w:rsid w:val="00C61349"/>
    <w:rsid w:val="00C6145C"/>
    <w:rsid w:val="00C61671"/>
    <w:rsid w:val="00C61707"/>
    <w:rsid w:val="00C61BF5"/>
    <w:rsid w:val="00C61F22"/>
    <w:rsid w:val="00C621BE"/>
    <w:rsid w:val="00C62384"/>
    <w:rsid w:val="00C62550"/>
    <w:rsid w:val="00C627A6"/>
    <w:rsid w:val="00C62B22"/>
    <w:rsid w:val="00C62D85"/>
    <w:rsid w:val="00C62F64"/>
    <w:rsid w:val="00C63192"/>
    <w:rsid w:val="00C63817"/>
    <w:rsid w:val="00C63D18"/>
    <w:rsid w:val="00C64144"/>
    <w:rsid w:val="00C644E2"/>
    <w:rsid w:val="00C649F1"/>
    <w:rsid w:val="00C64C23"/>
    <w:rsid w:val="00C64CE3"/>
    <w:rsid w:val="00C64E09"/>
    <w:rsid w:val="00C64FC5"/>
    <w:rsid w:val="00C65054"/>
    <w:rsid w:val="00C65368"/>
    <w:rsid w:val="00C65679"/>
    <w:rsid w:val="00C65CA9"/>
    <w:rsid w:val="00C662DB"/>
    <w:rsid w:val="00C663A7"/>
    <w:rsid w:val="00C66C39"/>
    <w:rsid w:val="00C66CBC"/>
    <w:rsid w:val="00C67000"/>
    <w:rsid w:val="00C67247"/>
    <w:rsid w:val="00C673D7"/>
    <w:rsid w:val="00C674B1"/>
    <w:rsid w:val="00C676CA"/>
    <w:rsid w:val="00C67727"/>
    <w:rsid w:val="00C67980"/>
    <w:rsid w:val="00C67A0F"/>
    <w:rsid w:val="00C7040B"/>
    <w:rsid w:val="00C7062A"/>
    <w:rsid w:val="00C707FC"/>
    <w:rsid w:val="00C70A4F"/>
    <w:rsid w:val="00C70DCD"/>
    <w:rsid w:val="00C715BB"/>
    <w:rsid w:val="00C71DF2"/>
    <w:rsid w:val="00C72738"/>
    <w:rsid w:val="00C72BD8"/>
    <w:rsid w:val="00C73A7A"/>
    <w:rsid w:val="00C73A8C"/>
    <w:rsid w:val="00C7416A"/>
    <w:rsid w:val="00C74530"/>
    <w:rsid w:val="00C747FC"/>
    <w:rsid w:val="00C74965"/>
    <w:rsid w:val="00C749FF"/>
    <w:rsid w:val="00C75724"/>
    <w:rsid w:val="00C75777"/>
    <w:rsid w:val="00C7581E"/>
    <w:rsid w:val="00C75A32"/>
    <w:rsid w:val="00C76611"/>
    <w:rsid w:val="00C76649"/>
    <w:rsid w:val="00C7712A"/>
    <w:rsid w:val="00C77304"/>
    <w:rsid w:val="00C773CA"/>
    <w:rsid w:val="00C774A9"/>
    <w:rsid w:val="00C7772C"/>
    <w:rsid w:val="00C77980"/>
    <w:rsid w:val="00C77DF8"/>
    <w:rsid w:val="00C77EAE"/>
    <w:rsid w:val="00C8002D"/>
    <w:rsid w:val="00C8020B"/>
    <w:rsid w:val="00C80854"/>
    <w:rsid w:val="00C81D43"/>
    <w:rsid w:val="00C82266"/>
    <w:rsid w:val="00C826AE"/>
    <w:rsid w:val="00C82BB5"/>
    <w:rsid w:val="00C82FB6"/>
    <w:rsid w:val="00C83008"/>
    <w:rsid w:val="00C832DE"/>
    <w:rsid w:val="00C835C5"/>
    <w:rsid w:val="00C83995"/>
    <w:rsid w:val="00C83BE4"/>
    <w:rsid w:val="00C8455F"/>
    <w:rsid w:val="00C845A5"/>
    <w:rsid w:val="00C84A1C"/>
    <w:rsid w:val="00C84DA3"/>
    <w:rsid w:val="00C84F83"/>
    <w:rsid w:val="00C85253"/>
    <w:rsid w:val="00C85361"/>
    <w:rsid w:val="00C8547E"/>
    <w:rsid w:val="00C86385"/>
    <w:rsid w:val="00C86660"/>
    <w:rsid w:val="00C86679"/>
    <w:rsid w:val="00C86795"/>
    <w:rsid w:val="00C868C6"/>
    <w:rsid w:val="00C87120"/>
    <w:rsid w:val="00C87693"/>
    <w:rsid w:val="00C87B90"/>
    <w:rsid w:val="00C87E21"/>
    <w:rsid w:val="00C87FC1"/>
    <w:rsid w:val="00C903DA"/>
    <w:rsid w:val="00C90656"/>
    <w:rsid w:val="00C907F2"/>
    <w:rsid w:val="00C909B5"/>
    <w:rsid w:val="00C90D30"/>
    <w:rsid w:val="00C91014"/>
    <w:rsid w:val="00C91895"/>
    <w:rsid w:val="00C9199A"/>
    <w:rsid w:val="00C920F2"/>
    <w:rsid w:val="00C92221"/>
    <w:rsid w:val="00C92584"/>
    <w:rsid w:val="00C92738"/>
    <w:rsid w:val="00C92781"/>
    <w:rsid w:val="00C93DB1"/>
    <w:rsid w:val="00C93E90"/>
    <w:rsid w:val="00C94137"/>
    <w:rsid w:val="00C94279"/>
    <w:rsid w:val="00C94714"/>
    <w:rsid w:val="00C94ADF"/>
    <w:rsid w:val="00C94B7C"/>
    <w:rsid w:val="00C9545B"/>
    <w:rsid w:val="00C95851"/>
    <w:rsid w:val="00C95E84"/>
    <w:rsid w:val="00C96987"/>
    <w:rsid w:val="00C96A63"/>
    <w:rsid w:val="00C972DC"/>
    <w:rsid w:val="00C9730C"/>
    <w:rsid w:val="00C97807"/>
    <w:rsid w:val="00C9787D"/>
    <w:rsid w:val="00CA01E2"/>
    <w:rsid w:val="00CA02AF"/>
    <w:rsid w:val="00CA040C"/>
    <w:rsid w:val="00CA0D4C"/>
    <w:rsid w:val="00CA0EA4"/>
    <w:rsid w:val="00CA0F94"/>
    <w:rsid w:val="00CA144D"/>
    <w:rsid w:val="00CA1549"/>
    <w:rsid w:val="00CA1895"/>
    <w:rsid w:val="00CA1941"/>
    <w:rsid w:val="00CA1A3D"/>
    <w:rsid w:val="00CA2561"/>
    <w:rsid w:val="00CA26EB"/>
    <w:rsid w:val="00CA2839"/>
    <w:rsid w:val="00CA29B1"/>
    <w:rsid w:val="00CA3058"/>
    <w:rsid w:val="00CA30ED"/>
    <w:rsid w:val="00CA32EC"/>
    <w:rsid w:val="00CA3847"/>
    <w:rsid w:val="00CA401A"/>
    <w:rsid w:val="00CA438D"/>
    <w:rsid w:val="00CA450C"/>
    <w:rsid w:val="00CA4C28"/>
    <w:rsid w:val="00CA4C38"/>
    <w:rsid w:val="00CA4D05"/>
    <w:rsid w:val="00CA4D20"/>
    <w:rsid w:val="00CA517A"/>
    <w:rsid w:val="00CA5339"/>
    <w:rsid w:val="00CA58B2"/>
    <w:rsid w:val="00CA5918"/>
    <w:rsid w:val="00CA5EF0"/>
    <w:rsid w:val="00CA5F7D"/>
    <w:rsid w:val="00CA68B6"/>
    <w:rsid w:val="00CA6A9D"/>
    <w:rsid w:val="00CA6C18"/>
    <w:rsid w:val="00CA6DCF"/>
    <w:rsid w:val="00CA6FA8"/>
    <w:rsid w:val="00CA79D4"/>
    <w:rsid w:val="00CA7B10"/>
    <w:rsid w:val="00CA7D29"/>
    <w:rsid w:val="00CA7D77"/>
    <w:rsid w:val="00CB007C"/>
    <w:rsid w:val="00CB0677"/>
    <w:rsid w:val="00CB0C6F"/>
    <w:rsid w:val="00CB1107"/>
    <w:rsid w:val="00CB12CA"/>
    <w:rsid w:val="00CB171D"/>
    <w:rsid w:val="00CB1732"/>
    <w:rsid w:val="00CB1745"/>
    <w:rsid w:val="00CB1853"/>
    <w:rsid w:val="00CB1D0C"/>
    <w:rsid w:val="00CB1EE4"/>
    <w:rsid w:val="00CB1F21"/>
    <w:rsid w:val="00CB1FA7"/>
    <w:rsid w:val="00CB25E5"/>
    <w:rsid w:val="00CB2C4A"/>
    <w:rsid w:val="00CB2E0A"/>
    <w:rsid w:val="00CB2EC9"/>
    <w:rsid w:val="00CB3076"/>
    <w:rsid w:val="00CB3163"/>
    <w:rsid w:val="00CB394B"/>
    <w:rsid w:val="00CB4093"/>
    <w:rsid w:val="00CB46AE"/>
    <w:rsid w:val="00CB47D4"/>
    <w:rsid w:val="00CB5090"/>
    <w:rsid w:val="00CB53B7"/>
    <w:rsid w:val="00CB5550"/>
    <w:rsid w:val="00CB5730"/>
    <w:rsid w:val="00CB6ADC"/>
    <w:rsid w:val="00CB6D9D"/>
    <w:rsid w:val="00CB6DFA"/>
    <w:rsid w:val="00CB6F91"/>
    <w:rsid w:val="00CB7115"/>
    <w:rsid w:val="00CB7575"/>
    <w:rsid w:val="00CB76D1"/>
    <w:rsid w:val="00CB7FFC"/>
    <w:rsid w:val="00CC0493"/>
    <w:rsid w:val="00CC056C"/>
    <w:rsid w:val="00CC07B8"/>
    <w:rsid w:val="00CC0C2C"/>
    <w:rsid w:val="00CC14A0"/>
    <w:rsid w:val="00CC157C"/>
    <w:rsid w:val="00CC15F1"/>
    <w:rsid w:val="00CC1A63"/>
    <w:rsid w:val="00CC1C1B"/>
    <w:rsid w:val="00CC2483"/>
    <w:rsid w:val="00CC260C"/>
    <w:rsid w:val="00CC2667"/>
    <w:rsid w:val="00CC278A"/>
    <w:rsid w:val="00CC2E0D"/>
    <w:rsid w:val="00CC32A0"/>
    <w:rsid w:val="00CC3B14"/>
    <w:rsid w:val="00CC3D08"/>
    <w:rsid w:val="00CC3F92"/>
    <w:rsid w:val="00CC4105"/>
    <w:rsid w:val="00CC4415"/>
    <w:rsid w:val="00CC4460"/>
    <w:rsid w:val="00CC49FF"/>
    <w:rsid w:val="00CC4FE5"/>
    <w:rsid w:val="00CC53A3"/>
    <w:rsid w:val="00CC5CF7"/>
    <w:rsid w:val="00CC6399"/>
    <w:rsid w:val="00CC6520"/>
    <w:rsid w:val="00CC75D7"/>
    <w:rsid w:val="00CC76DA"/>
    <w:rsid w:val="00CC7748"/>
    <w:rsid w:val="00CC78A3"/>
    <w:rsid w:val="00CC7A3E"/>
    <w:rsid w:val="00CC7D6F"/>
    <w:rsid w:val="00CC7EB0"/>
    <w:rsid w:val="00CD00B4"/>
    <w:rsid w:val="00CD011A"/>
    <w:rsid w:val="00CD05E1"/>
    <w:rsid w:val="00CD0976"/>
    <w:rsid w:val="00CD0B6B"/>
    <w:rsid w:val="00CD0CA5"/>
    <w:rsid w:val="00CD0D13"/>
    <w:rsid w:val="00CD11E6"/>
    <w:rsid w:val="00CD135B"/>
    <w:rsid w:val="00CD2097"/>
    <w:rsid w:val="00CD20A4"/>
    <w:rsid w:val="00CD219C"/>
    <w:rsid w:val="00CD2ACD"/>
    <w:rsid w:val="00CD2C7D"/>
    <w:rsid w:val="00CD2D8A"/>
    <w:rsid w:val="00CD2FB7"/>
    <w:rsid w:val="00CD3226"/>
    <w:rsid w:val="00CD343E"/>
    <w:rsid w:val="00CD3926"/>
    <w:rsid w:val="00CD3945"/>
    <w:rsid w:val="00CD3AF6"/>
    <w:rsid w:val="00CD3EEC"/>
    <w:rsid w:val="00CD3FF1"/>
    <w:rsid w:val="00CD4185"/>
    <w:rsid w:val="00CD41E9"/>
    <w:rsid w:val="00CD4A6A"/>
    <w:rsid w:val="00CD4E3E"/>
    <w:rsid w:val="00CD617A"/>
    <w:rsid w:val="00CD63C5"/>
    <w:rsid w:val="00CD6824"/>
    <w:rsid w:val="00CD68B8"/>
    <w:rsid w:val="00CD70E5"/>
    <w:rsid w:val="00CD71D0"/>
    <w:rsid w:val="00CD721B"/>
    <w:rsid w:val="00CD72F4"/>
    <w:rsid w:val="00CD7673"/>
    <w:rsid w:val="00CE02D0"/>
    <w:rsid w:val="00CE039B"/>
    <w:rsid w:val="00CE08B8"/>
    <w:rsid w:val="00CE0B88"/>
    <w:rsid w:val="00CE0C3F"/>
    <w:rsid w:val="00CE0DF9"/>
    <w:rsid w:val="00CE0DFF"/>
    <w:rsid w:val="00CE13A1"/>
    <w:rsid w:val="00CE19B7"/>
    <w:rsid w:val="00CE1B0A"/>
    <w:rsid w:val="00CE1DBC"/>
    <w:rsid w:val="00CE1E5F"/>
    <w:rsid w:val="00CE1FF1"/>
    <w:rsid w:val="00CE2116"/>
    <w:rsid w:val="00CE21C7"/>
    <w:rsid w:val="00CE230A"/>
    <w:rsid w:val="00CE27C2"/>
    <w:rsid w:val="00CE2D84"/>
    <w:rsid w:val="00CE34B5"/>
    <w:rsid w:val="00CE34E9"/>
    <w:rsid w:val="00CE3D65"/>
    <w:rsid w:val="00CE3EF7"/>
    <w:rsid w:val="00CE47F2"/>
    <w:rsid w:val="00CE4A5C"/>
    <w:rsid w:val="00CE4C02"/>
    <w:rsid w:val="00CE4D94"/>
    <w:rsid w:val="00CE530F"/>
    <w:rsid w:val="00CE568C"/>
    <w:rsid w:val="00CE59BC"/>
    <w:rsid w:val="00CE5A4D"/>
    <w:rsid w:val="00CE60A5"/>
    <w:rsid w:val="00CE64AC"/>
    <w:rsid w:val="00CE6586"/>
    <w:rsid w:val="00CE6FFF"/>
    <w:rsid w:val="00CE744A"/>
    <w:rsid w:val="00CE74E1"/>
    <w:rsid w:val="00CE7821"/>
    <w:rsid w:val="00CE79C3"/>
    <w:rsid w:val="00CE7CE8"/>
    <w:rsid w:val="00CE7D6F"/>
    <w:rsid w:val="00CE7EEE"/>
    <w:rsid w:val="00CF0003"/>
    <w:rsid w:val="00CF046D"/>
    <w:rsid w:val="00CF0FC1"/>
    <w:rsid w:val="00CF12F9"/>
    <w:rsid w:val="00CF1801"/>
    <w:rsid w:val="00CF192E"/>
    <w:rsid w:val="00CF1ABE"/>
    <w:rsid w:val="00CF1B1F"/>
    <w:rsid w:val="00CF1B9D"/>
    <w:rsid w:val="00CF2269"/>
    <w:rsid w:val="00CF3600"/>
    <w:rsid w:val="00CF3729"/>
    <w:rsid w:val="00CF3901"/>
    <w:rsid w:val="00CF3B89"/>
    <w:rsid w:val="00CF3BE5"/>
    <w:rsid w:val="00CF3DD0"/>
    <w:rsid w:val="00CF4144"/>
    <w:rsid w:val="00CF4416"/>
    <w:rsid w:val="00CF45D3"/>
    <w:rsid w:val="00CF4DCA"/>
    <w:rsid w:val="00CF4E57"/>
    <w:rsid w:val="00CF5081"/>
    <w:rsid w:val="00CF53AF"/>
    <w:rsid w:val="00CF5C02"/>
    <w:rsid w:val="00CF5F96"/>
    <w:rsid w:val="00CF614B"/>
    <w:rsid w:val="00CF69F6"/>
    <w:rsid w:val="00CF6BD4"/>
    <w:rsid w:val="00CF6C02"/>
    <w:rsid w:val="00CF6CA7"/>
    <w:rsid w:val="00CF6CDC"/>
    <w:rsid w:val="00CF6F20"/>
    <w:rsid w:val="00CF6FCF"/>
    <w:rsid w:val="00CF7071"/>
    <w:rsid w:val="00CF707E"/>
    <w:rsid w:val="00CF7A7F"/>
    <w:rsid w:val="00CF7DFF"/>
    <w:rsid w:val="00D00002"/>
    <w:rsid w:val="00D008F4"/>
    <w:rsid w:val="00D00DD2"/>
    <w:rsid w:val="00D00EFB"/>
    <w:rsid w:val="00D01511"/>
    <w:rsid w:val="00D0152F"/>
    <w:rsid w:val="00D016D0"/>
    <w:rsid w:val="00D0190E"/>
    <w:rsid w:val="00D01ECC"/>
    <w:rsid w:val="00D01FC7"/>
    <w:rsid w:val="00D020EE"/>
    <w:rsid w:val="00D02B16"/>
    <w:rsid w:val="00D02B77"/>
    <w:rsid w:val="00D02CBF"/>
    <w:rsid w:val="00D03131"/>
    <w:rsid w:val="00D03838"/>
    <w:rsid w:val="00D04329"/>
    <w:rsid w:val="00D04422"/>
    <w:rsid w:val="00D0491D"/>
    <w:rsid w:val="00D04D48"/>
    <w:rsid w:val="00D054EC"/>
    <w:rsid w:val="00D05749"/>
    <w:rsid w:val="00D05BF4"/>
    <w:rsid w:val="00D061F5"/>
    <w:rsid w:val="00D06381"/>
    <w:rsid w:val="00D06456"/>
    <w:rsid w:val="00D06BC4"/>
    <w:rsid w:val="00D06F12"/>
    <w:rsid w:val="00D06F9F"/>
    <w:rsid w:val="00D076DC"/>
    <w:rsid w:val="00D10629"/>
    <w:rsid w:val="00D109E1"/>
    <w:rsid w:val="00D10BFC"/>
    <w:rsid w:val="00D1130A"/>
    <w:rsid w:val="00D11CA2"/>
    <w:rsid w:val="00D12185"/>
    <w:rsid w:val="00D12332"/>
    <w:rsid w:val="00D12508"/>
    <w:rsid w:val="00D12695"/>
    <w:rsid w:val="00D12AC0"/>
    <w:rsid w:val="00D13413"/>
    <w:rsid w:val="00D13A44"/>
    <w:rsid w:val="00D13C32"/>
    <w:rsid w:val="00D13C44"/>
    <w:rsid w:val="00D14D45"/>
    <w:rsid w:val="00D1519D"/>
    <w:rsid w:val="00D152D8"/>
    <w:rsid w:val="00D1582B"/>
    <w:rsid w:val="00D15A13"/>
    <w:rsid w:val="00D15AB8"/>
    <w:rsid w:val="00D15AF0"/>
    <w:rsid w:val="00D15AF6"/>
    <w:rsid w:val="00D15BBE"/>
    <w:rsid w:val="00D15FEA"/>
    <w:rsid w:val="00D16023"/>
    <w:rsid w:val="00D16D95"/>
    <w:rsid w:val="00D16D9A"/>
    <w:rsid w:val="00D17031"/>
    <w:rsid w:val="00D17267"/>
    <w:rsid w:val="00D172EF"/>
    <w:rsid w:val="00D1793E"/>
    <w:rsid w:val="00D17E78"/>
    <w:rsid w:val="00D20A55"/>
    <w:rsid w:val="00D20C64"/>
    <w:rsid w:val="00D20DDC"/>
    <w:rsid w:val="00D21297"/>
    <w:rsid w:val="00D214F0"/>
    <w:rsid w:val="00D218ED"/>
    <w:rsid w:val="00D21D27"/>
    <w:rsid w:val="00D22B8D"/>
    <w:rsid w:val="00D22D86"/>
    <w:rsid w:val="00D22F19"/>
    <w:rsid w:val="00D23114"/>
    <w:rsid w:val="00D232C0"/>
    <w:rsid w:val="00D23317"/>
    <w:rsid w:val="00D23480"/>
    <w:rsid w:val="00D23948"/>
    <w:rsid w:val="00D2431A"/>
    <w:rsid w:val="00D2435F"/>
    <w:rsid w:val="00D24ACB"/>
    <w:rsid w:val="00D24CCD"/>
    <w:rsid w:val="00D24D82"/>
    <w:rsid w:val="00D24FB6"/>
    <w:rsid w:val="00D2517E"/>
    <w:rsid w:val="00D25191"/>
    <w:rsid w:val="00D2596A"/>
    <w:rsid w:val="00D259E6"/>
    <w:rsid w:val="00D25C17"/>
    <w:rsid w:val="00D26044"/>
    <w:rsid w:val="00D26585"/>
    <w:rsid w:val="00D266AC"/>
    <w:rsid w:val="00D2673B"/>
    <w:rsid w:val="00D26BDA"/>
    <w:rsid w:val="00D26BFE"/>
    <w:rsid w:val="00D2797A"/>
    <w:rsid w:val="00D27CB9"/>
    <w:rsid w:val="00D27EFA"/>
    <w:rsid w:val="00D30336"/>
    <w:rsid w:val="00D30555"/>
    <w:rsid w:val="00D30B59"/>
    <w:rsid w:val="00D30D1B"/>
    <w:rsid w:val="00D30FD3"/>
    <w:rsid w:val="00D31275"/>
    <w:rsid w:val="00D3128A"/>
    <w:rsid w:val="00D31718"/>
    <w:rsid w:val="00D31A70"/>
    <w:rsid w:val="00D31B01"/>
    <w:rsid w:val="00D31E63"/>
    <w:rsid w:val="00D32559"/>
    <w:rsid w:val="00D32F02"/>
    <w:rsid w:val="00D331A6"/>
    <w:rsid w:val="00D33A0F"/>
    <w:rsid w:val="00D33B8E"/>
    <w:rsid w:val="00D33C1C"/>
    <w:rsid w:val="00D33D2B"/>
    <w:rsid w:val="00D33D4F"/>
    <w:rsid w:val="00D33DEB"/>
    <w:rsid w:val="00D33FA5"/>
    <w:rsid w:val="00D34314"/>
    <w:rsid w:val="00D348D8"/>
    <w:rsid w:val="00D348F3"/>
    <w:rsid w:val="00D3504B"/>
    <w:rsid w:val="00D35207"/>
    <w:rsid w:val="00D355C1"/>
    <w:rsid w:val="00D355D7"/>
    <w:rsid w:val="00D35BF4"/>
    <w:rsid w:val="00D3668E"/>
    <w:rsid w:val="00D367D6"/>
    <w:rsid w:val="00D368EF"/>
    <w:rsid w:val="00D36C55"/>
    <w:rsid w:val="00D36D7E"/>
    <w:rsid w:val="00D3711A"/>
    <w:rsid w:val="00D37A09"/>
    <w:rsid w:val="00D37A15"/>
    <w:rsid w:val="00D37A92"/>
    <w:rsid w:val="00D37B68"/>
    <w:rsid w:val="00D40380"/>
    <w:rsid w:val="00D404F7"/>
    <w:rsid w:val="00D40825"/>
    <w:rsid w:val="00D40855"/>
    <w:rsid w:val="00D4091B"/>
    <w:rsid w:val="00D40B57"/>
    <w:rsid w:val="00D40F57"/>
    <w:rsid w:val="00D41127"/>
    <w:rsid w:val="00D41829"/>
    <w:rsid w:val="00D418EE"/>
    <w:rsid w:val="00D42192"/>
    <w:rsid w:val="00D421F9"/>
    <w:rsid w:val="00D424E8"/>
    <w:rsid w:val="00D4281F"/>
    <w:rsid w:val="00D4290F"/>
    <w:rsid w:val="00D42950"/>
    <w:rsid w:val="00D42F2D"/>
    <w:rsid w:val="00D432A5"/>
    <w:rsid w:val="00D4370E"/>
    <w:rsid w:val="00D43AE8"/>
    <w:rsid w:val="00D43B35"/>
    <w:rsid w:val="00D43F30"/>
    <w:rsid w:val="00D440F8"/>
    <w:rsid w:val="00D4411E"/>
    <w:rsid w:val="00D442B2"/>
    <w:rsid w:val="00D4445C"/>
    <w:rsid w:val="00D44537"/>
    <w:rsid w:val="00D44FE0"/>
    <w:rsid w:val="00D46EFC"/>
    <w:rsid w:val="00D4769D"/>
    <w:rsid w:val="00D477E0"/>
    <w:rsid w:val="00D47842"/>
    <w:rsid w:val="00D47CFF"/>
    <w:rsid w:val="00D47DC3"/>
    <w:rsid w:val="00D502F0"/>
    <w:rsid w:val="00D503B2"/>
    <w:rsid w:val="00D505A0"/>
    <w:rsid w:val="00D508F2"/>
    <w:rsid w:val="00D50D83"/>
    <w:rsid w:val="00D517BA"/>
    <w:rsid w:val="00D51FC9"/>
    <w:rsid w:val="00D520EE"/>
    <w:rsid w:val="00D52301"/>
    <w:rsid w:val="00D524BA"/>
    <w:rsid w:val="00D52570"/>
    <w:rsid w:val="00D5296B"/>
    <w:rsid w:val="00D52AC4"/>
    <w:rsid w:val="00D531AE"/>
    <w:rsid w:val="00D5350E"/>
    <w:rsid w:val="00D53AD9"/>
    <w:rsid w:val="00D54146"/>
    <w:rsid w:val="00D547A9"/>
    <w:rsid w:val="00D54C04"/>
    <w:rsid w:val="00D553A4"/>
    <w:rsid w:val="00D55A24"/>
    <w:rsid w:val="00D55B0E"/>
    <w:rsid w:val="00D55DF5"/>
    <w:rsid w:val="00D56CBC"/>
    <w:rsid w:val="00D56E45"/>
    <w:rsid w:val="00D56F41"/>
    <w:rsid w:val="00D56FFD"/>
    <w:rsid w:val="00D57259"/>
    <w:rsid w:val="00D57752"/>
    <w:rsid w:val="00D578BD"/>
    <w:rsid w:val="00D578ED"/>
    <w:rsid w:val="00D602C5"/>
    <w:rsid w:val="00D614CB"/>
    <w:rsid w:val="00D614DA"/>
    <w:rsid w:val="00D61A02"/>
    <w:rsid w:val="00D61A35"/>
    <w:rsid w:val="00D61D0B"/>
    <w:rsid w:val="00D6212E"/>
    <w:rsid w:val="00D62849"/>
    <w:rsid w:val="00D629BD"/>
    <w:rsid w:val="00D62C78"/>
    <w:rsid w:val="00D62EED"/>
    <w:rsid w:val="00D6309C"/>
    <w:rsid w:val="00D630EB"/>
    <w:rsid w:val="00D63639"/>
    <w:rsid w:val="00D63D01"/>
    <w:rsid w:val="00D6414B"/>
    <w:rsid w:val="00D641AF"/>
    <w:rsid w:val="00D64AEC"/>
    <w:rsid w:val="00D64B37"/>
    <w:rsid w:val="00D64BA0"/>
    <w:rsid w:val="00D64D7A"/>
    <w:rsid w:val="00D64F37"/>
    <w:rsid w:val="00D64FE0"/>
    <w:rsid w:val="00D65121"/>
    <w:rsid w:val="00D651CF"/>
    <w:rsid w:val="00D6522B"/>
    <w:rsid w:val="00D6612F"/>
    <w:rsid w:val="00D661DE"/>
    <w:rsid w:val="00D66547"/>
    <w:rsid w:val="00D666D7"/>
    <w:rsid w:val="00D66847"/>
    <w:rsid w:val="00D6687B"/>
    <w:rsid w:val="00D668F2"/>
    <w:rsid w:val="00D66A71"/>
    <w:rsid w:val="00D66E7C"/>
    <w:rsid w:val="00D66E8C"/>
    <w:rsid w:val="00D66F9C"/>
    <w:rsid w:val="00D67287"/>
    <w:rsid w:val="00D67314"/>
    <w:rsid w:val="00D6741B"/>
    <w:rsid w:val="00D675DA"/>
    <w:rsid w:val="00D67641"/>
    <w:rsid w:val="00D67DF9"/>
    <w:rsid w:val="00D700EF"/>
    <w:rsid w:val="00D70372"/>
    <w:rsid w:val="00D704C1"/>
    <w:rsid w:val="00D705FF"/>
    <w:rsid w:val="00D70636"/>
    <w:rsid w:val="00D706FA"/>
    <w:rsid w:val="00D70841"/>
    <w:rsid w:val="00D71071"/>
    <w:rsid w:val="00D710D3"/>
    <w:rsid w:val="00D71250"/>
    <w:rsid w:val="00D71661"/>
    <w:rsid w:val="00D718F6"/>
    <w:rsid w:val="00D71BCB"/>
    <w:rsid w:val="00D721D5"/>
    <w:rsid w:val="00D723B5"/>
    <w:rsid w:val="00D724BE"/>
    <w:rsid w:val="00D72A9C"/>
    <w:rsid w:val="00D72BB2"/>
    <w:rsid w:val="00D72D45"/>
    <w:rsid w:val="00D72EAF"/>
    <w:rsid w:val="00D732BB"/>
    <w:rsid w:val="00D73582"/>
    <w:rsid w:val="00D73C35"/>
    <w:rsid w:val="00D73D18"/>
    <w:rsid w:val="00D7408E"/>
    <w:rsid w:val="00D74118"/>
    <w:rsid w:val="00D744A6"/>
    <w:rsid w:val="00D745C7"/>
    <w:rsid w:val="00D74B65"/>
    <w:rsid w:val="00D75119"/>
    <w:rsid w:val="00D75181"/>
    <w:rsid w:val="00D75428"/>
    <w:rsid w:val="00D75562"/>
    <w:rsid w:val="00D75646"/>
    <w:rsid w:val="00D7566F"/>
    <w:rsid w:val="00D7632D"/>
    <w:rsid w:val="00D76363"/>
    <w:rsid w:val="00D76761"/>
    <w:rsid w:val="00D76A7C"/>
    <w:rsid w:val="00D76D32"/>
    <w:rsid w:val="00D772FA"/>
    <w:rsid w:val="00D77628"/>
    <w:rsid w:val="00D77652"/>
    <w:rsid w:val="00D8049F"/>
    <w:rsid w:val="00D80C0E"/>
    <w:rsid w:val="00D813C9"/>
    <w:rsid w:val="00D81FF9"/>
    <w:rsid w:val="00D824A7"/>
    <w:rsid w:val="00D825EE"/>
    <w:rsid w:val="00D8263A"/>
    <w:rsid w:val="00D8292A"/>
    <w:rsid w:val="00D82B57"/>
    <w:rsid w:val="00D8305B"/>
    <w:rsid w:val="00D8386B"/>
    <w:rsid w:val="00D839BC"/>
    <w:rsid w:val="00D83D7B"/>
    <w:rsid w:val="00D83ED6"/>
    <w:rsid w:val="00D83F90"/>
    <w:rsid w:val="00D8456F"/>
    <w:rsid w:val="00D846B2"/>
    <w:rsid w:val="00D853A1"/>
    <w:rsid w:val="00D855EA"/>
    <w:rsid w:val="00D85BF8"/>
    <w:rsid w:val="00D85D97"/>
    <w:rsid w:val="00D8644E"/>
    <w:rsid w:val="00D864FF"/>
    <w:rsid w:val="00D8660C"/>
    <w:rsid w:val="00D86E3D"/>
    <w:rsid w:val="00D86F4C"/>
    <w:rsid w:val="00D8748C"/>
    <w:rsid w:val="00D87881"/>
    <w:rsid w:val="00D879DE"/>
    <w:rsid w:val="00D87AD3"/>
    <w:rsid w:val="00D903B7"/>
    <w:rsid w:val="00D907AB"/>
    <w:rsid w:val="00D909F7"/>
    <w:rsid w:val="00D90FC5"/>
    <w:rsid w:val="00D9187B"/>
    <w:rsid w:val="00D91B16"/>
    <w:rsid w:val="00D91B5D"/>
    <w:rsid w:val="00D91EC6"/>
    <w:rsid w:val="00D924F7"/>
    <w:rsid w:val="00D926E9"/>
    <w:rsid w:val="00D929AC"/>
    <w:rsid w:val="00D92A01"/>
    <w:rsid w:val="00D92A44"/>
    <w:rsid w:val="00D930AD"/>
    <w:rsid w:val="00D931D0"/>
    <w:rsid w:val="00D934A2"/>
    <w:rsid w:val="00D936AC"/>
    <w:rsid w:val="00D938A0"/>
    <w:rsid w:val="00D93963"/>
    <w:rsid w:val="00D93A72"/>
    <w:rsid w:val="00D93CE6"/>
    <w:rsid w:val="00D94238"/>
    <w:rsid w:val="00D944AD"/>
    <w:rsid w:val="00D945B0"/>
    <w:rsid w:val="00D95882"/>
    <w:rsid w:val="00D95EF1"/>
    <w:rsid w:val="00D96226"/>
    <w:rsid w:val="00D96538"/>
    <w:rsid w:val="00D96730"/>
    <w:rsid w:val="00D96838"/>
    <w:rsid w:val="00D96B6E"/>
    <w:rsid w:val="00D96B74"/>
    <w:rsid w:val="00D96BB6"/>
    <w:rsid w:val="00D97121"/>
    <w:rsid w:val="00D97783"/>
    <w:rsid w:val="00D977E7"/>
    <w:rsid w:val="00D97965"/>
    <w:rsid w:val="00D97A8B"/>
    <w:rsid w:val="00D97D78"/>
    <w:rsid w:val="00D97FEB"/>
    <w:rsid w:val="00DA0191"/>
    <w:rsid w:val="00DA032F"/>
    <w:rsid w:val="00DA052F"/>
    <w:rsid w:val="00DA0872"/>
    <w:rsid w:val="00DA08DD"/>
    <w:rsid w:val="00DA0A87"/>
    <w:rsid w:val="00DA0B64"/>
    <w:rsid w:val="00DA1299"/>
    <w:rsid w:val="00DA1D03"/>
    <w:rsid w:val="00DA2159"/>
    <w:rsid w:val="00DA215C"/>
    <w:rsid w:val="00DA2431"/>
    <w:rsid w:val="00DA278C"/>
    <w:rsid w:val="00DA37D0"/>
    <w:rsid w:val="00DA3998"/>
    <w:rsid w:val="00DA39FB"/>
    <w:rsid w:val="00DA3A00"/>
    <w:rsid w:val="00DA3ABA"/>
    <w:rsid w:val="00DA3B5E"/>
    <w:rsid w:val="00DA3C08"/>
    <w:rsid w:val="00DA43A4"/>
    <w:rsid w:val="00DA5058"/>
    <w:rsid w:val="00DA54AC"/>
    <w:rsid w:val="00DA5631"/>
    <w:rsid w:val="00DA589E"/>
    <w:rsid w:val="00DA58B6"/>
    <w:rsid w:val="00DA5C25"/>
    <w:rsid w:val="00DA5C93"/>
    <w:rsid w:val="00DA5D13"/>
    <w:rsid w:val="00DA657C"/>
    <w:rsid w:val="00DA697D"/>
    <w:rsid w:val="00DA6CFC"/>
    <w:rsid w:val="00DA7062"/>
    <w:rsid w:val="00DA70FB"/>
    <w:rsid w:val="00DA7257"/>
    <w:rsid w:val="00DA72A8"/>
    <w:rsid w:val="00DA73A0"/>
    <w:rsid w:val="00DA7CE5"/>
    <w:rsid w:val="00DA7D0D"/>
    <w:rsid w:val="00DB00FA"/>
    <w:rsid w:val="00DB084C"/>
    <w:rsid w:val="00DB0A4D"/>
    <w:rsid w:val="00DB0E38"/>
    <w:rsid w:val="00DB0E3D"/>
    <w:rsid w:val="00DB1109"/>
    <w:rsid w:val="00DB110A"/>
    <w:rsid w:val="00DB1972"/>
    <w:rsid w:val="00DB2036"/>
    <w:rsid w:val="00DB2522"/>
    <w:rsid w:val="00DB2A5B"/>
    <w:rsid w:val="00DB3136"/>
    <w:rsid w:val="00DB392B"/>
    <w:rsid w:val="00DB3A3C"/>
    <w:rsid w:val="00DB3F3A"/>
    <w:rsid w:val="00DB3FF0"/>
    <w:rsid w:val="00DB4203"/>
    <w:rsid w:val="00DB42DB"/>
    <w:rsid w:val="00DB4604"/>
    <w:rsid w:val="00DB482E"/>
    <w:rsid w:val="00DB492B"/>
    <w:rsid w:val="00DB4A7A"/>
    <w:rsid w:val="00DB4B59"/>
    <w:rsid w:val="00DB573B"/>
    <w:rsid w:val="00DB6000"/>
    <w:rsid w:val="00DB6202"/>
    <w:rsid w:val="00DB630A"/>
    <w:rsid w:val="00DB6441"/>
    <w:rsid w:val="00DB68BC"/>
    <w:rsid w:val="00DB6B81"/>
    <w:rsid w:val="00DB6BDE"/>
    <w:rsid w:val="00DB6C9E"/>
    <w:rsid w:val="00DB6FF8"/>
    <w:rsid w:val="00DB7252"/>
    <w:rsid w:val="00DB731E"/>
    <w:rsid w:val="00DB7425"/>
    <w:rsid w:val="00DB7A25"/>
    <w:rsid w:val="00DC0517"/>
    <w:rsid w:val="00DC09B8"/>
    <w:rsid w:val="00DC0B45"/>
    <w:rsid w:val="00DC0D64"/>
    <w:rsid w:val="00DC105C"/>
    <w:rsid w:val="00DC1524"/>
    <w:rsid w:val="00DC1CC4"/>
    <w:rsid w:val="00DC20E7"/>
    <w:rsid w:val="00DC24EC"/>
    <w:rsid w:val="00DC2AF5"/>
    <w:rsid w:val="00DC2B6A"/>
    <w:rsid w:val="00DC3142"/>
    <w:rsid w:val="00DC322C"/>
    <w:rsid w:val="00DC35B2"/>
    <w:rsid w:val="00DC4453"/>
    <w:rsid w:val="00DC4F29"/>
    <w:rsid w:val="00DC50B0"/>
    <w:rsid w:val="00DC52D9"/>
    <w:rsid w:val="00DC552A"/>
    <w:rsid w:val="00DC607A"/>
    <w:rsid w:val="00DC696E"/>
    <w:rsid w:val="00DC6C1E"/>
    <w:rsid w:val="00DC6E21"/>
    <w:rsid w:val="00DC6F26"/>
    <w:rsid w:val="00DC728F"/>
    <w:rsid w:val="00DC72AA"/>
    <w:rsid w:val="00DC76B5"/>
    <w:rsid w:val="00DC795E"/>
    <w:rsid w:val="00DC7995"/>
    <w:rsid w:val="00DC7B31"/>
    <w:rsid w:val="00DC7CA9"/>
    <w:rsid w:val="00DD0510"/>
    <w:rsid w:val="00DD0F41"/>
    <w:rsid w:val="00DD1604"/>
    <w:rsid w:val="00DD1C4D"/>
    <w:rsid w:val="00DD1DF9"/>
    <w:rsid w:val="00DD2829"/>
    <w:rsid w:val="00DD291F"/>
    <w:rsid w:val="00DD2B86"/>
    <w:rsid w:val="00DD3627"/>
    <w:rsid w:val="00DD3750"/>
    <w:rsid w:val="00DD3C82"/>
    <w:rsid w:val="00DD4272"/>
    <w:rsid w:val="00DD4394"/>
    <w:rsid w:val="00DD4686"/>
    <w:rsid w:val="00DD53DA"/>
    <w:rsid w:val="00DD54AB"/>
    <w:rsid w:val="00DD5716"/>
    <w:rsid w:val="00DD590A"/>
    <w:rsid w:val="00DD5A61"/>
    <w:rsid w:val="00DD5C7F"/>
    <w:rsid w:val="00DD5F5C"/>
    <w:rsid w:val="00DD6DAA"/>
    <w:rsid w:val="00DD75E9"/>
    <w:rsid w:val="00DD770F"/>
    <w:rsid w:val="00DD7D4F"/>
    <w:rsid w:val="00DE0518"/>
    <w:rsid w:val="00DE0A0C"/>
    <w:rsid w:val="00DE0EA7"/>
    <w:rsid w:val="00DE0F3D"/>
    <w:rsid w:val="00DE18A4"/>
    <w:rsid w:val="00DE1ABA"/>
    <w:rsid w:val="00DE1F61"/>
    <w:rsid w:val="00DE2566"/>
    <w:rsid w:val="00DE25E8"/>
    <w:rsid w:val="00DE295A"/>
    <w:rsid w:val="00DE2CC6"/>
    <w:rsid w:val="00DE2F48"/>
    <w:rsid w:val="00DE35D6"/>
    <w:rsid w:val="00DE3659"/>
    <w:rsid w:val="00DE37F4"/>
    <w:rsid w:val="00DE3803"/>
    <w:rsid w:val="00DE39A6"/>
    <w:rsid w:val="00DE413D"/>
    <w:rsid w:val="00DE41E8"/>
    <w:rsid w:val="00DE4331"/>
    <w:rsid w:val="00DE4B6B"/>
    <w:rsid w:val="00DE4D3E"/>
    <w:rsid w:val="00DE4D8C"/>
    <w:rsid w:val="00DE53B6"/>
    <w:rsid w:val="00DE5652"/>
    <w:rsid w:val="00DE5E19"/>
    <w:rsid w:val="00DE616C"/>
    <w:rsid w:val="00DE6891"/>
    <w:rsid w:val="00DE6D5E"/>
    <w:rsid w:val="00DE702B"/>
    <w:rsid w:val="00DE73D7"/>
    <w:rsid w:val="00DE7902"/>
    <w:rsid w:val="00DE79F9"/>
    <w:rsid w:val="00DE7BD7"/>
    <w:rsid w:val="00DE7E31"/>
    <w:rsid w:val="00DE7F4C"/>
    <w:rsid w:val="00DF00E1"/>
    <w:rsid w:val="00DF036D"/>
    <w:rsid w:val="00DF064C"/>
    <w:rsid w:val="00DF077E"/>
    <w:rsid w:val="00DF0C80"/>
    <w:rsid w:val="00DF0DE1"/>
    <w:rsid w:val="00DF1557"/>
    <w:rsid w:val="00DF1781"/>
    <w:rsid w:val="00DF1AB1"/>
    <w:rsid w:val="00DF1CB4"/>
    <w:rsid w:val="00DF243D"/>
    <w:rsid w:val="00DF2983"/>
    <w:rsid w:val="00DF2B45"/>
    <w:rsid w:val="00DF2F19"/>
    <w:rsid w:val="00DF31E1"/>
    <w:rsid w:val="00DF3790"/>
    <w:rsid w:val="00DF3814"/>
    <w:rsid w:val="00DF3853"/>
    <w:rsid w:val="00DF39C6"/>
    <w:rsid w:val="00DF3B37"/>
    <w:rsid w:val="00DF3C3D"/>
    <w:rsid w:val="00DF3F12"/>
    <w:rsid w:val="00DF40C2"/>
    <w:rsid w:val="00DF421C"/>
    <w:rsid w:val="00DF544D"/>
    <w:rsid w:val="00DF5A0B"/>
    <w:rsid w:val="00DF5A59"/>
    <w:rsid w:val="00DF5B4D"/>
    <w:rsid w:val="00DF618A"/>
    <w:rsid w:val="00DF6347"/>
    <w:rsid w:val="00DF63DD"/>
    <w:rsid w:val="00DF65C4"/>
    <w:rsid w:val="00DF68C3"/>
    <w:rsid w:val="00DF6A16"/>
    <w:rsid w:val="00DF720F"/>
    <w:rsid w:val="00DF7974"/>
    <w:rsid w:val="00DF7DAC"/>
    <w:rsid w:val="00E00719"/>
    <w:rsid w:val="00E00A3D"/>
    <w:rsid w:val="00E00DF1"/>
    <w:rsid w:val="00E010F7"/>
    <w:rsid w:val="00E01127"/>
    <w:rsid w:val="00E01421"/>
    <w:rsid w:val="00E015B4"/>
    <w:rsid w:val="00E01754"/>
    <w:rsid w:val="00E01E9C"/>
    <w:rsid w:val="00E01F63"/>
    <w:rsid w:val="00E0212C"/>
    <w:rsid w:val="00E021AF"/>
    <w:rsid w:val="00E0253E"/>
    <w:rsid w:val="00E02C39"/>
    <w:rsid w:val="00E02CCA"/>
    <w:rsid w:val="00E03134"/>
    <w:rsid w:val="00E0347C"/>
    <w:rsid w:val="00E0375E"/>
    <w:rsid w:val="00E037FC"/>
    <w:rsid w:val="00E0380B"/>
    <w:rsid w:val="00E03A1D"/>
    <w:rsid w:val="00E04552"/>
    <w:rsid w:val="00E05064"/>
    <w:rsid w:val="00E0515F"/>
    <w:rsid w:val="00E0577A"/>
    <w:rsid w:val="00E05FE9"/>
    <w:rsid w:val="00E0603C"/>
    <w:rsid w:val="00E0608A"/>
    <w:rsid w:val="00E06589"/>
    <w:rsid w:val="00E065B8"/>
    <w:rsid w:val="00E06670"/>
    <w:rsid w:val="00E06DAE"/>
    <w:rsid w:val="00E06F25"/>
    <w:rsid w:val="00E07004"/>
    <w:rsid w:val="00E070F2"/>
    <w:rsid w:val="00E0753C"/>
    <w:rsid w:val="00E07AB4"/>
    <w:rsid w:val="00E07D85"/>
    <w:rsid w:val="00E07E5E"/>
    <w:rsid w:val="00E1011B"/>
    <w:rsid w:val="00E10417"/>
    <w:rsid w:val="00E108D5"/>
    <w:rsid w:val="00E112E9"/>
    <w:rsid w:val="00E115C7"/>
    <w:rsid w:val="00E11857"/>
    <w:rsid w:val="00E11E84"/>
    <w:rsid w:val="00E1218B"/>
    <w:rsid w:val="00E13322"/>
    <w:rsid w:val="00E136B1"/>
    <w:rsid w:val="00E13C0D"/>
    <w:rsid w:val="00E13DAC"/>
    <w:rsid w:val="00E143BB"/>
    <w:rsid w:val="00E15002"/>
    <w:rsid w:val="00E15228"/>
    <w:rsid w:val="00E152A4"/>
    <w:rsid w:val="00E154F6"/>
    <w:rsid w:val="00E15566"/>
    <w:rsid w:val="00E15906"/>
    <w:rsid w:val="00E15F66"/>
    <w:rsid w:val="00E16972"/>
    <w:rsid w:val="00E16AF5"/>
    <w:rsid w:val="00E16D22"/>
    <w:rsid w:val="00E171C2"/>
    <w:rsid w:val="00E173B6"/>
    <w:rsid w:val="00E1766E"/>
    <w:rsid w:val="00E17E44"/>
    <w:rsid w:val="00E20442"/>
    <w:rsid w:val="00E2049B"/>
    <w:rsid w:val="00E20A3B"/>
    <w:rsid w:val="00E20A68"/>
    <w:rsid w:val="00E20D61"/>
    <w:rsid w:val="00E20EE8"/>
    <w:rsid w:val="00E213A8"/>
    <w:rsid w:val="00E216F8"/>
    <w:rsid w:val="00E21745"/>
    <w:rsid w:val="00E224A3"/>
    <w:rsid w:val="00E224B1"/>
    <w:rsid w:val="00E22AD7"/>
    <w:rsid w:val="00E22C08"/>
    <w:rsid w:val="00E22D98"/>
    <w:rsid w:val="00E230EB"/>
    <w:rsid w:val="00E23751"/>
    <w:rsid w:val="00E23C2E"/>
    <w:rsid w:val="00E23DDC"/>
    <w:rsid w:val="00E23E5A"/>
    <w:rsid w:val="00E23E7C"/>
    <w:rsid w:val="00E24679"/>
    <w:rsid w:val="00E24C8C"/>
    <w:rsid w:val="00E25689"/>
    <w:rsid w:val="00E25A7B"/>
    <w:rsid w:val="00E25CC9"/>
    <w:rsid w:val="00E25E04"/>
    <w:rsid w:val="00E25EB1"/>
    <w:rsid w:val="00E26506"/>
    <w:rsid w:val="00E26825"/>
    <w:rsid w:val="00E26DCD"/>
    <w:rsid w:val="00E26E58"/>
    <w:rsid w:val="00E27185"/>
    <w:rsid w:val="00E2791E"/>
    <w:rsid w:val="00E27FAA"/>
    <w:rsid w:val="00E307F6"/>
    <w:rsid w:val="00E3093F"/>
    <w:rsid w:val="00E30C8C"/>
    <w:rsid w:val="00E30DE8"/>
    <w:rsid w:val="00E3114C"/>
    <w:rsid w:val="00E3143E"/>
    <w:rsid w:val="00E315D4"/>
    <w:rsid w:val="00E317C6"/>
    <w:rsid w:val="00E3214A"/>
    <w:rsid w:val="00E32209"/>
    <w:rsid w:val="00E3222E"/>
    <w:rsid w:val="00E3228B"/>
    <w:rsid w:val="00E323BD"/>
    <w:rsid w:val="00E32A80"/>
    <w:rsid w:val="00E32B3A"/>
    <w:rsid w:val="00E32DB5"/>
    <w:rsid w:val="00E332B8"/>
    <w:rsid w:val="00E33F72"/>
    <w:rsid w:val="00E341D0"/>
    <w:rsid w:val="00E345F1"/>
    <w:rsid w:val="00E34782"/>
    <w:rsid w:val="00E35568"/>
    <w:rsid w:val="00E35D01"/>
    <w:rsid w:val="00E3627F"/>
    <w:rsid w:val="00E36A07"/>
    <w:rsid w:val="00E36E1D"/>
    <w:rsid w:val="00E370DF"/>
    <w:rsid w:val="00E37443"/>
    <w:rsid w:val="00E376F7"/>
    <w:rsid w:val="00E3799C"/>
    <w:rsid w:val="00E403A2"/>
    <w:rsid w:val="00E403D1"/>
    <w:rsid w:val="00E40461"/>
    <w:rsid w:val="00E40CDF"/>
    <w:rsid w:val="00E40F2D"/>
    <w:rsid w:val="00E41480"/>
    <w:rsid w:val="00E41495"/>
    <w:rsid w:val="00E416A8"/>
    <w:rsid w:val="00E419E0"/>
    <w:rsid w:val="00E41AE8"/>
    <w:rsid w:val="00E41CAA"/>
    <w:rsid w:val="00E4225B"/>
    <w:rsid w:val="00E42715"/>
    <w:rsid w:val="00E427B4"/>
    <w:rsid w:val="00E429CC"/>
    <w:rsid w:val="00E42C47"/>
    <w:rsid w:val="00E4349E"/>
    <w:rsid w:val="00E4357A"/>
    <w:rsid w:val="00E43585"/>
    <w:rsid w:val="00E43614"/>
    <w:rsid w:val="00E436DE"/>
    <w:rsid w:val="00E43F2A"/>
    <w:rsid w:val="00E43F46"/>
    <w:rsid w:val="00E43FA5"/>
    <w:rsid w:val="00E446A7"/>
    <w:rsid w:val="00E4498A"/>
    <w:rsid w:val="00E44A4E"/>
    <w:rsid w:val="00E44B1F"/>
    <w:rsid w:val="00E44C04"/>
    <w:rsid w:val="00E44C05"/>
    <w:rsid w:val="00E44E98"/>
    <w:rsid w:val="00E4506D"/>
    <w:rsid w:val="00E4571F"/>
    <w:rsid w:val="00E45829"/>
    <w:rsid w:val="00E46209"/>
    <w:rsid w:val="00E4626B"/>
    <w:rsid w:val="00E46291"/>
    <w:rsid w:val="00E467D6"/>
    <w:rsid w:val="00E46DCE"/>
    <w:rsid w:val="00E47223"/>
    <w:rsid w:val="00E47665"/>
    <w:rsid w:val="00E47C84"/>
    <w:rsid w:val="00E47FE6"/>
    <w:rsid w:val="00E5003E"/>
    <w:rsid w:val="00E5007D"/>
    <w:rsid w:val="00E508A9"/>
    <w:rsid w:val="00E5176F"/>
    <w:rsid w:val="00E51A35"/>
    <w:rsid w:val="00E51ECF"/>
    <w:rsid w:val="00E5222C"/>
    <w:rsid w:val="00E52369"/>
    <w:rsid w:val="00E524A2"/>
    <w:rsid w:val="00E5280A"/>
    <w:rsid w:val="00E5286C"/>
    <w:rsid w:val="00E52D04"/>
    <w:rsid w:val="00E52DFD"/>
    <w:rsid w:val="00E53878"/>
    <w:rsid w:val="00E53C21"/>
    <w:rsid w:val="00E53CF3"/>
    <w:rsid w:val="00E53F3F"/>
    <w:rsid w:val="00E54031"/>
    <w:rsid w:val="00E545C6"/>
    <w:rsid w:val="00E5465F"/>
    <w:rsid w:val="00E549C8"/>
    <w:rsid w:val="00E54A33"/>
    <w:rsid w:val="00E54B1A"/>
    <w:rsid w:val="00E54D1F"/>
    <w:rsid w:val="00E54D4E"/>
    <w:rsid w:val="00E54E37"/>
    <w:rsid w:val="00E55019"/>
    <w:rsid w:val="00E55851"/>
    <w:rsid w:val="00E55D48"/>
    <w:rsid w:val="00E56331"/>
    <w:rsid w:val="00E569CB"/>
    <w:rsid w:val="00E577FD"/>
    <w:rsid w:val="00E57AA5"/>
    <w:rsid w:val="00E57C26"/>
    <w:rsid w:val="00E60599"/>
    <w:rsid w:val="00E60ACB"/>
    <w:rsid w:val="00E60F81"/>
    <w:rsid w:val="00E613A7"/>
    <w:rsid w:val="00E6159C"/>
    <w:rsid w:val="00E6178E"/>
    <w:rsid w:val="00E61ECF"/>
    <w:rsid w:val="00E623B6"/>
    <w:rsid w:val="00E6252A"/>
    <w:rsid w:val="00E625AC"/>
    <w:rsid w:val="00E62688"/>
    <w:rsid w:val="00E62778"/>
    <w:rsid w:val="00E627DD"/>
    <w:rsid w:val="00E62C33"/>
    <w:rsid w:val="00E62CB2"/>
    <w:rsid w:val="00E6308E"/>
    <w:rsid w:val="00E63C45"/>
    <w:rsid w:val="00E63CC3"/>
    <w:rsid w:val="00E63E84"/>
    <w:rsid w:val="00E640B3"/>
    <w:rsid w:val="00E643AA"/>
    <w:rsid w:val="00E64741"/>
    <w:rsid w:val="00E64758"/>
    <w:rsid w:val="00E649FF"/>
    <w:rsid w:val="00E64B27"/>
    <w:rsid w:val="00E65055"/>
    <w:rsid w:val="00E65154"/>
    <w:rsid w:val="00E6583F"/>
    <w:rsid w:val="00E65855"/>
    <w:rsid w:val="00E65865"/>
    <w:rsid w:val="00E65867"/>
    <w:rsid w:val="00E658FB"/>
    <w:rsid w:val="00E65C90"/>
    <w:rsid w:val="00E66A4E"/>
    <w:rsid w:val="00E66E82"/>
    <w:rsid w:val="00E670B8"/>
    <w:rsid w:val="00E678AF"/>
    <w:rsid w:val="00E678E5"/>
    <w:rsid w:val="00E67917"/>
    <w:rsid w:val="00E67AD7"/>
    <w:rsid w:val="00E70538"/>
    <w:rsid w:val="00E7066F"/>
    <w:rsid w:val="00E70693"/>
    <w:rsid w:val="00E707DF"/>
    <w:rsid w:val="00E70AE2"/>
    <w:rsid w:val="00E712E9"/>
    <w:rsid w:val="00E71691"/>
    <w:rsid w:val="00E719FD"/>
    <w:rsid w:val="00E72706"/>
    <w:rsid w:val="00E727AE"/>
    <w:rsid w:val="00E72D5B"/>
    <w:rsid w:val="00E72EC7"/>
    <w:rsid w:val="00E731BE"/>
    <w:rsid w:val="00E731E6"/>
    <w:rsid w:val="00E73299"/>
    <w:rsid w:val="00E73739"/>
    <w:rsid w:val="00E73BE0"/>
    <w:rsid w:val="00E73D08"/>
    <w:rsid w:val="00E7416C"/>
    <w:rsid w:val="00E74377"/>
    <w:rsid w:val="00E747BB"/>
    <w:rsid w:val="00E7493A"/>
    <w:rsid w:val="00E74A9A"/>
    <w:rsid w:val="00E74C2D"/>
    <w:rsid w:val="00E752E9"/>
    <w:rsid w:val="00E7562B"/>
    <w:rsid w:val="00E757FA"/>
    <w:rsid w:val="00E75A8D"/>
    <w:rsid w:val="00E75E23"/>
    <w:rsid w:val="00E76083"/>
    <w:rsid w:val="00E7653B"/>
    <w:rsid w:val="00E765D9"/>
    <w:rsid w:val="00E766BE"/>
    <w:rsid w:val="00E76DF3"/>
    <w:rsid w:val="00E77652"/>
    <w:rsid w:val="00E778A0"/>
    <w:rsid w:val="00E77DE5"/>
    <w:rsid w:val="00E801B5"/>
    <w:rsid w:val="00E8043A"/>
    <w:rsid w:val="00E80843"/>
    <w:rsid w:val="00E8093B"/>
    <w:rsid w:val="00E809B4"/>
    <w:rsid w:val="00E80AB6"/>
    <w:rsid w:val="00E8113C"/>
    <w:rsid w:val="00E82185"/>
    <w:rsid w:val="00E8218A"/>
    <w:rsid w:val="00E82404"/>
    <w:rsid w:val="00E82555"/>
    <w:rsid w:val="00E83050"/>
    <w:rsid w:val="00E8322F"/>
    <w:rsid w:val="00E83960"/>
    <w:rsid w:val="00E83A3B"/>
    <w:rsid w:val="00E83CCB"/>
    <w:rsid w:val="00E84072"/>
    <w:rsid w:val="00E846AB"/>
    <w:rsid w:val="00E84860"/>
    <w:rsid w:val="00E849E3"/>
    <w:rsid w:val="00E84B88"/>
    <w:rsid w:val="00E84F93"/>
    <w:rsid w:val="00E85470"/>
    <w:rsid w:val="00E85A09"/>
    <w:rsid w:val="00E85A83"/>
    <w:rsid w:val="00E85C35"/>
    <w:rsid w:val="00E863CD"/>
    <w:rsid w:val="00E8690A"/>
    <w:rsid w:val="00E86AD3"/>
    <w:rsid w:val="00E87055"/>
    <w:rsid w:val="00E8782C"/>
    <w:rsid w:val="00E8786A"/>
    <w:rsid w:val="00E87B3B"/>
    <w:rsid w:val="00E87CAA"/>
    <w:rsid w:val="00E87EDA"/>
    <w:rsid w:val="00E900E1"/>
    <w:rsid w:val="00E9014E"/>
    <w:rsid w:val="00E904CC"/>
    <w:rsid w:val="00E91754"/>
    <w:rsid w:val="00E91F7B"/>
    <w:rsid w:val="00E922B3"/>
    <w:rsid w:val="00E9234B"/>
    <w:rsid w:val="00E924F8"/>
    <w:rsid w:val="00E92551"/>
    <w:rsid w:val="00E92762"/>
    <w:rsid w:val="00E92D01"/>
    <w:rsid w:val="00E92DA2"/>
    <w:rsid w:val="00E93444"/>
    <w:rsid w:val="00E9395E"/>
    <w:rsid w:val="00E93B44"/>
    <w:rsid w:val="00E94858"/>
    <w:rsid w:val="00E94D84"/>
    <w:rsid w:val="00E95172"/>
    <w:rsid w:val="00E951A2"/>
    <w:rsid w:val="00E9521D"/>
    <w:rsid w:val="00E956E8"/>
    <w:rsid w:val="00E95F18"/>
    <w:rsid w:val="00E95F60"/>
    <w:rsid w:val="00E961B2"/>
    <w:rsid w:val="00E96606"/>
    <w:rsid w:val="00E969E7"/>
    <w:rsid w:val="00E96A3D"/>
    <w:rsid w:val="00E96E30"/>
    <w:rsid w:val="00E96E35"/>
    <w:rsid w:val="00E96F6D"/>
    <w:rsid w:val="00E972EC"/>
    <w:rsid w:val="00E97582"/>
    <w:rsid w:val="00E97826"/>
    <w:rsid w:val="00E97D53"/>
    <w:rsid w:val="00E97DFD"/>
    <w:rsid w:val="00E97FD9"/>
    <w:rsid w:val="00EA0338"/>
    <w:rsid w:val="00EA0E2E"/>
    <w:rsid w:val="00EA14F4"/>
    <w:rsid w:val="00EA153E"/>
    <w:rsid w:val="00EA15ED"/>
    <w:rsid w:val="00EA17E7"/>
    <w:rsid w:val="00EA17FC"/>
    <w:rsid w:val="00EA1811"/>
    <w:rsid w:val="00EA19A7"/>
    <w:rsid w:val="00EA1CB0"/>
    <w:rsid w:val="00EA212B"/>
    <w:rsid w:val="00EA2424"/>
    <w:rsid w:val="00EA26CE"/>
    <w:rsid w:val="00EA2C8D"/>
    <w:rsid w:val="00EA2D0D"/>
    <w:rsid w:val="00EA2DD6"/>
    <w:rsid w:val="00EA3005"/>
    <w:rsid w:val="00EA320C"/>
    <w:rsid w:val="00EA369F"/>
    <w:rsid w:val="00EA402B"/>
    <w:rsid w:val="00EA419E"/>
    <w:rsid w:val="00EA421E"/>
    <w:rsid w:val="00EA4355"/>
    <w:rsid w:val="00EA48D3"/>
    <w:rsid w:val="00EA49BB"/>
    <w:rsid w:val="00EA4CDA"/>
    <w:rsid w:val="00EA4FE4"/>
    <w:rsid w:val="00EA5279"/>
    <w:rsid w:val="00EA5317"/>
    <w:rsid w:val="00EA5855"/>
    <w:rsid w:val="00EA5A28"/>
    <w:rsid w:val="00EA5C4D"/>
    <w:rsid w:val="00EA6218"/>
    <w:rsid w:val="00EA6411"/>
    <w:rsid w:val="00EA6425"/>
    <w:rsid w:val="00EA6D6E"/>
    <w:rsid w:val="00EA6FB8"/>
    <w:rsid w:val="00EA72C3"/>
    <w:rsid w:val="00EA739D"/>
    <w:rsid w:val="00EA7F48"/>
    <w:rsid w:val="00EB1DC4"/>
    <w:rsid w:val="00EB1E2F"/>
    <w:rsid w:val="00EB1FAA"/>
    <w:rsid w:val="00EB2DB1"/>
    <w:rsid w:val="00EB313F"/>
    <w:rsid w:val="00EB38BF"/>
    <w:rsid w:val="00EB4107"/>
    <w:rsid w:val="00EB45DC"/>
    <w:rsid w:val="00EB4619"/>
    <w:rsid w:val="00EB479D"/>
    <w:rsid w:val="00EB4AAC"/>
    <w:rsid w:val="00EB4E76"/>
    <w:rsid w:val="00EB4E92"/>
    <w:rsid w:val="00EB5094"/>
    <w:rsid w:val="00EB537E"/>
    <w:rsid w:val="00EB5608"/>
    <w:rsid w:val="00EB5CBA"/>
    <w:rsid w:val="00EB5E5D"/>
    <w:rsid w:val="00EB5F2F"/>
    <w:rsid w:val="00EB60D2"/>
    <w:rsid w:val="00EB63B8"/>
    <w:rsid w:val="00EB651C"/>
    <w:rsid w:val="00EB654B"/>
    <w:rsid w:val="00EB67EA"/>
    <w:rsid w:val="00EB67FA"/>
    <w:rsid w:val="00EB680C"/>
    <w:rsid w:val="00EB78A5"/>
    <w:rsid w:val="00EB7F08"/>
    <w:rsid w:val="00EC03BD"/>
    <w:rsid w:val="00EC0463"/>
    <w:rsid w:val="00EC065A"/>
    <w:rsid w:val="00EC079B"/>
    <w:rsid w:val="00EC0819"/>
    <w:rsid w:val="00EC0C92"/>
    <w:rsid w:val="00EC0FA3"/>
    <w:rsid w:val="00EC113F"/>
    <w:rsid w:val="00EC16B0"/>
    <w:rsid w:val="00EC1BF3"/>
    <w:rsid w:val="00EC1C30"/>
    <w:rsid w:val="00EC21F8"/>
    <w:rsid w:val="00EC225D"/>
    <w:rsid w:val="00EC24F5"/>
    <w:rsid w:val="00EC2766"/>
    <w:rsid w:val="00EC28A9"/>
    <w:rsid w:val="00EC29FD"/>
    <w:rsid w:val="00EC2E2A"/>
    <w:rsid w:val="00EC2FC5"/>
    <w:rsid w:val="00EC3581"/>
    <w:rsid w:val="00EC38CA"/>
    <w:rsid w:val="00EC3905"/>
    <w:rsid w:val="00EC3D62"/>
    <w:rsid w:val="00EC43D7"/>
    <w:rsid w:val="00EC46BC"/>
    <w:rsid w:val="00EC48CF"/>
    <w:rsid w:val="00EC4A63"/>
    <w:rsid w:val="00EC4B46"/>
    <w:rsid w:val="00EC4C33"/>
    <w:rsid w:val="00EC514F"/>
    <w:rsid w:val="00EC554A"/>
    <w:rsid w:val="00EC5693"/>
    <w:rsid w:val="00EC5B37"/>
    <w:rsid w:val="00EC6079"/>
    <w:rsid w:val="00EC6322"/>
    <w:rsid w:val="00EC6535"/>
    <w:rsid w:val="00EC6744"/>
    <w:rsid w:val="00EC695D"/>
    <w:rsid w:val="00EC6B93"/>
    <w:rsid w:val="00EC6BE6"/>
    <w:rsid w:val="00EC73E7"/>
    <w:rsid w:val="00EC7491"/>
    <w:rsid w:val="00EC7A78"/>
    <w:rsid w:val="00EC7F5A"/>
    <w:rsid w:val="00ED0A33"/>
    <w:rsid w:val="00ED0CC6"/>
    <w:rsid w:val="00ED134C"/>
    <w:rsid w:val="00ED1485"/>
    <w:rsid w:val="00ED22B7"/>
    <w:rsid w:val="00ED234C"/>
    <w:rsid w:val="00ED2365"/>
    <w:rsid w:val="00ED28C4"/>
    <w:rsid w:val="00ED2A54"/>
    <w:rsid w:val="00ED316C"/>
    <w:rsid w:val="00ED3179"/>
    <w:rsid w:val="00ED3548"/>
    <w:rsid w:val="00ED3571"/>
    <w:rsid w:val="00ED3817"/>
    <w:rsid w:val="00ED39A5"/>
    <w:rsid w:val="00ED3E94"/>
    <w:rsid w:val="00ED40E1"/>
    <w:rsid w:val="00ED415B"/>
    <w:rsid w:val="00ED4620"/>
    <w:rsid w:val="00ED48AB"/>
    <w:rsid w:val="00ED4ECA"/>
    <w:rsid w:val="00ED5434"/>
    <w:rsid w:val="00ED57FF"/>
    <w:rsid w:val="00ED5C50"/>
    <w:rsid w:val="00ED5E5F"/>
    <w:rsid w:val="00ED5ECA"/>
    <w:rsid w:val="00ED61A6"/>
    <w:rsid w:val="00ED65B7"/>
    <w:rsid w:val="00ED6891"/>
    <w:rsid w:val="00ED6F54"/>
    <w:rsid w:val="00ED7066"/>
    <w:rsid w:val="00ED713E"/>
    <w:rsid w:val="00ED74EE"/>
    <w:rsid w:val="00ED768E"/>
    <w:rsid w:val="00ED7D85"/>
    <w:rsid w:val="00ED7EB7"/>
    <w:rsid w:val="00EE005A"/>
    <w:rsid w:val="00EE00EF"/>
    <w:rsid w:val="00EE02D9"/>
    <w:rsid w:val="00EE03A3"/>
    <w:rsid w:val="00EE03D0"/>
    <w:rsid w:val="00EE0812"/>
    <w:rsid w:val="00EE0947"/>
    <w:rsid w:val="00EE0A94"/>
    <w:rsid w:val="00EE0B93"/>
    <w:rsid w:val="00EE0C1D"/>
    <w:rsid w:val="00EE0FE3"/>
    <w:rsid w:val="00EE119D"/>
    <w:rsid w:val="00EE15EC"/>
    <w:rsid w:val="00EE170A"/>
    <w:rsid w:val="00EE19B9"/>
    <w:rsid w:val="00EE1A89"/>
    <w:rsid w:val="00EE1CFF"/>
    <w:rsid w:val="00EE2A23"/>
    <w:rsid w:val="00EE32AC"/>
    <w:rsid w:val="00EE3639"/>
    <w:rsid w:val="00EE3808"/>
    <w:rsid w:val="00EE383D"/>
    <w:rsid w:val="00EE3E42"/>
    <w:rsid w:val="00EE405C"/>
    <w:rsid w:val="00EE41EE"/>
    <w:rsid w:val="00EE4704"/>
    <w:rsid w:val="00EE4F82"/>
    <w:rsid w:val="00EE52B0"/>
    <w:rsid w:val="00EE55C6"/>
    <w:rsid w:val="00EE607B"/>
    <w:rsid w:val="00EE68AA"/>
    <w:rsid w:val="00EE6C37"/>
    <w:rsid w:val="00EE6E07"/>
    <w:rsid w:val="00EE7318"/>
    <w:rsid w:val="00EE7B4C"/>
    <w:rsid w:val="00EE7D3F"/>
    <w:rsid w:val="00EE7F30"/>
    <w:rsid w:val="00EF00A5"/>
    <w:rsid w:val="00EF0B67"/>
    <w:rsid w:val="00EF12FF"/>
    <w:rsid w:val="00EF1ABD"/>
    <w:rsid w:val="00EF20DF"/>
    <w:rsid w:val="00EF257D"/>
    <w:rsid w:val="00EF2759"/>
    <w:rsid w:val="00EF2A14"/>
    <w:rsid w:val="00EF2BE7"/>
    <w:rsid w:val="00EF2C8B"/>
    <w:rsid w:val="00EF2E84"/>
    <w:rsid w:val="00EF31FF"/>
    <w:rsid w:val="00EF3460"/>
    <w:rsid w:val="00EF3AF4"/>
    <w:rsid w:val="00EF3D23"/>
    <w:rsid w:val="00EF42A4"/>
    <w:rsid w:val="00EF44CA"/>
    <w:rsid w:val="00EF4C6E"/>
    <w:rsid w:val="00EF4C95"/>
    <w:rsid w:val="00EF4EEA"/>
    <w:rsid w:val="00EF5220"/>
    <w:rsid w:val="00EF5557"/>
    <w:rsid w:val="00EF55AB"/>
    <w:rsid w:val="00EF56EB"/>
    <w:rsid w:val="00EF5F42"/>
    <w:rsid w:val="00EF5FE2"/>
    <w:rsid w:val="00EF64B5"/>
    <w:rsid w:val="00EF67BB"/>
    <w:rsid w:val="00EF68F3"/>
    <w:rsid w:val="00EF7894"/>
    <w:rsid w:val="00EF7970"/>
    <w:rsid w:val="00EF7C58"/>
    <w:rsid w:val="00F0065C"/>
    <w:rsid w:val="00F006A1"/>
    <w:rsid w:val="00F006BF"/>
    <w:rsid w:val="00F008E6"/>
    <w:rsid w:val="00F00A31"/>
    <w:rsid w:val="00F00D5F"/>
    <w:rsid w:val="00F00E87"/>
    <w:rsid w:val="00F00F78"/>
    <w:rsid w:val="00F01617"/>
    <w:rsid w:val="00F01826"/>
    <w:rsid w:val="00F01B6B"/>
    <w:rsid w:val="00F01C16"/>
    <w:rsid w:val="00F0205E"/>
    <w:rsid w:val="00F0236D"/>
    <w:rsid w:val="00F023E4"/>
    <w:rsid w:val="00F02631"/>
    <w:rsid w:val="00F026B6"/>
    <w:rsid w:val="00F027C5"/>
    <w:rsid w:val="00F02B5A"/>
    <w:rsid w:val="00F02E64"/>
    <w:rsid w:val="00F02EE4"/>
    <w:rsid w:val="00F02F17"/>
    <w:rsid w:val="00F030DA"/>
    <w:rsid w:val="00F03615"/>
    <w:rsid w:val="00F039DA"/>
    <w:rsid w:val="00F03A99"/>
    <w:rsid w:val="00F03AC3"/>
    <w:rsid w:val="00F03C42"/>
    <w:rsid w:val="00F03D3B"/>
    <w:rsid w:val="00F0443D"/>
    <w:rsid w:val="00F04692"/>
    <w:rsid w:val="00F0472B"/>
    <w:rsid w:val="00F051B6"/>
    <w:rsid w:val="00F051E0"/>
    <w:rsid w:val="00F0534B"/>
    <w:rsid w:val="00F05384"/>
    <w:rsid w:val="00F05968"/>
    <w:rsid w:val="00F05BF1"/>
    <w:rsid w:val="00F06055"/>
    <w:rsid w:val="00F06453"/>
    <w:rsid w:val="00F0663E"/>
    <w:rsid w:val="00F06718"/>
    <w:rsid w:val="00F0677F"/>
    <w:rsid w:val="00F06833"/>
    <w:rsid w:val="00F06E69"/>
    <w:rsid w:val="00F074DA"/>
    <w:rsid w:val="00F07C26"/>
    <w:rsid w:val="00F07F1A"/>
    <w:rsid w:val="00F1037B"/>
    <w:rsid w:val="00F10C6A"/>
    <w:rsid w:val="00F10E29"/>
    <w:rsid w:val="00F10F51"/>
    <w:rsid w:val="00F11151"/>
    <w:rsid w:val="00F111E3"/>
    <w:rsid w:val="00F11502"/>
    <w:rsid w:val="00F11A0B"/>
    <w:rsid w:val="00F11A26"/>
    <w:rsid w:val="00F11BE4"/>
    <w:rsid w:val="00F1234B"/>
    <w:rsid w:val="00F12374"/>
    <w:rsid w:val="00F12409"/>
    <w:rsid w:val="00F125D4"/>
    <w:rsid w:val="00F125DE"/>
    <w:rsid w:val="00F126E3"/>
    <w:rsid w:val="00F126FE"/>
    <w:rsid w:val="00F12840"/>
    <w:rsid w:val="00F12FF2"/>
    <w:rsid w:val="00F1402C"/>
    <w:rsid w:val="00F14049"/>
    <w:rsid w:val="00F14695"/>
    <w:rsid w:val="00F14B73"/>
    <w:rsid w:val="00F15689"/>
    <w:rsid w:val="00F158F2"/>
    <w:rsid w:val="00F15D07"/>
    <w:rsid w:val="00F15EB2"/>
    <w:rsid w:val="00F1626C"/>
    <w:rsid w:val="00F16388"/>
    <w:rsid w:val="00F16D66"/>
    <w:rsid w:val="00F17175"/>
    <w:rsid w:val="00F1718D"/>
    <w:rsid w:val="00F178A5"/>
    <w:rsid w:val="00F178BF"/>
    <w:rsid w:val="00F201A3"/>
    <w:rsid w:val="00F205EA"/>
    <w:rsid w:val="00F20763"/>
    <w:rsid w:val="00F21593"/>
    <w:rsid w:val="00F21A5D"/>
    <w:rsid w:val="00F22007"/>
    <w:rsid w:val="00F2253D"/>
    <w:rsid w:val="00F2261B"/>
    <w:rsid w:val="00F22F59"/>
    <w:rsid w:val="00F233CC"/>
    <w:rsid w:val="00F2357C"/>
    <w:rsid w:val="00F23936"/>
    <w:rsid w:val="00F23BDB"/>
    <w:rsid w:val="00F23FA2"/>
    <w:rsid w:val="00F246EA"/>
    <w:rsid w:val="00F24865"/>
    <w:rsid w:val="00F249FE"/>
    <w:rsid w:val="00F24AAB"/>
    <w:rsid w:val="00F252D0"/>
    <w:rsid w:val="00F259BF"/>
    <w:rsid w:val="00F25AA8"/>
    <w:rsid w:val="00F25BF5"/>
    <w:rsid w:val="00F26059"/>
    <w:rsid w:val="00F26557"/>
    <w:rsid w:val="00F26F63"/>
    <w:rsid w:val="00F2737E"/>
    <w:rsid w:val="00F278CD"/>
    <w:rsid w:val="00F3004B"/>
    <w:rsid w:val="00F307C0"/>
    <w:rsid w:val="00F30A87"/>
    <w:rsid w:val="00F30BAD"/>
    <w:rsid w:val="00F30F5B"/>
    <w:rsid w:val="00F31003"/>
    <w:rsid w:val="00F310B6"/>
    <w:rsid w:val="00F3138F"/>
    <w:rsid w:val="00F314C7"/>
    <w:rsid w:val="00F31874"/>
    <w:rsid w:val="00F31B00"/>
    <w:rsid w:val="00F31D2D"/>
    <w:rsid w:val="00F321F9"/>
    <w:rsid w:val="00F32261"/>
    <w:rsid w:val="00F32355"/>
    <w:rsid w:val="00F32BF0"/>
    <w:rsid w:val="00F33236"/>
    <w:rsid w:val="00F336F5"/>
    <w:rsid w:val="00F33C9B"/>
    <w:rsid w:val="00F33D72"/>
    <w:rsid w:val="00F34100"/>
    <w:rsid w:val="00F3421E"/>
    <w:rsid w:val="00F343FC"/>
    <w:rsid w:val="00F34D54"/>
    <w:rsid w:val="00F350F7"/>
    <w:rsid w:val="00F35881"/>
    <w:rsid w:val="00F35D33"/>
    <w:rsid w:val="00F35DD0"/>
    <w:rsid w:val="00F35DF6"/>
    <w:rsid w:val="00F35F79"/>
    <w:rsid w:val="00F365A6"/>
    <w:rsid w:val="00F366B0"/>
    <w:rsid w:val="00F36AF5"/>
    <w:rsid w:val="00F36D1C"/>
    <w:rsid w:val="00F36D3C"/>
    <w:rsid w:val="00F36D99"/>
    <w:rsid w:val="00F3706E"/>
    <w:rsid w:val="00F370E5"/>
    <w:rsid w:val="00F37B26"/>
    <w:rsid w:val="00F37DDD"/>
    <w:rsid w:val="00F40C82"/>
    <w:rsid w:val="00F40EBD"/>
    <w:rsid w:val="00F40F09"/>
    <w:rsid w:val="00F41307"/>
    <w:rsid w:val="00F41B16"/>
    <w:rsid w:val="00F41C8F"/>
    <w:rsid w:val="00F41D1A"/>
    <w:rsid w:val="00F41D67"/>
    <w:rsid w:val="00F41DEE"/>
    <w:rsid w:val="00F42867"/>
    <w:rsid w:val="00F42AD8"/>
    <w:rsid w:val="00F42B22"/>
    <w:rsid w:val="00F43324"/>
    <w:rsid w:val="00F433C6"/>
    <w:rsid w:val="00F43422"/>
    <w:rsid w:val="00F43456"/>
    <w:rsid w:val="00F434DB"/>
    <w:rsid w:val="00F43BD6"/>
    <w:rsid w:val="00F43D3A"/>
    <w:rsid w:val="00F43F13"/>
    <w:rsid w:val="00F443B7"/>
    <w:rsid w:val="00F44A3C"/>
    <w:rsid w:val="00F44BB1"/>
    <w:rsid w:val="00F44BC3"/>
    <w:rsid w:val="00F44BF9"/>
    <w:rsid w:val="00F450F0"/>
    <w:rsid w:val="00F459BB"/>
    <w:rsid w:val="00F45C1D"/>
    <w:rsid w:val="00F45EB3"/>
    <w:rsid w:val="00F463A0"/>
    <w:rsid w:val="00F4683E"/>
    <w:rsid w:val="00F46987"/>
    <w:rsid w:val="00F469A0"/>
    <w:rsid w:val="00F46A4A"/>
    <w:rsid w:val="00F4701B"/>
    <w:rsid w:val="00F47807"/>
    <w:rsid w:val="00F47827"/>
    <w:rsid w:val="00F47C5B"/>
    <w:rsid w:val="00F51953"/>
    <w:rsid w:val="00F51CE9"/>
    <w:rsid w:val="00F52013"/>
    <w:rsid w:val="00F5226A"/>
    <w:rsid w:val="00F523FD"/>
    <w:rsid w:val="00F524DE"/>
    <w:rsid w:val="00F5292B"/>
    <w:rsid w:val="00F529E2"/>
    <w:rsid w:val="00F531B2"/>
    <w:rsid w:val="00F5330F"/>
    <w:rsid w:val="00F53494"/>
    <w:rsid w:val="00F53DDE"/>
    <w:rsid w:val="00F54124"/>
    <w:rsid w:val="00F54AAE"/>
    <w:rsid w:val="00F5540C"/>
    <w:rsid w:val="00F5595F"/>
    <w:rsid w:val="00F5612D"/>
    <w:rsid w:val="00F562C2"/>
    <w:rsid w:val="00F565CA"/>
    <w:rsid w:val="00F568BA"/>
    <w:rsid w:val="00F56BD6"/>
    <w:rsid w:val="00F56E0C"/>
    <w:rsid w:val="00F570B9"/>
    <w:rsid w:val="00F57102"/>
    <w:rsid w:val="00F5715A"/>
    <w:rsid w:val="00F5786E"/>
    <w:rsid w:val="00F57CEA"/>
    <w:rsid w:val="00F602A6"/>
    <w:rsid w:val="00F60600"/>
    <w:rsid w:val="00F60BCD"/>
    <w:rsid w:val="00F60CDB"/>
    <w:rsid w:val="00F611A3"/>
    <w:rsid w:val="00F615FB"/>
    <w:rsid w:val="00F61CD0"/>
    <w:rsid w:val="00F61D92"/>
    <w:rsid w:val="00F6221C"/>
    <w:rsid w:val="00F62516"/>
    <w:rsid w:val="00F626C2"/>
    <w:rsid w:val="00F632B6"/>
    <w:rsid w:val="00F636ED"/>
    <w:rsid w:val="00F63D0C"/>
    <w:rsid w:val="00F63FF6"/>
    <w:rsid w:val="00F640A3"/>
    <w:rsid w:val="00F64110"/>
    <w:rsid w:val="00F64148"/>
    <w:rsid w:val="00F645CC"/>
    <w:rsid w:val="00F648A5"/>
    <w:rsid w:val="00F64B7D"/>
    <w:rsid w:val="00F64BA6"/>
    <w:rsid w:val="00F64F10"/>
    <w:rsid w:val="00F64F76"/>
    <w:rsid w:val="00F65175"/>
    <w:rsid w:val="00F65AB9"/>
    <w:rsid w:val="00F66028"/>
    <w:rsid w:val="00F66139"/>
    <w:rsid w:val="00F66369"/>
    <w:rsid w:val="00F663CE"/>
    <w:rsid w:val="00F663E7"/>
    <w:rsid w:val="00F66548"/>
    <w:rsid w:val="00F66A80"/>
    <w:rsid w:val="00F66D67"/>
    <w:rsid w:val="00F66E4A"/>
    <w:rsid w:val="00F675BA"/>
    <w:rsid w:val="00F67FAC"/>
    <w:rsid w:val="00F70118"/>
    <w:rsid w:val="00F70360"/>
    <w:rsid w:val="00F70803"/>
    <w:rsid w:val="00F708E1"/>
    <w:rsid w:val="00F70A40"/>
    <w:rsid w:val="00F70AF3"/>
    <w:rsid w:val="00F711E5"/>
    <w:rsid w:val="00F71447"/>
    <w:rsid w:val="00F71A3D"/>
    <w:rsid w:val="00F71A63"/>
    <w:rsid w:val="00F71D09"/>
    <w:rsid w:val="00F7203A"/>
    <w:rsid w:val="00F72430"/>
    <w:rsid w:val="00F725C1"/>
    <w:rsid w:val="00F7262B"/>
    <w:rsid w:val="00F729FE"/>
    <w:rsid w:val="00F72B93"/>
    <w:rsid w:val="00F7324A"/>
    <w:rsid w:val="00F73372"/>
    <w:rsid w:val="00F738A1"/>
    <w:rsid w:val="00F73F27"/>
    <w:rsid w:val="00F7412D"/>
    <w:rsid w:val="00F74224"/>
    <w:rsid w:val="00F747B6"/>
    <w:rsid w:val="00F74E65"/>
    <w:rsid w:val="00F75329"/>
    <w:rsid w:val="00F75438"/>
    <w:rsid w:val="00F75E55"/>
    <w:rsid w:val="00F763EF"/>
    <w:rsid w:val="00F76888"/>
    <w:rsid w:val="00F7691B"/>
    <w:rsid w:val="00F77871"/>
    <w:rsid w:val="00F778F2"/>
    <w:rsid w:val="00F77A5D"/>
    <w:rsid w:val="00F77C18"/>
    <w:rsid w:val="00F77E85"/>
    <w:rsid w:val="00F805B9"/>
    <w:rsid w:val="00F80997"/>
    <w:rsid w:val="00F80AA6"/>
    <w:rsid w:val="00F80CD2"/>
    <w:rsid w:val="00F80F8A"/>
    <w:rsid w:val="00F814A5"/>
    <w:rsid w:val="00F816C8"/>
    <w:rsid w:val="00F8182D"/>
    <w:rsid w:val="00F82934"/>
    <w:rsid w:val="00F83364"/>
    <w:rsid w:val="00F83C85"/>
    <w:rsid w:val="00F84299"/>
    <w:rsid w:val="00F842D1"/>
    <w:rsid w:val="00F84454"/>
    <w:rsid w:val="00F846F3"/>
    <w:rsid w:val="00F8473E"/>
    <w:rsid w:val="00F847C8"/>
    <w:rsid w:val="00F84944"/>
    <w:rsid w:val="00F85085"/>
    <w:rsid w:val="00F855BB"/>
    <w:rsid w:val="00F85DCF"/>
    <w:rsid w:val="00F85FF8"/>
    <w:rsid w:val="00F864A4"/>
    <w:rsid w:val="00F86D81"/>
    <w:rsid w:val="00F872B1"/>
    <w:rsid w:val="00F874F2"/>
    <w:rsid w:val="00F875BF"/>
    <w:rsid w:val="00F87890"/>
    <w:rsid w:val="00F90032"/>
    <w:rsid w:val="00F905F9"/>
    <w:rsid w:val="00F907E9"/>
    <w:rsid w:val="00F90C41"/>
    <w:rsid w:val="00F90F5E"/>
    <w:rsid w:val="00F910BF"/>
    <w:rsid w:val="00F911AA"/>
    <w:rsid w:val="00F911E4"/>
    <w:rsid w:val="00F912BB"/>
    <w:rsid w:val="00F91365"/>
    <w:rsid w:val="00F9195E"/>
    <w:rsid w:val="00F92059"/>
    <w:rsid w:val="00F920EE"/>
    <w:rsid w:val="00F9237C"/>
    <w:rsid w:val="00F92524"/>
    <w:rsid w:val="00F9256E"/>
    <w:rsid w:val="00F92BE8"/>
    <w:rsid w:val="00F92E41"/>
    <w:rsid w:val="00F92FE0"/>
    <w:rsid w:val="00F93931"/>
    <w:rsid w:val="00F93C08"/>
    <w:rsid w:val="00F93FFF"/>
    <w:rsid w:val="00F940AD"/>
    <w:rsid w:val="00F94190"/>
    <w:rsid w:val="00F941AB"/>
    <w:rsid w:val="00F9438D"/>
    <w:rsid w:val="00F949DB"/>
    <w:rsid w:val="00F94CB4"/>
    <w:rsid w:val="00F94E52"/>
    <w:rsid w:val="00F95435"/>
    <w:rsid w:val="00F954FD"/>
    <w:rsid w:val="00F9552A"/>
    <w:rsid w:val="00F955D4"/>
    <w:rsid w:val="00F95A50"/>
    <w:rsid w:val="00F95E63"/>
    <w:rsid w:val="00F9604C"/>
    <w:rsid w:val="00F96A03"/>
    <w:rsid w:val="00F96D2A"/>
    <w:rsid w:val="00F973C2"/>
    <w:rsid w:val="00F973C6"/>
    <w:rsid w:val="00F97560"/>
    <w:rsid w:val="00F977B0"/>
    <w:rsid w:val="00FA01D7"/>
    <w:rsid w:val="00FA07DF"/>
    <w:rsid w:val="00FA0874"/>
    <w:rsid w:val="00FA13C5"/>
    <w:rsid w:val="00FA1582"/>
    <w:rsid w:val="00FA1BBB"/>
    <w:rsid w:val="00FA1D26"/>
    <w:rsid w:val="00FA1DA9"/>
    <w:rsid w:val="00FA2047"/>
    <w:rsid w:val="00FA21DA"/>
    <w:rsid w:val="00FA2B2D"/>
    <w:rsid w:val="00FA2BEC"/>
    <w:rsid w:val="00FA3355"/>
    <w:rsid w:val="00FA371D"/>
    <w:rsid w:val="00FA3B7A"/>
    <w:rsid w:val="00FA3CD3"/>
    <w:rsid w:val="00FA469D"/>
    <w:rsid w:val="00FA4B77"/>
    <w:rsid w:val="00FA4F02"/>
    <w:rsid w:val="00FA4F17"/>
    <w:rsid w:val="00FA50B6"/>
    <w:rsid w:val="00FA515B"/>
    <w:rsid w:val="00FA535E"/>
    <w:rsid w:val="00FA586E"/>
    <w:rsid w:val="00FA5D8C"/>
    <w:rsid w:val="00FA6199"/>
    <w:rsid w:val="00FA626F"/>
    <w:rsid w:val="00FA62C7"/>
    <w:rsid w:val="00FA62E5"/>
    <w:rsid w:val="00FA63B6"/>
    <w:rsid w:val="00FA689F"/>
    <w:rsid w:val="00FA6AD9"/>
    <w:rsid w:val="00FA6FD2"/>
    <w:rsid w:val="00FA7108"/>
    <w:rsid w:val="00FA7658"/>
    <w:rsid w:val="00FA767E"/>
    <w:rsid w:val="00FA768F"/>
    <w:rsid w:val="00FA79DA"/>
    <w:rsid w:val="00FA7AA3"/>
    <w:rsid w:val="00FA7BC4"/>
    <w:rsid w:val="00FA7FF6"/>
    <w:rsid w:val="00FB1816"/>
    <w:rsid w:val="00FB190C"/>
    <w:rsid w:val="00FB19C7"/>
    <w:rsid w:val="00FB1F8F"/>
    <w:rsid w:val="00FB2C0D"/>
    <w:rsid w:val="00FB3050"/>
    <w:rsid w:val="00FB36DF"/>
    <w:rsid w:val="00FB3A96"/>
    <w:rsid w:val="00FB3BF3"/>
    <w:rsid w:val="00FB4673"/>
    <w:rsid w:val="00FB4FF5"/>
    <w:rsid w:val="00FB5027"/>
    <w:rsid w:val="00FB5155"/>
    <w:rsid w:val="00FB539D"/>
    <w:rsid w:val="00FB5560"/>
    <w:rsid w:val="00FB651F"/>
    <w:rsid w:val="00FB6526"/>
    <w:rsid w:val="00FB6A5B"/>
    <w:rsid w:val="00FB6EEE"/>
    <w:rsid w:val="00FB7254"/>
    <w:rsid w:val="00FB725C"/>
    <w:rsid w:val="00FB7722"/>
    <w:rsid w:val="00FB77CF"/>
    <w:rsid w:val="00FB78D3"/>
    <w:rsid w:val="00FB7B92"/>
    <w:rsid w:val="00FC0004"/>
    <w:rsid w:val="00FC0071"/>
    <w:rsid w:val="00FC0948"/>
    <w:rsid w:val="00FC0DEF"/>
    <w:rsid w:val="00FC104F"/>
    <w:rsid w:val="00FC1406"/>
    <w:rsid w:val="00FC1BF6"/>
    <w:rsid w:val="00FC1D15"/>
    <w:rsid w:val="00FC26AD"/>
    <w:rsid w:val="00FC273A"/>
    <w:rsid w:val="00FC309A"/>
    <w:rsid w:val="00FC35E5"/>
    <w:rsid w:val="00FC38EE"/>
    <w:rsid w:val="00FC3A09"/>
    <w:rsid w:val="00FC3B68"/>
    <w:rsid w:val="00FC3DCF"/>
    <w:rsid w:val="00FC3E13"/>
    <w:rsid w:val="00FC4168"/>
    <w:rsid w:val="00FC4230"/>
    <w:rsid w:val="00FC4515"/>
    <w:rsid w:val="00FC54D8"/>
    <w:rsid w:val="00FC568F"/>
    <w:rsid w:val="00FC5D63"/>
    <w:rsid w:val="00FC6C64"/>
    <w:rsid w:val="00FC77B8"/>
    <w:rsid w:val="00FC7F3C"/>
    <w:rsid w:val="00FD05B7"/>
    <w:rsid w:val="00FD0E37"/>
    <w:rsid w:val="00FD0F61"/>
    <w:rsid w:val="00FD0F71"/>
    <w:rsid w:val="00FD127C"/>
    <w:rsid w:val="00FD14E7"/>
    <w:rsid w:val="00FD1707"/>
    <w:rsid w:val="00FD1767"/>
    <w:rsid w:val="00FD1774"/>
    <w:rsid w:val="00FD1910"/>
    <w:rsid w:val="00FD21BC"/>
    <w:rsid w:val="00FD2585"/>
    <w:rsid w:val="00FD2A3A"/>
    <w:rsid w:val="00FD2A45"/>
    <w:rsid w:val="00FD2A6F"/>
    <w:rsid w:val="00FD306F"/>
    <w:rsid w:val="00FD3258"/>
    <w:rsid w:val="00FD33F1"/>
    <w:rsid w:val="00FD35C4"/>
    <w:rsid w:val="00FD3726"/>
    <w:rsid w:val="00FD431A"/>
    <w:rsid w:val="00FD449A"/>
    <w:rsid w:val="00FD465D"/>
    <w:rsid w:val="00FD4BCC"/>
    <w:rsid w:val="00FD4C2F"/>
    <w:rsid w:val="00FD5A9E"/>
    <w:rsid w:val="00FD5F5A"/>
    <w:rsid w:val="00FD6748"/>
    <w:rsid w:val="00FD6E15"/>
    <w:rsid w:val="00FD6F19"/>
    <w:rsid w:val="00FD7862"/>
    <w:rsid w:val="00FD7887"/>
    <w:rsid w:val="00FD7C1B"/>
    <w:rsid w:val="00FE0018"/>
    <w:rsid w:val="00FE007B"/>
    <w:rsid w:val="00FE0202"/>
    <w:rsid w:val="00FE0483"/>
    <w:rsid w:val="00FE0570"/>
    <w:rsid w:val="00FE0676"/>
    <w:rsid w:val="00FE0F13"/>
    <w:rsid w:val="00FE1093"/>
    <w:rsid w:val="00FE143E"/>
    <w:rsid w:val="00FE16A7"/>
    <w:rsid w:val="00FE1828"/>
    <w:rsid w:val="00FE209C"/>
    <w:rsid w:val="00FE20FB"/>
    <w:rsid w:val="00FE2843"/>
    <w:rsid w:val="00FE299F"/>
    <w:rsid w:val="00FE2A53"/>
    <w:rsid w:val="00FE2F72"/>
    <w:rsid w:val="00FE359A"/>
    <w:rsid w:val="00FE3721"/>
    <w:rsid w:val="00FE3FFD"/>
    <w:rsid w:val="00FE446A"/>
    <w:rsid w:val="00FE4476"/>
    <w:rsid w:val="00FE490C"/>
    <w:rsid w:val="00FE4CC7"/>
    <w:rsid w:val="00FE5141"/>
    <w:rsid w:val="00FE5200"/>
    <w:rsid w:val="00FE5225"/>
    <w:rsid w:val="00FE5364"/>
    <w:rsid w:val="00FE53B3"/>
    <w:rsid w:val="00FE5879"/>
    <w:rsid w:val="00FE5956"/>
    <w:rsid w:val="00FE5C66"/>
    <w:rsid w:val="00FE6015"/>
    <w:rsid w:val="00FE6451"/>
    <w:rsid w:val="00FE679F"/>
    <w:rsid w:val="00FE6CD6"/>
    <w:rsid w:val="00FE6DB5"/>
    <w:rsid w:val="00FE754A"/>
    <w:rsid w:val="00FE75FD"/>
    <w:rsid w:val="00FE7714"/>
    <w:rsid w:val="00FE788F"/>
    <w:rsid w:val="00FE7D20"/>
    <w:rsid w:val="00FE7E83"/>
    <w:rsid w:val="00FF0488"/>
    <w:rsid w:val="00FF0C67"/>
    <w:rsid w:val="00FF11B5"/>
    <w:rsid w:val="00FF1529"/>
    <w:rsid w:val="00FF174C"/>
    <w:rsid w:val="00FF1FBC"/>
    <w:rsid w:val="00FF229F"/>
    <w:rsid w:val="00FF2CD9"/>
    <w:rsid w:val="00FF2F25"/>
    <w:rsid w:val="00FF3011"/>
    <w:rsid w:val="00FF35C1"/>
    <w:rsid w:val="00FF4081"/>
    <w:rsid w:val="00FF4300"/>
    <w:rsid w:val="00FF4571"/>
    <w:rsid w:val="00FF46B4"/>
    <w:rsid w:val="00FF4BAE"/>
    <w:rsid w:val="00FF5406"/>
    <w:rsid w:val="00FF5647"/>
    <w:rsid w:val="00FF5AA3"/>
    <w:rsid w:val="00FF5B0E"/>
    <w:rsid w:val="00FF6185"/>
    <w:rsid w:val="00FF67AD"/>
    <w:rsid w:val="00FF6A12"/>
    <w:rsid w:val="00FF6B10"/>
    <w:rsid w:val="00FF6B6E"/>
    <w:rsid w:val="00FF74BF"/>
    <w:rsid w:val="00FF7742"/>
    <w:rsid w:val="00FF778C"/>
    <w:rsid w:val="00FF77D1"/>
    <w:rsid w:val="00FF7E3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5dce4"/>
    </o:shapedefaults>
    <o:shapelayout v:ext="edit">
      <o:idmap v:ext="edit" data="2"/>
    </o:shapelayout>
  </w:shapeDefaults>
  <w:decimalSymbol w:val=","/>
  <w:listSeparator w:val=";"/>
  <w14:docId w14:val="11CACCC2"/>
  <w15:chartTrackingRefBased/>
  <w15:docId w15:val="{27CC1F82-EA2E-4F9F-90DC-14D6D5AE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0841"/>
    <w:pPr>
      <w:spacing w:after="120" w:line="300" w:lineRule="auto"/>
      <w:jc w:val="both"/>
    </w:pPr>
    <w:rPr>
      <w:rFonts w:ascii="Arial" w:hAnsi="Arial"/>
      <w:szCs w:val="24"/>
    </w:rPr>
  </w:style>
  <w:style w:type="paragraph" w:styleId="1">
    <w:name w:val="heading 1"/>
    <w:aliases w:val="1_ΚΕΦΑΛΑΙΟ"/>
    <w:basedOn w:val="a"/>
    <w:next w:val="a"/>
    <w:link w:val="1Char"/>
    <w:qFormat/>
    <w:rsid w:val="002E4CC0"/>
    <w:pPr>
      <w:keepNext/>
      <w:numPr>
        <w:numId w:val="3"/>
      </w:numPr>
      <w:spacing w:line="276" w:lineRule="auto"/>
      <w:outlineLvl w:val="0"/>
    </w:pPr>
    <w:rPr>
      <w:b/>
      <w:bCs/>
      <w:color w:val="2F5496"/>
      <w:kern w:val="32"/>
      <w:sz w:val="28"/>
      <w:szCs w:val="32"/>
      <w:lang w:val="x-none" w:eastAsia="x-none"/>
    </w:rPr>
  </w:style>
  <w:style w:type="paragraph" w:styleId="2">
    <w:name w:val="heading 2"/>
    <w:aliases w:val="2_ΘΕΜΑ ΚΕΦΑΛΑΙΟΥ"/>
    <w:basedOn w:val="a"/>
    <w:next w:val="a"/>
    <w:link w:val="2Char"/>
    <w:qFormat/>
    <w:rsid w:val="006A035C"/>
    <w:pPr>
      <w:keepNext/>
      <w:spacing w:after="600" w:line="276" w:lineRule="auto"/>
      <w:outlineLvl w:val="1"/>
    </w:pPr>
    <w:rPr>
      <w:b/>
      <w:bCs/>
      <w:iCs/>
      <w:color w:val="2F5496"/>
      <w:sz w:val="28"/>
      <w:szCs w:val="28"/>
      <w:lang w:val="x-none" w:eastAsia="x-none"/>
    </w:rPr>
  </w:style>
  <w:style w:type="paragraph" w:styleId="3">
    <w:name w:val="heading 3"/>
    <w:aliases w:val="3_1.1."/>
    <w:basedOn w:val="a"/>
    <w:next w:val="a"/>
    <w:link w:val="3Char"/>
    <w:qFormat/>
    <w:rsid w:val="00656E67"/>
    <w:pPr>
      <w:keepNext/>
      <w:numPr>
        <w:ilvl w:val="1"/>
        <w:numId w:val="3"/>
      </w:numPr>
      <w:shd w:val="clear" w:color="auto" w:fill="D5DCE4"/>
      <w:spacing w:before="600" w:after="360" w:line="276" w:lineRule="auto"/>
      <w:outlineLvl w:val="2"/>
    </w:pPr>
    <w:rPr>
      <w:b/>
      <w:bCs/>
      <w:color w:val="2F5496"/>
      <w:sz w:val="24"/>
      <w:szCs w:val="26"/>
      <w:lang w:val="x-none" w:eastAsia="x-none"/>
    </w:rPr>
  </w:style>
  <w:style w:type="paragraph" w:styleId="4">
    <w:name w:val="heading 4"/>
    <w:aliases w:val="4_1.1.1."/>
    <w:basedOn w:val="a"/>
    <w:next w:val="a"/>
    <w:link w:val="4Char"/>
    <w:qFormat/>
    <w:rsid w:val="00CB2E0A"/>
    <w:pPr>
      <w:keepNext/>
      <w:numPr>
        <w:ilvl w:val="2"/>
        <w:numId w:val="3"/>
      </w:numPr>
      <w:spacing w:before="360" w:after="240" w:line="276" w:lineRule="auto"/>
      <w:ind w:left="851" w:hanging="851"/>
      <w:outlineLvl w:val="3"/>
    </w:pPr>
    <w:rPr>
      <w:b/>
      <w:color w:val="2F5496"/>
      <w:sz w:val="22"/>
      <w:szCs w:val="22"/>
      <w:lang w:val="x-none" w:eastAsia="x-none"/>
    </w:rPr>
  </w:style>
  <w:style w:type="paragraph" w:styleId="5">
    <w:name w:val="heading 5"/>
    <w:basedOn w:val="a"/>
    <w:next w:val="a"/>
    <w:link w:val="5Char"/>
    <w:qFormat/>
    <w:rsid w:val="00476DAC"/>
    <w:pPr>
      <w:keepNext/>
      <w:numPr>
        <w:ilvl w:val="3"/>
        <w:numId w:val="3"/>
      </w:numPr>
      <w:spacing w:before="240" w:after="360"/>
      <w:outlineLvl w:val="4"/>
    </w:pPr>
    <w:rPr>
      <w:b/>
      <w:color w:val="2F5496"/>
      <w:szCs w:val="22"/>
      <w:lang w:val="x-none" w:eastAsia="x-none"/>
    </w:rPr>
  </w:style>
  <w:style w:type="paragraph" w:styleId="6">
    <w:name w:val="heading 6"/>
    <w:basedOn w:val="a"/>
    <w:next w:val="a"/>
    <w:link w:val="6Char"/>
    <w:qFormat/>
    <w:rsid w:val="002E0B4C"/>
    <w:pPr>
      <w:keepNext/>
      <w:outlineLvl w:val="5"/>
    </w:pPr>
    <w:rPr>
      <w:rFonts w:ascii="Arial Narrow" w:hAnsi="Arial Narrow"/>
      <w:b/>
      <w:sz w:val="22"/>
      <w:szCs w:val="22"/>
      <w:lang w:val="x-none" w:eastAsia="x-none"/>
    </w:rPr>
  </w:style>
  <w:style w:type="paragraph" w:styleId="7">
    <w:name w:val="heading 7"/>
    <w:basedOn w:val="a"/>
    <w:next w:val="a"/>
    <w:link w:val="7Char"/>
    <w:qFormat/>
    <w:rsid w:val="002E0B4C"/>
    <w:pPr>
      <w:keepNext/>
      <w:outlineLvl w:val="6"/>
    </w:pPr>
    <w:rPr>
      <w:rFonts w:ascii="Arial Narrow" w:hAnsi="Arial Narrow"/>
      <w:b/>
      <w:i/>
      <w:sz w:val="22"/>
      <w:szCs w:val="22"/>
      <w:lang w:val="x-none" w:eastAsia="x-none"/>
    </w:rPr>
  </w:style>
  <w:style w:type="paragraph" w:styleId="8">
    <w:name w:val="heading 8"/>
    <w:basedOn w:val="a"/>
    <w:next w:val="a"/>
    <w:link w:val="8Char"/>
    <w:qFormat/>
    <w:rsid w:val="002E0B4C"/>
    <w:pPr>
      <w:keepNext/>
      <w:spacing w:before="100" w:beforeAutospacing="1" w:after="100" w:afterAutospacing="1"/>
      <w:outlineLvl w:val="7"/>
    </w:pPr>
    <w:rPr>
      <w:rFonts w:ascii="Arial Narrow" w:hAnsi="Arial Narrow"/>
      <w:b/>
      <w:sz w:val="16"/>
      <w:szCs w:val="16"/>
      <w:lang w:val="x-none" w:eastAsia="x-none"/>
    </w:rPr>
  </w:style>
  <w:style w:type="paragraph" w:styleId="9">
    <w:name w:val="heading 9"/>
    <w:basedOn w:val="a"/>
    <w:next w:val="a"/>
    <w:link w:val="9Char"/>
    <w:qFormat/>
    <w:rsid w:val="002E0B4C"/>
    <w:pPr>
      <w:keepNext/>
      <w:outlineLvl w:val="8"/>
    </w:pPr>
    <w:rPr>
      <w:rFonts w:ascii="Arial Narrow" w:hAnsi="Arial Narrow"/>
      <w:b/>
      <w:color w:val="000080"/>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E0B4C"/>
    <w:pPr>
      <w:tabs>
        <w:tab w:val="center" w:pos="4153"/>
        <w:tab w:val="right" w:pos="8306"/>
      </w:tabs>
    </w:pPr>
    <w:rPr>
      <w:lang w:val="x-none" w:eastAsia="x-none"/>
    </w:rPr>
  </w:style>
  <w:style w:type="paragraph" w:styleId="a4">
    <w:name w:val="footer"/>
    <w:basedOn w:val="a"/>
    <w:link w:val="Char0"/>
    <w:uiPriority w:val="99"/>
    <w:rsid w:val="002E0B4C"/>
    <w:pPr>
      <w:tabs>
        <w:tab w:val="center" w:pos="4153"/>
        <w:tab w:val="right" w:pos="8306"/>
      </w:tabs>
    </w:pPr>
    <w:rPr>
      <w:lang w:val="x-none" w:eastAsia="x-none"/>
    </w:rPr>
  </w:style>
  <w:style w:type="character" w:styleId="a5">
    <w:name w:val="page number"/>
    <w:basedOn w:val="a0"/>
    <w:rsid w:val="002E0B4C"/>
  </w:style>
  <w:style w:type="paragraph" w:styleId="a6">
    <w:name w:val="Balloon Text"/>
    <w:basedOn w:val="a"/>
    <w:link w:val="Char1"/>
    <w:semiHidden/>
    <w:rsid w:val="002E0B4C"/>
    <w:rPr>
      <w:rFonts w:ascii="Tahoma" w:hAnsi="Tahoma"/>
      <w:sz w:val="16"/>
      <w:szCs w:val="16"/>
      <w:lang w:val="x-none" w:eastAsia="x-none"/>
    </w:rPr>
  </w:style>
  <w:style w:type="paragraph" w:styleId="a7">
    <w:name w:val="Body Text Indent"/>
    <w:basedOn w:val="a"/>
    <w:link w:val="Char2"/>
    <w:rsid w:val="002E0B4C"/>
    <w:pPr>
      <w:ind w:left="720" w:hanging="720"/>
    </w:pPr>
    <w:rPr>
      <w:sz w:val="22"/>
      <w:szCs w:val="22"/>
      <w:lang w:val="x-none" w:eastAsia="x-none"/>
    </w:rPr>
  </w:style>
  <w:style w:type="paragraph" w:styleId="a8">
    <w:name w:val="Body Text"/>
    <w:basedOn w:val="a"/>
    <w:link w:val="Char3"/>
    <w:rsid w:val="002E0B4C"/>
    <w:rPr>
      <w:sz w:val="22"/>
      <w:szCs w:val="22"/>
      <w:lang w:val="x-none" w:eastAsia="x-none"/>
    </w:rPr>
  </w:style>
  <w:style w:type="paragraph" w:styleId="20">
    <w:name w:val="Body Text Indent 2"/>
    <w:basedOn w:val="a"/>
    <w:link w:val="2Char0"/>
    <w:rsid w:val="002E0B4C"/>
    <w:pPr>
      <w:ind w:left="284"/>
    </w:pPr>
    <w:rPr>
      <w:sz w:val="22"/>
      <w:szCs w:val="22"/>
      <w:lang w:val="x-none" w:eastAsia="x-none"/>
    </w:rPr>
  </w:style>
  <w:style w:type="paragraph" w:styleId="a9">
    <w:name w:val="Plain Text"/>
    <w:basedOn w:val="a"/>
    <w:link w:val="Char4"/>
    <w:rsid w:val="002E0B4C"/>
    <w:rPr>
      <w:rFonts w:ascii="Courier New" w:hAnsi="Courier New"/>
      <w:szCs w:val="20"/>
      <w:lang w:val="x-none" w:eastAsia="x-none"/>
    </w:rPr>
  </w:style>
  <w:style w:type="paragraph" w:styleId="21">
    <w:name w:val="Body Text 2"/>
    <w:basedOn w:val="a"/>
    <w:link w:val="2Char1"/>
    <w:rsid w:val="002E0B4C"/>
    <w:pPr>
      <w:spacing w:line="480" w:lineRule="auto"/>
    </w:pPr>
    <w:rPr>
      <w:lang w:val="x-none" w:eastAsia="x-none"/>
    </w:rPr>
  </w:style>
  <w:style w:type="paragraph" w:styleId="aa">
    <w:name w:val="footnote text"/>
    <w:aliases w:val="Footnote,Fußnote,Fodnotetekst Tegn Tegn Tegn Tegn Tegn Tegn Tegn Char Char,Fodnotetekst Tegn Tegn Tegn Tegn Tegn Tegn Tegn Char Char Char Char,Fodnotetekst Tegn Tegn Tegn Tegn Tegn Tegn Tegn,lábléc,C26 Footnote body, Char,Char"/>
    <w:basedOn w:val="a"/>
    <w:link w:val="Char5"/>
    <w:uiPriority w:val="99"/>
    <w:qFormat/>
    <w:rsid w:val="002E0B4C"/>
    <w:rPr>
      <w:szCs w:val="20"/>
      <w:lang w:val="en-GB"/>
    </w:rPr>
  </w:style>
  <w:style w:type="character" w:styleId="ab">
    <w:name w:val="footnote reference"/>
    <w:aliases w:val="Footnote Reference Number,Footnote Reference_LVL6,Footnote Reference_LVL61,Footnote Reference_LVL62,Footnote Reference_LVL63,Footnote Reference_LVL64,C26 Footnote Number,Footnote Reference_LVL65,Footnote symbol,Footnote Reference1"/>
    <w:uiPriority w:val="99"/>
    <w:qFormat/>
    <w:rsid w:val="002E0B4C"/>
    <w:rPr>
      <w:vertAlign w:val="superscript"/>
    </w:rPr>
  </w:style>
  <w:style w:type="table" w:styleId="ac">
    <w:name w:val="Table Grid"/>
    <w:basedOn w:val="a1"/>
    <w:uiPriority w:val="39"/>
    <w:rsid w:val="00D44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5">
    <w:name w:val="Κείμενο υποσημείωσης Char"/>
    <w:aliases w:val="Footnote Char,Fußnote Char,Fodnotetekst Tegn Tegn Tegn Tegn Tegn Tegn Tegn Char Char Char,Fodnotetekst Tegn Tegn Tegn Tegn Tegn Tegn Tegn Char Char Char Char Char,Fodnotetekst Tegn Tegn Tegn Tegn Tegn Tegn Tegn Char,lábléc Char"/>
    <w:link w:val="aa"/>
    <w:uiPriority w:val="99"/>
    <w:rsid w:val="00476C30"/>
    <w:rPr>
      <w:lang w:val="en-GB" w:eastAsia="el-GR" w:bidi="ar-SA"/>
    </w:rPr>
  </w:style>
  <w:style w:type="character" w:styleId="ad">
    <w:name w:val="annotation reference"/>
    <w:uiPriority w:val="99"/>
    <w:semiHidden/>
    <w:rsid w:val="00610DA8"/>
    <w:rPr>
      <w:sz w:val="16"/>
      <w:szCs w:val="16"/>
    </w:rPr>
  </w:style>
  <w:style w:type="paragraph" w:styleId="ae">
    <w:name w:val="annotation text"/>
    <w:basedOn w:val="a"/>
    <w:link w:val="Char6"/>
    <w:uiPriority w:val="99"/>
    <w:semiHidden/>
    <w:rsid w:val="00610DA8"/>
    <w:rPr>
      <w:szCs w:val="20"/>
    </w:rPr>
  </w:style>
  <w:style w:type="paragraph" w:styleId="af">
    <w:name w:val="annotation subject"/>
    <w:basedOn w:val="ae"/>
    <w:next w:val="ae"/>
    <w:link w:val="Char7"/>
    <w:semiHidden/>
    <w:rsid w:val="00610DA8"/>
    <w:rPr>
      <w:b/>
      <w:bCs/>
      <w:lang w:val="x-none" w:eastAsia="x-none"/>
    </w:rPr>
  </w:style>
  <w:style w:type="paragraph" w:styleId="af0">
    <w:name w:val="List Paragraph"/>
    <w:aliases w:val="1st level - Bullet List Paragraph,Bullet EY,Bullet list,Lettre d'introduction,List L1,List Paragraph compact,List Paragraph1,List Paragraph11,Normal bullet 2,Normal bullet 21,Numbered List,Paragraph,Paragraphe de liste 2,Reference list"/>
    <w:basedOn w:val="a"/>
    <w:link w:val="Char8"/>
    <w:uiPriority w:val="34"/>
    <w:qFormat/>
    <w:rsid w:val="00875F08"/>
    <w:pPr>
      <w:spacing w:after="200" w:line="276" w:lineRule="auto"/>
      <w:ind w:left="720"/>
      <w:contextualSpacing/>
    </w:pPr>
    <w:rPr>
      <w:rFonts w:ascii="Calibri" w:eastAsia="Calibri" w:hAnsi="Calibri"/>
      <w:sz w:val="22"/>
      <w:szCs w:val="22"/>
      <w:lang w:val="x-none" w:eastAsia="en-US"/>
    </w:rPr>
  </w:style>
  <w:style w:type="paragraph" w:customStyle="1" w:styleId="CharCharCharCharCharCharCharCharCharCharCharCharChar">
    <w:name w:val="Char Char Char Char Char Char Char Char Char Char Char Char Char"/>
    <w:basedOn w:val="a"/>
    <w:rsid w:val="00F64BA6"/>
    <w:pPr>
      <w:spacing w:after="160" w:line="240" w:lineRule="exact"/>
    </w:pPr>
    <w:rPr>
      <w:rFonts w:ascii="Verdana" w:hAnsi="Verdana"/>
      <w:szCs w:val="20"/>
      <w:lang w:val="en-US" w:eastAsia="en-US"/>
    </w:rPr>
  </w:style>
  <w:style w:type="paragraph" w:styleId="Web">
    <w:name w:val="Normal (Web)"/>
    <w:basedOn w:val="a"/>
    <w:uiPriority w:val="99"/>
    <w:unhideWhenUsed/>
    <w:rsid w:val="00707015"/>
    <w:pPr>
      <w:spacing w:before="100" w:beforeAutospacing="1" w:after="100" w:afterAutospacing="1"/>
    </w:pPr>
    <w:rPr>
      <w:lang w:val="en-US" w:bidi="en-US"/>
    </w:rPr>
  </w:style>
  <w:style w:type="character" w:styleId="af1">
    <w:name w:val="line number"/>
    <w:basedOn w:val="a0"/>
    <w:rsid w:val="00707015"/>
  </w:style>
  <w:style w:type="paragraph" w:styleId="af2">
    <w:name w:val="No Spacing"/>
    <w:link w:val="Char9"/>
    <w:uiPriority w:val="1"/>
    <w:qFormat/>
    <w:rsid w:val="00C56FF3"/>
    <w:rPr>
      <w:rFonts w:ascii="Calibri" w:eastAsia="Calibri" w:hAnsi="Calibri"/>
      <w:sz w:val="22"/>
      <w:szCs w:val="22"/>
      <w:lang w:eastAsia="en-US"/>
    </w:rPr>
  </w:style>
  <w:style w:type="character" w:customStyle="1" w:styleId="af3">
    <w:name w:val="Σύμβολο υποσημείωσης"/>
    <w:rsid w:val="00835387"/>
    <w:rPr>
      <w:vertAlign w:val="superscript"/>
    </w:rPr>
  </w:style>
  <w:style w:type="character" w:customStyle="1" w:styleId="10">
    <w:name w:val="Παραπομπή υποσημείωσης1"/>
    <w:rsid w:val="00835387"/>
    <w:rPr>
      <w:vertAlign w:val="superscript"/>
    </w:rPr>
  </w:style>
  <w:style w:type="paragraph" w:styleId="af4">
    <w:name w:val="Revision"/>
    <w:hidden/>
    <w:uiPriority w:val="99"/>
    <w:semiHidden/>
    <w:rsid w:val="0056106D"/>
    <w:rPr>
      <w:sz w:val="24"/>
      <w:szCs w:val="24"/>
    </w:rPr>
  </w:style>
  <w:style w:type="paragraph" w:styleId="af5">
    <w:name w:val="endnote text"/>
    <w:basedOn w:val="a"/>
    <w:link w:val="Chara"/>
    <w:semiHidden/>
    <w:unhideWhenUsed/>
    <w:rsid w:val="00F12840"/>
    <w:rPr>
      <w:szCs w:val="20"/>
    </w:rPr>
  </w:style>
  <w:style w:type="character" w:customStyle="1" w:styleId="Chara">
    <w:name w:val="Κείμενο σημείωσης τέλους Char"/>
    <w:basedOn w:val="a0"/>
    <w:link w:val="af5"/>
    <w:semiHidden/>
    <w:rsid w:val="00F12840"/>
  </w:style>
  <w:style w:type="character" w:styleId="af6">
    <w:name w:val="endnote reference"/>
    <w:semiHidden/>
    <w:unhideWhenUsed/>
    <w:rsid w:val="00F12840"/>
    <w:rPr>
      <w:vertAlign w:val="superscript"/>
    </w:rPr>
  </w:style>
  <w:style w:type="paragraph" w:customStyle="1" w:styleId="aplo">
    <w:name w:val="aplo"/>
    <w:basedOn w:val="a"/>
    <w:rsid w:val="004F40E8"/>
    <w:pPr>
      <w:tabs>
        <w:tab w:val="left" w:pos="567"/>
      </w:tabs>
      <w:spacing w:before="120"/>
    </w:pPr>
    <w:rPr>
      <w:sz w:val="22"/>
      <w:szCs w:val="20"/>
      <w:lang w:val="en-GB"/>
    </w:rPr>
  </w:style>
  <w:style w:type="paragraph" w:styleId="af7">
    <w:name w:val="Title"/>
    <w:basedOn w:val="a"/>
    <w:link w:val="Charb"/>
    <w:qFormat/>
    <w:rsid w:val="004F40E8"/>
    <w:pPr>
      <w:jc w:val="center"/>
    </w:pPr>
    <w:rPr>
      <w:b/>
      <w:bCs/>
      <w:lang w:val="x-none" w:eastAsia="en-US"/>
    </w:rPr>
  </w:style>
  <w:style w:type="character" w:customStyle="1" w:styleId="Charb">
    <w:name w:val="Τίτλος Char"/>
    <w:link w:val="af7"/>
    <w:rsid w:val="004F40E8"/>
    <w:rPr>
      <w:b/>
      <w:bCs/>
      <w:sz w:val="24"/>
      <w:szCs w:val="24"/>
      <w:lang w:eastAsia="en-US"/>
    </w:rPr>
  </w:style>
  <w:style w:type="numbering" w:customStyle="1" w:styleId="11">
    <w:name w:val="Χωρίς λίστα1"/>
    <w:next w:val="a2"/>
    <w:semiHidden/>
    <w:rsid w:val="004F40E8"/>
  </w:style>
  <w:style w:type="paragraph" w:customStyle="1" w:styleId="keimeno">
    <w:name w:val="keimeno"/>
    <w:basedOn w:val="a"/>
    <w:rsid w:val="004F40E8"/>
    <w:rPr>
      <w:sz w:val="22"/>
      <w:szCs w:val="20"/>
    </w:rPr>
  </w:style>
  <w:style w:type="paragraph" w:styleId="30">
    <w:name w:val="Body Text 3"/>
    <w:basedOn w:val="a"/>
    <w:link w:val="3Char0"/>
    <w:rsid w:val="004F40E8"/>
    <w:rPr>
      <w:sz w:val="22"/>
      <w:szCs w:val="20"/>
      <w:lang w:val="x-none" w:eastAsia="x-none"/>
    </w:rPr>
  </w:style>
  <w:style w:type="character" w:customStyle="1" w:styleId="3Char0">
    <w:name w:val="Σώμα κείμενου 3 Char"/>
    <w:link w:val="30"/>
    <w:rsid w:val="004F40E8"/>
    <w:rPr>
      <w:sz w:val="22"/>
    </w:rPr>
  </w:style>
  <w:style w:type="paragraph" w:customStyle="1" w:styleId="Giota">
    <w:name w:val="Giota"/>
    <w:basedOn w:val="a"/>
    <w:rsid w:val="004F40E8"/>
    <w:pPr>
      <w:tabs>
        <w:tab w:val="left" w:pos="567"/>
        <w:tab w:val="left" w:pos="1134"/>
        <w:tab w:val="left" w:pos="1701"/>
      </w:tabs>
    </w:pPr>
    <w:rPr>
      <w:sz w:val="18"/>
      <w:szCs w:val="20"/>
    </w:rPr>
  </w:style>
  <w:style w:type="paragraph" w:customStyle="1" w:styleId="12">
    <w:name w:val="Στυλ1"/>
    <w:basedOn w:val="a"/>
    <w:rsid w:val="004F40E8"/>
    <w:pPr>
      <w:spacing w:before="120"/>
      <w:ind w:firstLine="567"/>
    </w:pPr>
    <w:rPr>
      <w:szCs w:val="20"/>
    </w:rPr>
  </w:style>
  <w:style w:type="paragraph" w:styleId="31">
    <w:name w:val="Body Text Indent 3"/>
    <w:basedOn w:val="a"/>
    <w:link w:val="3Char1"/>
    <w:rsid w:val="004F40E8"/>
    <w:pPr>
      <w:tabs>
        <w:tab w:val="num" w:pos="652"/>
      </w:tabs>
      <w:ind w:left="652" w:hanging="652"/>
    </w:pPr>
    <w:rPr>
      <w:sz w:val="22"/>
      <w:szCs w:val="20"/>
      <w:lang w:val="x-none" w:eastAsia="x-none"/>
    </w:rPr>
  </w:style>
  <w:style w:type="character" w:customStyle="1" w:styleId="3Char1">
    <w:name w:val="Σώμα κείμενου με εσοχή 3 Char"/>
    <w:link w:val="31"/>
    <w:rsid w:val="004F40E8"/>
    <w:rPr>
      <w:sz w:val="22"/>
    </w:rPr>
  </w:style>
  <w:style w:type="character" w:styleId="-">
    <w:name w:val="Hyperlink"/>
    <w:uiPriority w:val="99"/>
    <w:rsid w:val="004F40E8"/>
    <w:rPr>
      <w:color w:val="0000FF"/>
      <w:u w:val="single"/>
    </w:rPr>
  </w:style>
  <w:style w:type="paragraph" w:customStyle="1" w:styleId="CharCharCharChar">
    <w:name w:val="Char Char Char Char"/>
    <w:basedOn w:val="a"/>
    <w:rsid w:val="004F40E8"/>
    <w:pPr>
      <w:spacing w:after="160" w:line="240" w:lineRule="exact"/>
    </w:pPr>
    <w:rPr>
      <w:rFonts w:ascii="Verdana" w:hAnsi="Verdana"/>
      <w:szCs w:val="20"/>
      <w:lang w:val="en-US" w:eastAsia="en-US"/>
    </w:rPr>
  </w:style>
  <w:style w:type="character" w:styleId="af8">
    <w:name w:val="Strong"/>
    <w:qFormat/>
    <w:rsid w:val="004F40E8"/>
    <w:rPr>
      <w:b/>
      <w:bCs/>
    </w:rPr>
  </w:style>
  <w:style w:type="paragraph" w:customStyle="1" w:styleId="Default">
    <w:name w:val="Default"/>
    <w:rsid w:val="004F40E8"/>
    <w:pPr>
      <w:autoSpaceDE w:val="0"/>
      <w:autoSpaceDN w:val="0"/>
      <w:adjustRightInd w:val="0"/>
    </w:pPr>
    <w:rPr>
      <w:rFonts w:eastAsia="Calibri"/>
      <w:color w:val="000000"/>
      <w:sz w:val="24"/>
      <w:szCs w:val="24"/>
      <w:lang w:eastAsia="en-US"/>
    </w:rPr>
  </w:style>
  <w:style w:type="paragraph" w:styleId="-HTML">
    <w:name w:val="HTML Preformatted"/>
    <w:basedOn w:val="a"/>
    <w:link w:val="-HTMLChar"/>
    <w:uiPriority w:val="99"/>
    <w:unhideWhenUsed/>
    <w:rsid w:val="004F4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Cs w:val="20"/>
      <w:lang w:val="x-none" w:eastAsia="x-none"/>
    </w:rPr>
  </w:style>
  <w:style w:type="character" w:customStyle="1" w:styleId="-HTMLChar">
    <w:name w:val="Προ-διαμορφωμένο HTML Char"/>
    <w:link w:val="-HTML"/>
    <w:uiPriority w:val="99"/>
    <w:rsid w:val="004F40E8"/>
    <w:rPr>
      <w:rFonts w:ascii="Courier New" w:hAnsi="Courier New" w:cs="Courier New"/>
    </w:rPr>
  </w:style>
  <w:style w:type="character" w:styleId="-0">
    <w:name w:val="FollowedHyperlink"/>
    <w:uiPriority w:val="99"/>
    <w:unhideWhenUsed/>
    <w:rsid w:val="004F40E8"/>
    <w:rPr>
      <w:color w:val="800080"/>
      <w:u w:val="single"/>
    </w:rPr>
  </w:style>
  <w:style w:type="paragraph" w:customStyle="1" w:styleId="font5">
    <w:name w:val="font5"/>
    <w:basedOn w:val="a"/>
    <w:rsid w:val="004F40E8"/>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4F40E8"/>
    <w:pPr>
      <w:spacing w:before="100" w:beforeAutospacing="1" w:after="100" w:afterAutospacing="1"/>
    </w:pPr>
    <w:rPr>
      <w:rFonts w:ascii="Tahoma" w:hAnsi="Tahoma" w:cs="Tahoma"/>
      <w:color w:val="000000"/>
      <w:sz w:val="18"/>
      <w:szCs w:val="18"/>
    </w:rPr>
  </w:style>
  <w:style w:type="paragraph" w:customStyle="1" w:styleId="font7">
    <w:name w:val="font7"/>
    <w:basedOn w:val="a"/>
    <w:rsid w:val="004F40E8"/>
    <w:pPr>
      <w:spacing w:before="100" w:beforeAutospacing="1" w:after="100" w:afterAutospacing="1"/>
    </w:pPr>
    <w:rPr>
      <w:rFonts w:ascii="Segoe UI" w:hAnsi="Segoe UI" w:cs="Segoe UI"/>
      <w:b/>
      <w:bCs/>
      <w:i/>
      <w:iCs/>
      <w:sz w:val="16"/>
      <w:szCs w:val="16"/>
    </w:rPr>
  </w:style>
  <w:style w:type="paragraph" w:customStyle="1" w:styleId="xl52827">
    <w:name w:val="xl52827"/>
    <w:basedOn w:val="a"/>
    <w:rsid w:val="004F40E8"/>
    <w:pPr>
      <w:spacing w:before="100" w:beforeAutospacing="1" w:after="100" w:afterAutospacing="1"/>
      <w:textAlignment w:val="center"/>
    </w:pPr>
    <w:rPr>
      <w:rFonts w:ascii="Segoe UI" w:hAnsi="Segoe UI" w:cs="Segoe UI"/>
      <w:sz w:val="16"/>
      <w:szCs w:val="16"/>
    </w:rPr>
  </w:style>
  <w:style w:type="paragraph" w:customStyle="1" w:styleId="xl52828">
    <w:name w:val="xl52828"/>
    <w:basedOn w:val="a"/>
    <w:rsid w:val="004F40E8"/>
    <w:pPr>
      <w:shd w:val="clear" w:color="000000" w:fill="BFBFBF"/>
      <w:spacing w:before="100" w:beforeAutospacing="1" w:after="100" w:afterAutospacing="1"/>
      <w:textAlignment w:val="center"/>
    </w:pPr>
    <w:rPr>
      <w:rFonts w:ascii="Segoe UI" w:hAnsi="Segoe UI" w:cs="Segoe UI"/>
      <w:sz w:val="16"/>
      <w:szCs w:val="16"/>
    </w:rPr>
  </w:style>
  <w:style w:type="paragraph" w:customStyle="1" w:styleId="xl52829">
    <w:name w:val="xl52829"/>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30">
    <w:name w:val="xl52830"/>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31">
    <w:name w:val="xl52831"/>
    <w:basedOn w:val="a"/>
    <w:rsid w:val="004F40E8"/>
    <w:pPr>
      <w:spacing w:before="100" w:beforeAutospacing="1" w:after="100" w:afterAutospacing="1"/>
      <w:textAlignment w:val="center"/>
    </w:pPr>
    <w:rPr>
      <w:rFonts w:ascii="Segoe UI" w:hAnsi="Segoe UI" w:cs="Segoe UI"/>
      <w:b/>
      <w:bCs/>
      <w:sz w:val="16"/>
      <w:szCs w:val="16"/>
    </w:rPr>
  </w:style>
  <w:style w:type="paragraph" w:customStyle="1" w:styleId="xl52832">
    <w:name w:val="xl52832"/>
    <w:basedOn w:val="a"/>
    <w:rsid w:val="004F40E8"/>
    <w:pPr>
      <w:shd w:val="clear" w:color="000000" w:fill="BFBFBF"/>
      <w:spacing w:before="100" w:beforeAutospacing="1" w:after="100" w:afterAutospacing="1"/>
      <w:textAlignment w:val="center"/>
    </w:pPr>
    <w:rPr>
      <w:rFonts w:ascii="Segoe UI" w:hAnsi="Segoe UI" w:cs="Segoe UI"/>
      <w:b/>
      <w:bCs/>
      <w:sz w:val="16"/>
      <w:szCs w:val="16"/>
    </w:rPr>
  </w:style>
  <w:style w:type="paragraph" w:customStyle="1" w:styleId="xl52833">
    <w:name w:val="xl52833"/>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34">
    <w:name w:val="xl52834"/>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35">
    <w:name w:val="xl52835"/>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36">
    <w:name w:val="xl52836"/>
    <w:basedOn w:val="a"/>
    <w:rsid w:val="004F40E8"/>
    <w:pPr>
      <w:spacing w:before="100" w:beforeAutospacing="1" w:after="100" w:afterAutospacing="1"/>
      <w:textAlignment w:val="center"/>
    </w:pPr>
    <w:rPr>
      <w:rFonts w:ascii="Segoe UI" w:hAnsi="Segoe UI" w:cs="Segoe UI"/>
      <w:color w:val="C00000"/>
      <w:sz w:val="16"/>
      <w:szCs w:val="16"/>
    </w:rPr>
  </w:style>
  <w:style w:type="paragraph" w:customStyle="1" w:styleId="xl52837">
    <w:name w:val="xl52837"/>
    <w:basedOn w:val="a"/>
    <w:rsid w:val="004F40E8"/>
    <w:pPr>
      <w:pBdr>
        <w:left w:val="single" w:sz="4" w:space="0" w:color="auto"/>
        <w:righ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838">
    <w:name w:val="xl52838"/>
    <w:basedOn w:val="a"/>
    <w:rsid w:val="004F40E8"/>
    <w:pPr>
      <w:pBdr>
        <w:left w:val="single" w:sz="4" w:space="0" w:color="auto"/>
        <w:right w:val="single" w:sz="8"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839">
    <w:name w:val="xl52839"/>
    <w:basedOn w:val="a"/>
    <w:rsid w:val="004F40E8"/>
    <w:pPr>
      <w:shd w:val="clear" w:color="000000" w:fill="FFFFFF"/>
      <w:spacing w:before="100" w:beforeAutospacing="1" w:after="100" w:afterAutospacing="1"/>
      <w:textAlignment w:val="center"/>
    </w:pPr>
    <w:rPr>
      <w:rFonts w:ascii="Segoe UI" w:hAnsi="Segoe UI" w:cs="Segoe UI"/>
      <w:b/>
      <w:bCs/>
      <w:sz w:val="16"/>
      <w:szCs w:val="16"/>
    </w:rPr>
  </w:style>
  <w:style w:type="paragraph" w:customStyle="1" w:styleId="xl52840">
    <w:name w:val="xl52840"/>
    <w:basedOn w:val="a"/>
    <w:rsid w:val="004F40E8"/>
    <w:pPr>
      <w:spacing w:before="100" w:beforeAutospacing="1" w:after="100" w:afterAutospacing="1"/>
      <w:textAlignment w:val="center"/>
    </w:pPr>
    <w:rPr>
      <w:rFonts w:ascii="Segoe UI" w:hAnsi="Segoe UI" w:cs="Segoe UI"/>
      <w:sz w:val="16"/>
      <w:szCs w:val="16"/>
    </w:rPr>
  </w:style>
  <w:style w:type="paragraph" w:customStyle="1" w:styleId="xl52841">
    <w:name w:val="xl52841"/>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42">
    <w:name w:val="xl52842"/>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43">
    <w:name w:val="xl52843"/>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44">
    <w:name w:val="xl52844"/>
    <w:basedOn w:val="a"/>
    <w:rsid w:val="004F40E8"/>
    <w:pPr>
      <w:spacing w:before="100" w:beforeAutospacing="1" w:after="100" w:afterAutospacing="1"/>
      <w:jc w:val="center"/>
      <w:textAlignment w:val="center"/>
    </w:pPr>
    <w:rPr>
      <w:rFonts w:ascii="Segoe UI" w:hAnsi="Segoe UI" w:cs="Segoe UI"/>
      <w:sz w:val="16"/>
      <w:szCs w:val="16"/>
    </w:rPr>
  </w:style>
  <w:style w:type="paragraph" w:customStyle="1" w:styleId="xl52845">
    <w:name w:val="xl52845"/>
    <w:basedOn w:val="a"/>
    <w:rsid w:val="004F40E8"/>
    <w:pPr>
      <w:pBdr>
        <w:left w:val="single" w:sz="4" w:space="0" w:color="auto"/>
        <w:right w:val="single" w:sz="4" w:space="0" w:color="auto"/>
      </w:pBdr>
      <w:spacing w:before="100" w:beforeAutospacing="1" w:after="100" w:afterAutospacing="1"/>
      <w:jc w:val="center"/>
    </w:pPr>
    <w:rPr>
      <w:rFonts w:ascii="Segoe UI" w:hAnsi="Segoe UI" w:cs="Segoe UI"/>
      <w:sz w:val="16"/>
      <w:szCs w:val="16"/>
    </w:rPr>
  </w:style>
  <w:style w:type="paragraph" w:customStyle="1" w:styleId="xl52846">
    <w:name w:val="xl52846"/>
    <w:basedOn w:val="a"/>
    <w:rsid w:val="004F40E8"/>
    <w:pPr>
      <w:pBdr>
        <w:left w:val="single" w:sz="4" w:space="0" w:color="auto"/>
        <w:right w:val="single" w:sz="8" w:space="0" w:color="auto"/>
      </w:pBdr>
      <w:spacing w:before="100" w:beforeAutospacing="1" w:after="100" w:afterAutospacing="1"/>
      <w:jc w:val="center"/>
    </w:pPr>
    <w:rPr>
      <w:rFonts w:ascii="Segoe UI" w:hAnsi="Segoe UI" w:cs="Segoe UI"/>
      <w:sz w:val="16"/>
      <w:szCs w:val="16"/>
    </w:rPr>
  </w:style>
  <w:style w:type="paragraph" w:customStyle="1" w:styleId="xl52847">
    <w:name w:val="xl52847"/>
    <w:basedOn w:val="a"/>
    <w:rsid w:val="004F40E8"/>
    <w:pPr>
      <w:pBdr>
        <w:left w:val="single" w:sz="4" w:space="0" w:color="auto"/>
        <w:right w:val="single" w:sz="4" w:space="0" w:color="auto"/>
      </w:pBdr>
      <w:spacing w:before="100" w:beforeAutospacing="1" w:after="100" w:afterAutospacing="1"/>
      <w:jc w:val="center"/>
    </w:pPr>
    <w:rPr>
      <w:rFonts w:ascii="Segoe UI" w:hAnsi="Segoe UI" w:cs="Segoe UI"/>
      <w:b/>
      <w:bCs/>
      <w:sz w:val="16"/>
      <w:szCs w:val="16"/>
    </w:rPr>
  </w:style>
  <w:style w:type="paragraph" w:customStyle="1" w:styleId="xl52848">
    <w:name w:val="xl52848"/>
    <w:basedOn w:val="a"/>
    <w:rsid w:val="004F40E8"/>
    <w:pPr>
      <w:pBdr>
        <w:left w:val="single" w:sz="4" w:space="0" w:color="auto"/>
        <w:right w:val="single" w:sz="8" w:space="0" w:color="auto"/>
      </w:pBdr>
      <w:spacing w:before="100" w:beforeAutospacing="1" w:after="100" w:afterAutospacing="1"/>
      <w:jc w:val="center"/>
    </w:pPr>
    <w:rPr>
      <w:rFonts w:ascii="Segoe UI" w:hAnsi="Segoe UI" w:cs="Segoe UI"/>
      <w:b/>
      <w:bCs/>
      <w:sz w:val="16"/>
      <w:szCs w:val="16"/>
    </w:rPr>
  </w:style>
  <w:style w:type="paragraph" w:customStyle="1" w:styleId="xl52849">
    <w:name w:val="xl52849"/>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0">
    <w:name w:val="xl52850"/>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1">
    <w:name w:val="xl52851"/>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2">
    <w:name w:val="xl52852"/>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3">
    <w:name w:val="xl52853"/>
    <w:basedOn w:val="a"/>
    <w:rsid w:val="004F40E8"/>
    <w:pPr>
      <w:pBdr>
        <w:lef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54">
    <w:name w:val="xl52854"/>
    <w:basedOn w:val="a"/>
    <w:rsid w:val="004F40E8"/>
    <w:pPr>
      <w:pBdr>
        <w:lef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55">
    <w:name w:val="xl52855"/>
    <w:basedOn w:val="a"/>
    <w:rsid w:val="004F40E8"/>
    <w:pPr>
      <w:pBdr>
        <w:left w:val="single" w:sz="4" w:space="0" w:color="auto"/>
      </w:pBdr>
      <w:spacing w:before="100" w:beforeAutospacing="1" w:after="100" w:afterAutospacing="1"/>
      <w:jc w:val="center"/>
    </w:pPr>
    <w:rPr>
      <w:rFonts w:ascii="Segoe UI" w:hAnsi="Segoe UI" w:cs="Segoe UI"/>
      <w:sz w:val="16"/>
      <w:szCs w:val="16"/>
    </w:rPr>
  </w:style>
  <w:style w:type="paragraph" w:customStyle="1" w:styleId="xl52856">
    <w:name w:val="xl52856"/>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857">
    <w:name w:val="xl52857"/>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858">
    <w:name w:val="xl52858"/>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859">
    <w:name w:val="xl52859"/>
    <w:basedOn w:val="a"/>
    <w:rsid w:val="004F40E8"/>
    <w:pPr>
      <w:shd w:val="clear" w:color="000000" w:fill="A5A5A5"/>
      <w:spacing w:before="100" w:beforeAutospacing="1" w:after="100" w:afterAutospacing="1"/>
      <w:textAlignment w:val="center"/>
    </w:pPr>
    <w:rPr>
      <w:rFonts w:ascii="Segoe UI" w:hAnsi="Segoe UI" w:cs="Segoe UI"/>
      <w:sz w:val="16"/>
      <w:szCs w:val="16"/>
    </w:rPr>
  </w:style>
  <w:style w:type="paragraph" w:customStyle="1" w:styleId="xl52860">
    <w:name w:val="xl52860"/>
    <w:basedOn w:val="a"/>
    <w:rsid w:val="004F40E8"/>
    <w:pP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61">
    <w:name w:val="xl52861"/>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2">
    <w:name w:val="xl52862"/>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3">
    <w:name w:val="xl52863"/>
    <w:basedOn w:val="a"/>
    <w:rsid w:val="004F40E8"/>
    <w:pP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64">
    <w:name w:val="xl52864"/>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5">
    <w:name w:val="xl52865"/>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6">
    <w:name w:val="xl52866"/>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7">
    <w:name w:val="xl52867"/>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8">
    <w:name w:val="xl52868"/>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9">
    <w:name w:val="xl52869"/>
    <w:basedOn w:val="a"/>
    <w:rsid w:val="004F40E8"/>
    <w:pPr>
      <w:shd w:val="clear" w:color="000000" w:fill="A5A5A5"/>
      <w:spacing w:before="100" w:beforeAutospacing="1" w:after="100" w:afterAutospacing="1"/>
      <w:textAlignment w:val="center"/>
    </w:pPr>
    <w:rPr>
      <w:rFonts w:ascii="Segoe UI" w:hAnsi="Segoe UI" w:cs="Segoe UI"/>
      <w:color w:val="C00000"/>
      <w:sz w:val="16"/>
      <w:szCs w:val="16"/>
    </w:rPr>
  </w:style>
  <w:style w:type="paragraph" w:customStyle="1" w:styleId="xl52870">
    <w:name w:val="xl52870"/>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871">
    <w:name w:val="xl52871"/>
    <w:basedOn w:val="a"/>
    <w:rsid w:val="004F40E8"/>
    <w:pPr>
      <w:pBdr>
        <w:left w:val="single" w:sz="8" w:space="0" w:color="auto"/>
      </w:pBdr>
      <w:spacing w:before="100" w:beforeAutospacing="1" w:after="100" w:afterAutospacing="1"/>
      <w:textAlignment w:val="center"/>
    </w:pPr>
    <w:rPr>
      <w:rFonts w:ascii="Segoe UI" w:hAnsi="Segoe UI" w:cs="Segoe UI"/>
      <w:b/>
      <w:bCs/>
      <w:sz w:val="16"/>
      <w:szCs w:val="16"/>
    </w:rPr>
  </w:style>
  <w:style w:type="paragraph" w:customStyle="1" w:styleId="xl52872">
    <w:name w:val="xl52872"/>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73">
    <w:name w:val="xl52873"/>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74">
    <w:name w:val="xl52874"/>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75">
    <w:name w:val="xl52875"/>
    <w:basedOn w:val="a"/>
    <w:rsid w:val="004F40E8"/>
    <w:pPr>
      <w:pBdr>
        <w:left w:val="single" w:sz="8" w:space="0" w:color="auto"/>
      </w:pBdr>
      <w:shd w:val="clear" w:color="000000" w:fill="FFFFFF"/>
      <w:spacing w:before="100" w:beforeAutospacing="1" w:after="100" w:afterAutospacing="1"/>
      <w:textAlignment w:val="center"/>
    </w:pPr>
    <w:rPr>
      <w:rFonts w:ascii="Segoe UI" w:hAnsi="Segoe UI" w:cs="Segoe UI"/>
      <w:b/>
      <w:bCs/>
      <w:sz w:val="16"/>
      <w:szCs w:val="16"/>
    </w:rPr>
  </w:style>
  <w:style w:type="paragraph" w:customStyle="1" w:styleId="xl52876">
    <w:name w:val="xl52876"/>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77">
    <w:name w:val="xl52877"/>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78">
    <w:name w:val="xl52878"/>
    <w:basedOn w:val="a"/>
    <w:rsid w:val="004F40E8"/>
    <w:pPr>
      <w:pBdr>
        <w:left w:val="single" w:sz="8" w:space="0" w:color="auto"/>
      </w:pBdr>
      <w:shd w:val="clear" w:color="000000" w:fill="FFFFFF"/>
      <w:spacing w:before="100" w:beforeAutospacing="1" w:after="100" w:afterAutospacing="1"/>
      <w:textAlignment w:val="center"/>
    </w:pPr>
    <w:rPr>
      <w:rFonts w:ascii="Segoe UI" w:hAnsi="Segoe UI" w:cs="Segoe UI"/>
      <w:sz w:val="16"/>
      <w:szCs w:val="16"/>
    </w:rPr>
  </w:style>
  <w:style w:type="paragraph" w:customStyle="1" w:styleId="xl52879">
    <w:name w:val="xl52879"/>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80">
    <w:name w:val="xl52880"/>
    <w:basedOn w:val="a"/>
    <w:rsid w:val="004F40E8"/>
    <w:pPr>
      <w:pBdr>
        <w:left w:val="single" w:sz="8" w:space="0" w:color="auto"/>
      </w:pBdr>
      <w:spacing w:before="100" w:beforeAutospacing="1" w:after="100" w:afterAutospacing="1"/>
      <w:textAlignment w:val="center"/>
    </w:pPr>
    <w:rPr>
      <w:rFonts w:ascii="Segoe UI" w:hAnsi="Segoe UI" w:cs="Segoe UI"/>
      <w:b/>
      <w:bCs/>
      <w:sz w:val="16"/>
      <w:szCs w:val="16"/>
    </w:rPr>
  </w:style>
  <w:style w:type="paragraph" w:customStyle="1" w:styleId="xl52881">
    <w:name w:val="xl52881"/>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i/>
      <w:iCs/>
      <w:sz w:val="16"/>
      <w:szCs w:val="16"/>
    </w:rPr>
  </w:style>
  <w:style w:type="paragraph" w:customStyle="1" w:styleId="xl52882">
    <w:name w:val="xl52882"/>
    <w:basedOn w:val="a"/>
    <w:rsid w:val="004F40E8"/>
    <w:pPr>
      <w:pBdr>
        <w:left w:val="single" w:sz="8" w:space="0" w:color="auto"/>
      </w:pBdr>
      <w:spacing w:before="100" w:beforeAutospacing="1" w:after="100" w:afterAutospacing="1"/>
    </w:pPr>
    <w:rPr>
      <w:rFonts w:ascii="Segoe UI" w:hAnsi="Segoe UI" w:cs="Segoe UI"/>
      <w:sz w:val="16"/>
      <w:szCs w:val="16"/>
    </w:rPr>
  </w:style>
  <w:style w:type="paragraph" w:customStyle="1" w:styleId="xl52883">
    <w:name w:val="xl52883"/>
    <w:basedOn w:val="a"/>
    <w:rsid w:val="004F40E8"/>
    <w:pPr>
      <w:pBdr>
        <w:left w:val="single" w:sz="8" w:space="0" w:color="auto"/>
      </w:pBdr>
      <w:spacing w:before="100" w:beforeAutospacing="1" w:after="100" w:afterAutospacing="1"/>
    </w:pPr>
    <w:rPr>
      <w:rFonts w:ascii="Segoe UI" w:hAnsi="Segoe UI" w:cs="Segoe UI"/>
      <w:b/>
      <w:bCs/>
      <w:sz w:val="16"/>
      <w:szCs w:val="16"/>
    </w:rPr>
  </w:style>
  <w:style w:type="paragraph" w:customStyle="1" w:styleId="xl52884">
    <w:name w:val="xl52884"/>
    <w:basedOn w:val="a"/>
    <w:rsid w:val="004F40E8"/>
    <w:pPr>
      <w:pBdr>
        <w:left w:val="single" w:sz="8" w:space="0" w:color="auto"/>
      </w:pBdr>
      <w:spacing w:before="100" w:beforeAutospacing="1" w:after="100" w:afterAutospacing="1"/>
    </w:pPr>
    <w:rPr>
      <w:rFonts w:ascii="Segoe UI" w:hAnsi="Segoe UI" w:cs="Segoe UI"/>
      <w:sz w:val="16"/>
      <w:szCs w:val="16"/>
    </w:rPr>
  </w:style>
  <w:style w:type="paragraph" w:customStyle="1" w:styleId="xl52885">
    <w:name w:val="xl52885"/>
    <w:basedOn w:val="a"/>
    <w:rsid w:val="004F40E8"/>
    <w:pPr>
      <w:pBdr>
        <w:left w:val="single" w:sz="8" w:space="0" w:color="auto"/>
      </w:pBdr>
      <w:shd w:val="clear" w:color="000000" w:fill="FFFFFF"/>
      <w:spacing w:before="100" w:beforeAutospacing="1" w:after="100" w:afterAutospacing="1"/>
    </w:pPr>
    <w:rPr>
      <w:rFonts w:ascii="Segoe UI" w:hAnsi="Segoe UI" w:cs="Segoe UI"/>
      <w:b/>
      <w:bCs/>
      <w:i/>
      <w:iCs/>
      <w:sz w:val="16"/>
      <w:szCs w:val="16"/>
    </w:rPr>
  </w:style>
  <w:style w:type="paragraph" w:customStyle="1" w:styleId="xl52886">
    <w:name w:val="xl52886"/>
    <w:basedOn w:val="a"/>
    <w:rsid w:val="004F40E8"/>
    <w:pPr>
      <w:pBdr>
        <w:left w:val="single" w:sz="8" w:space="0" w:color="auto"/>
      </w:pBdr>
      <w:shd w:val="clear" w:color="000000" w:fill="FFFFFF"/>
      <w:spacing w:before="100" w:beforeAutospacing="1" w:after="100" w:afterAutospacing="1"/>
    </w:pPr>
    <w:rPr>
      <w:rFonts w:ascii="Segoe UI" w:hAnsi="Segoe UI" w:cs="Segoe UI"/>
      <w:b/>
      <w:bCs/>
      <w:sz w:val="16"/>
      <w:szCs w:val="16"/>
    </w:rPr>
  </w:style>
  <w:style w:type="paragraph" w:customStyle="1" w:styleId="xl52887">
    <w:name w:val="xl52887"/>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88">
    <w:name w:val="xl52888"/>
    <w:basedOn w:val="a"/>
    <w:rsid w:val="004F40E8"/>
    <w:pPr>
      <w:pBdr>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89">
    <w:name w:val="xl52889"/>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90">
    <w:name w:val="xl52890"/>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91">
    <w:name w:val="xl52891"/>
    <w:basedOn w:val="a"/>
    <w:rsid w:val="004F40E8"/>
    <w:pPr>
      <w:pBdr>
        <w:righ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92">
    <w:name w:val="xl52892"/>
    <w:basedOn w:val="a"/>
    <w:rsid w:val="004F40E8"/>
    <w:pPr>
      <w:pBdr>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93">
    <w:name w:val="xl52893"/>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94">
    <w:name w:val="xl52894"/>
    <w:basedOn w:val="a"/>
    <w:rsid w:val="004F40E8"/>
    <w:pPr>
      <w:pBdr>
        <w:righ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895">
    <w:name w:val="xl52895"/>
    <w:basedOn w:val="a"/>
    <w:rsid w:val="004F40E8"/>
    <w:pPr>
      <w:pBdr>
        <w:righ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896">
    <w:name w:val="xl52896"/>
    <w:basedOn w:val="a"/>
    <w:rsid w:val="004F40E8"/>
    <w:pPr>
      <w:pBdr>
        <w:right w:val="single" w:sz="4" w:space="0" w:color="auto"/>
      </w:pBdr>
      <w:spacing w:before="100" w:beforeAutospacing="1" w:after="100" w:afterAutospacing="1"/>
      <w:jc w:val="center"/>
    </w:pPr>
    <w:rPr>
      <w:rFonts w:ascii="Segoe UI" w:hAnsi="Segoe UI" w:cs="Segoe UI"/>
      <w:sz w:val="16"/>
      <w:szCs w:val="16"/>
    </w:rPr>
  </w:style>
  <w:style w:type="paragraph" w:customStyle="1" w:styleId="xl52897">
    <w:name w:val="xl52897"/>
    <w:basedOn w:val="a"/>
    <w:rsid w:val="004F40E8"/>
    <w:pPr>
      <w:pBdr>
        <w:right w:val="single" w:sz="4" w:space="0" w:color="auto"/>
      </w:pBdr>
      <w:spacing w:before="100" w:beforeAutospacing="1" w:after="100" w:afterAutospacing="1"/>
      <w:jc w:val="center"/>
    </w:pPr>
    <w:rPr>
      <w:rFonts w:ascii="Segoe UI" w:hAnsi="Segoe UI" w:cs="Segoe UI"/>
      <w:b/>
      <w:bCs/>
      <w:sz w:val="16"/>
      <w:szCs w:val="16"/>
    </w:rPr>
  </w:style>
  <w:style w:type="paragraph" w:customStyle="1" w:styleId="xl52898">
    <w:name w:val="xl52898"/>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99">
    <w:name w:val="xl52899"/>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00">
    <w:name w:val="xl52900"/>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01">
    <w:name w:val="xl52901"/>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02">
    <w:name w:val="xl52902"/>
    <w:basedOn w:val="a"/>
    <w:rsid w:val="004F40E8"/>
    <w:pPr>
      <w:pBdr>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03">
    <w:name w:val="xl52903"/>
    <w:basedOn w:val="a"/>
    <w:rsid w:val="004F40E8"/>
    <w:pPr>
      <w:pBdr>
        <w:lef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04">
    <w:name w:val="xl52904"/>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05">
    <w:name w:val="xl52905"/>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06">
    <w:name w:val="xl52906"/>
    <w:basedOn w:val="a"/>
    <w:rsid w:val="004F40E8"/>
    <w:pPr>
      <w:pBdr>
        <w:left w:val="single" w:sz="8"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907">
    <w:name w:val="xl52907"/>
    <w:basedOn w:val="a"/>
    <w:rsid w:val="004F40E8"/>
    <w:pPr>
      <w:pBdr>
        <w:lef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08">
    <w:name w:val="xl52908"/>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09">
    <w:name w:val="xl52909"/>
    <w:basedOn w:val="a"/>
    <w:rsid w:val="004F40E8"/>
    <w:pPr>
      <w:pBdr>
        <w:left w:val="single" w:sz="8"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10">
    <w:name w:val="xl52910"/>
    <w:basedOn w:val="a"/>
    <w:rsid w:val="004F40E8"/>
    <w:pPr>
      <w:pBdr>
        <w:lef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11">
    <w:name w:val="xl52911"/>
    <w:basedOn w:val="a"/>
    <w:rsid w:val="004F40E8"/>
    <w:pPr>
      <w:pBdr>
        <w:left w:val="single" w:sz="8" w:space="0" w:color="auto"/>
      </w:pBdr>
      <w:spacing w:before="100" w:beforeAutospacing="1" w:after="100" w:afterAutospacing="1"/>
      <w:jc w:val="center"/>
    </w:pPr>
    <w:rPr>
      <w:rFonts w:ascii="Segoe UI" w:hAnsi="Segoe UI" w:cs="Segoe UI"/>
      <w:sz w:val="16"/>
      <w:szCs w:val="16"/>
    </w:rPr>
  </w:style>
  <w:style w:type="paragraph" w:customStyle="1" w:styleId="xl52912">
    <w:name w:val="xl52912"/>
    <w:basedOn w:val="a"/>
    <w:rsid w:val="004F40E8"/>
    <w:pPr>
      <w:pBdr>
        <w:left w:val="single" w:sz="8" w:space="0" w:color="auto"/>
      </w:pBdr>
      <w:spacing w:before="100" w:beforeAutospacing="1" w:after="100" w:afterAutospacing="1"/>
      <w:jc w:val="center"/>
    </w:pPr>
    <w:rPr>
      <w:rFonts w:ascii="Segoe UI" w:hAnsi="Segoe UI" w:cs="Segoe UI"/>
      <w:b/>
      <w:bCs/>
      <w:sz w:val="16"/>
      <w:szCs w:val="16"/>
    </w:rPr>
  </w:style>
  <w:style w:type="paragraph" w:customStyle="1" w:styleId="xl52913">
    <w:name w:val="xl52913"/>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14">
    <w:name w:val="xl52914"/>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15">
    <w:name w:val="xl52915"/>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16">
    <w:name w:val="xl52916"/>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17">
    <w:name w:val="xl52917"/>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18">
    <w:name w:val="xl52918"/>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19">
    <w:name w:val="xl52919"/>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20">
    <w:name w:val="xl52920"/>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921">
    <w:name w:val="xl52921"/>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22">
    <w:name w:val="xl52922"/>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23">
    <w:name w:val="xl52923"/>
    <w:basedOn w:val="a"/>
    <w:rsid w:val="004F40E8"/>
    <w:pPr>
      <w:pBdr>
        <w:left w:val="single" w:sz="8" w:space="0" w:color="auto"/>
        <w:righ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24">
    <w:name w:val="xl52924"/>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25">
    <w:name w:val="xl52925"/>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26">
    <w:name w:val="xl52926"/>
    <w:basedOn w:val="a"/>
    <w:rsid w:val="004F40E8"/>
    <w:pPr>
      <w:pBdr>
        <w:left w:val="single" w:sz="8" w:space="0" w:color="auto"/>
        <w:right w:val="single" w:sz="4" w:space="0" w:color="auto"/>
      </w:pBdr>
      <w:spacing w:before="100" w:beforeAutospacing="1" w:after="100" w:afterAutospacing="1"/>
      <w:jc w:val="center"/>
    </w:pPr>
    <w:rPr>
      <w:rFonts w:ascii="Segoe UI" w:hAnsi="Segoe UI" w:cs="Segoe UI"/>
      <w:sz w:val="16"/>
      <w:szCs w:val="16"/>
    </w:rPr>
  </w:style>
  <w:style w:type="paragraph" w:customStyle="1" w:styleId="xl52927">
    <w:name w:val="xl52927"/>
    <w:basedOn w:val="a"/>
    <w:rsid w:val="004F40E8"/>
    <w:pPr>
      <w:pBdr>
        <w:left w:val="single" w:sz="8" w:space="0" w:color="auto"/>
        <w:right w:val="single" w:sz="4" w:space="0" w:color="auto"/>
      </w:pBdr>
      <w:spacing w:before="100" w:beforeAutospacing="1" w:after="100" w:afterAutospacing="1"/>
      <w:jc w:val="center"/>
    </w:pPr>
    <w:rPr>
      <w:rFonts w:ascii="Segoe UI" w:hAnsi="Segoe UI" w:cs="Segoe UI"/>
      <w:b/>
      <w:bCs/>
      <w:sz w:val="16"/>
      <w:szCs w:val="16"/>
    </w:rPr>
  </w:style>
  <w:style w:type="paragraph" w:customStyle="1" w:styleId="xl52928">
    <w:name w:val="xl52928"/>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29">
    <w:name w:val="xl52929"/>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30">
    <w:name w:val="xl52930"/>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31">
    <w:name w:val="xl52931"/>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32">
    <w:name w:val="xl52932"/>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33">
    <w:name w:val="xl52933"/>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34">
    <w:name w:val="xl52934"/>
    <w:basedOn w:val="a"/>
    <w:rsid w:val="004F40E8"/>
    <w:pPr>
      <w:pBdr>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35">
    <w:name w:val="xl52935"/>
    <w:basedOn w:val="a"/>
    <w:rsid w:val="004F40E8"/>
    <w:pPr>
      <w:pBdr>
        <w:lef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36">
    <w:name w:val="xl52936"/>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37">
    <w:name w:val="xl52937"/>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38">
    <w:name w:val="xl52938"/>
    <w:basedOn w:val="a"/>
    <w:rsid w:val="004F40E8"/>
    <w:pPr>
      <w:pBdr>
        <w:lef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39">
    <w:name w:val="xl52939"/>
    <w:basedOn w:val="a"/>
    <w:rsid w:val="004F40E8"/>
    <w:pPr>
      <w:pBdr>
        <w:lef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40">
    <w:name w:val="xl52940"/>
    <w:basedOn w:val="a"/>
    <w:rsid w:val="004F40E8"/>
    <w:pPr>
      <w:pBdr>
        <w:left w:val="single" w:sz="4" w:space="0" w:color="auto"/>
      </w:pBdr>
      <w:spacing w:before="100" w:beforeAutospacing="1" w:after="100" w:afterAutospacing="1"/>
      <w:jc w:val="center"/>
    </w:pPr>
    <w:rPr>
      <w:rFonts w:ascii="Segoe UI" w:hAnsi="Segoe UI" w:cs="Segoe UI"/>
      <w:b/>
      <w:bCs/>
      <w:sz w:val="16"/>
      <w:szCs w:val="16"/>
    </w:rPr>
  </w:style>
  <w:style w:type="paragraph" w:customStyle="1" w:styleId="xl52941">
    <w:name w:val="xl52941"/>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42">
    <w:name w:val="xl52942"/>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43">
    <w:name w:val="xl52943"/>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44">
    <w:name w:val="xl52944"/>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45">
    <w:name w:val="xl52945"/>
    <w:basedOn w:val="a"/>
    <w:rsid w:val="004F40E8"/>
    <w:pPr>
      <w:pBdr>
        <w:lef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46">
    <w:name w:val="xl52946"/>
    <w:basedOn w:val="a"/>
    <w:rsid w:val="004F40E8"/>
    <w:pPr>
      <w:pBdr>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47">
    <w:name w:val="xl52947"/>
    <w:basedOn w:val="a"/>
    <w:rsid w:val="004F40E8"/>
    <w:pPr>
      <w:spacing w:before="100" w:beforeAutospacing="1" w:after="100" w:afterAutospacing="1"/>
      <w:jc w:val="center"/>
      <w:textAlignment w:val="center"/>
    </w:pPr>
    <w:rPr>
      <w:rFonts w:ascii="Segoe UI" w:hAnsi="Segoe UI" w:cs="Segoe UI"/>
      <w:sz w:val="16"/>
      <w:szCs w:val="16"/>
    </w:rPr>
  </w:style>
  <w:style w:type="paragraph" w:customStyle="1" w:styleId="xl52948">
    <w:name w:val="xl52948"/>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49">
    <w:name w:val="xl52949"/>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50">
    <w:name w:val="xl52950"/>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51">
    <w:name w:val="xl52951"/>
    <w:basedOn w:val="a"/>
    <w:rsid w:val="004F40E8"/>
    <w:pPr>
      <w:pBdr>
        <w:right w:val="single" w:sz="8"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52">
    <w:name w:val="xl52952"/>
    <w:basedOn w:val="a"/>
    <w:rsid w:val="004F40E8"/>
    <w:pPr>
      <w:pBdr>
        <w:right w:val="single" w:sz="8"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953">
    <w:name w:val="xl52953"/>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54">
    <w:name w:val="xl52954"/>
    <w:basedOn w:val="a"/>
    <w:rsid w:val="004F40E8"/>
    <w:pPr>
      <w:spacing w:before="100" w:beforeAutospacing="1" w:after="100" w:afterAutospacing="1"/>
      <w:jc w:val="center"/>
      <w:textAlignment w:val="center"/>
    </w:pPr>
    <w:rPr>
      <w:rFonts w:ascii="Segoe UI" w:hAnsi="Segoe UI" w:cs="Segoe UI"/>
      <w:b/>
      <w:bCs/>
      <w:sz w:val="16"/>
      <w:szCs w:val="16"/>
    </w:rPr>
  </w:style>
  <w:style w:type="paragraph" w:customStyle="1" w:styleId="xl52955">
    <w:name w:val="xl52955"/>
    <w:basedOn w:val="a"/>
    <w:rsid w:val="004F40E8"/>
    <w:pPr>
      <w:pBdr>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56">
    <w:name w:val="xl52956"/>
    <w:basedOn w:val="a"/>
    <w:rsid w:val="004F40E8"/>
    <w:pPr>
      <w:pBdr>
        <w:right w:val="single" w:sz="8" w:space="0" w:color="auto"/>
      </w:pBdr>
      <w:spacing w:before="100" w:beforeAutospacing="1" w:after="100" w:afterAutospacing="1"/>
      <w:jc w:val="center"/>
    </w:pPr>
    <w:rPr>
      <w:rFonts w:ascii="Segoe UI" w:hAnsi="Segoe UI" w:cs="Segoe UI"/>
      <w:sz w:val="16"/>
      <w:szCs w:val="16"/>
    </w:rPr>
  </w:style>
  <w:style w:type="paragraph" w:customStyle="1" w:styleId="xl52957">
    <w:name w:val="xl52957"/>
    <w:basedOn w:val="a"/>
    <w:rsid w:val="004F40E8"/>
    <w:pPr>
      <w:spacing w:before="100" w:beforeAutospacing="1" w:after="100" w:afterAutospacing="1"/>
      <w:jc w:val="center"/>
    </w:pPr>
    <w:rPr>
      <w:rFonts w:ascii="Segoe UI" w:hAnsi="Segoe UI" w:cs="Segoe UI"/>
      <w:sz w:val="16"/>
      <w:szCs w:val="16"/>
    </w:rPr>
  </w:style>
  <w:style w:type="paragraph" w:customStyle="1" w:styleId="xl52958">
    <w:name w:val="xl52958"/>
    <w:basedOn w:val="a"/>
    <w:rsid w:val="004F40E8"/>
    <w:pPr>
      <w:pBdr>
        <w:right w:val="single" w:sz="8" w:space="0" w:color="auto"/>
      </w:pBdr>
      <w:spacing w:before="100" w:beforeAutospacing="1" w:after="100" w:afterAutospacing="1"/>
      <w:jc w:val="center"/>
    </w:pPr>
    <w:rPr>
      <w:rFonts w:ascii="Segoe UI" w:hAnsi="Segoe UI" w:cs="Segoe UI"/>
      <w:b/>
      <w:bCs/>
      <w:sz w:val="16"/>
      <w:szCs w:val="16"/>
    </w:rPr>
  </w:style>
  <w:style w:type="paragraph" w:customStyle="1" w:styleId="xl52959">
    <w:name w:val="xl52959"/>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60">
    <w:name w:val="xl52960"/>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61">
    <w:name w:val="xl52961"/>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62">
    <w:name w:val="xl52962"/>
    <w:basedOn w:val="a"/>
    <w:rsid w:val="004F40E8"/>
    <w:pPr>
      <w:pBdr>
        <w:top w:val="single" w:sz="8" w:space="0" w:color="auto"/>
        <w:bottom w:val="single" w:sz="8" w:space="0" w:color="auto"/>
      </w:pBdr>
      <w:shd w:val="clear" w:color="000000" w:fill="A5A5A5"/>
      <w:spacing w:before="100" w:beforeAutospacing="1" w:after="100" w:afterAutospacing="1"/>
      <w:textAlignment w:val="center"/>
    </w:pPr>
    <w:rPr>
      <w:rFonts w:ascii="Segoe UI" w:hAnsi="Segoe UI" w:cs="Segoe UI"/>
      <w:sz w:val="16"/>
      <w:szCs w:val="16"/>
    </w:rPr>
  </w:style>
  <w:style w:type="paragraph" w:customStyle="1" w:styleId="xl52963">
    <w:name w:val="xl52963"/>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64">
    <w:name w:val="xl52964"/>
    <w:basedOn w:val="a"/>
    <w:rsid w:val="004F40E8"/>
    <w:pPr>
      <w:shd w:val="clear" w:color="000000" w:fill="FFFFFF"/>
      <w:spacing w:before="100" w:beforeAutospacing="1" w:after="100" w:afterAutospacing="1"/>
      <w:jc w:val="center"/>
    </w:pPr>
    <w:rPr>
      <w:rFonts w:ascii="Segoe UI" w:hAnsi="Segoe UI" w:cs="Segoe UI"/>
      <w:b/>
      <w:bCs/>
      <w:sz w:val="16"/>
      <w:szCs w:val="16"/>
    </w:rPr>
  </w:style>
  <w:style w:type="paragraph" w:customStyle="1" w:styleId="xl52965">
    <w:name w:val="xl52965"/>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66">
    <w:name w:val="xl52966"/>
    <w:basedOn w:val="a"/>
    <w:rsid w:val="004F40E8"/>
    <w:pPr>
      <w:spacing w:before="100" w:beforeAutospacing="1" w:after="100" w:afterAutospacing="1"/>
      <w:jc w:val="center"/>
      <w:textAlignment w:val="center"/>
    </w:pPr>
    <w:rPr>
      <w:rFonts w:ascii="Segoe UI" w:hAnsi="Segoe UI" w:cs="Segoe UI"/>
      <w:sz w:val="16"/>
      <w:szCs w:val="16"/>
    </w:rPr>
  </w:style>
  <w:style w:type="paragraph" w:customStyle="1" w:styleId="xl52967">
    <w:name w:val="xl52967"/>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68">
    <w:name w:val="xl52968"/>
    <w:basedOn w:val="a"/>
    <w:rsid w:val="004F40E8"/>
    <w:pP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69">
    <w:name w:val="xl52969"/>
    <w:basedOn w:val="a"/>
    <w:rsid w:val="004F40E8"/>
    <w:pPr>
      <w:spacing w:before="100" w:beforeAutospacing="1" w:after="100" w:afterAutospacing="1"/>
      <w:jc w:val="center"/>
    </w:pPr>
    <w:rPr>
      <w:rFonts w:ascii="Segoe UI" w:hAnsi="Segoe UI" w:cs="Segoe UI"/>
      <w:b/>
      <w:bCs/>
      <w:sz w:val="16"/>
      <w:szCs w:val="16"/>
    </w:rPr>
  </w:style>
  <w:style w:type="paragraph" w:customStyle="1" w:styleId="xl52970">
    <w:name w:val="xl52970"/>
    <w:basedOn w:val="a"/>
    <w:rsid w:val="004F40E8"/>
    <w:pP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71">
    <w:name w:val="xl52971"/>
    <w:basedOn w:val="a"/>
    <w:rsid w:val="004F40E8"/>
    <w:pPr>
      <w:shd w:val="clear" w:color="000000" w:fill="FFFFFF"/>
      <w:spacing w:before="100" w:beforeAutospacing="1" w:after="100" w:afterAutospacing="1"/>
      <w:jc w:val="center"/>
    </w:pPr>
    <w:rPr>
      <w:rFonts w:ascii="Segoe UI" w:hAnsi="Segoe UI" w:cs="Segoe UI"/>
      <w:b/>
      <w:bCs/>
      <w:sz w:val="16"/>
      <w:szCs w:val="16"/>
    </w:rPr>
  </w:style>
  <w:style w:type="paragraph" w:customStyle="1" w:styleId="xl52972">
    <w:name w:val="xl52972"/>
    <w:basedOn w:val="a"/>
    <w:rsid w:val="004F40E8"/>
    <w:pP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73">
    <w:name w:val="xl52973"/>
    <w:basedOn w:val="a"/>
    <w:rsid w:val="004F40E8"/>
    <w:pPr>
      <w:pBdr>
        <w:bottom w:val="single" w:sz="8" w:space="0" w:color="auto"/>
      </w:pBdr>
      <w:shd w:val="clear" w:color="000000" w:fill="A5A5A5"/>
      <w:spacing w:before="100" w:beforeAutospacing="1" w:after="100" w:afterAutospacing="1"/>
      <w:textAlignment w:val="center"/>
    </w:pPr>
    <w:rPr>
      <w:rFonts w:ascii="Segoe UI" w:hAnsi="Segoe UI" w:cs="Segoe UI"/>
      <w:sz w:val="16"/>
      <w:szCs w:val="16"/>
    </w:rPr>
  </w:style>
  <w:style w:type="paragraph" w:customStyle="1" w:styleId="xl52974">
    <w:name w:val="xl52974"/>
    <w:basedOn w:val="a"/>
    <w:rsid w:val="004F40E8"/>
    <w:pPr>
      <w:spacing w:before="100" w:beforeAutospacing="1" w:after="100" w:afterAutospacing="1"/>
      <w:jc w:val="center"/>
      <w:textAlignment w:val="center"/>
    </w:pPr>
    <w:rPr>
      <w:rFonts w:ascii="Segoe UI" w:hAnsi="Segoe UI" w:cs="Segoe UI"/>
      <w:color w:val="FFFFFF"/>
      <w:sz w:val="16"/>
      <w:szCs w:val="16"/>
    </w:rPr>
  </w:style>
  <w:style w:type="paragraph" w:customStyle="1" w:styleId="xl52975">
    <w:name w:val="xl52975"/>
    <w:basedOn w:val="a"/>
    <w:rsid w:val="004F40E8"/>
    <w:pPr>
      <w:pBdr>
        <w:top w:val="single" w:sz="8" w:space="0" w:color="auto"/>
        <w:left w:val="single" w:sz="8"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76">
    <w:name w:val="xl52976"/>
    <w:basedOn w:val="a"/>
    <w:rsid w:val="004F40E8"/>
    <w:pPr>
      <w:pBdr>
        <w:top w:val="single" w:sz="8" w:space="0" w:color="auto"/>
        <w:left w:val="single" w:sz="4"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77">
    <w:name w:val="xl52977"/>
    <w:basedOn w:val="a"/>
    <w:rsid w:val="004F40E8"/>
    <w:pPr>
      <w:pBdr>
        <w:top w:val="single" w:sz="8" w:space="0" w:color="auto"/>
        <w:left w:val="single" w:sz="4"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78">
    <w:name w:val="xl52978"/>
    <w:basedOn w:val="a"/>
    <w:rsid w:val="004F40E8"/>
    <w:pPr>
      <w:pBdr>
        <w:top w:val="single" w:sz="8" w:space="0" w:color="auto"/>
        <w:left w:val="single" w:sz="4"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79">
    <w:name w:val="xl52979"/>
    <w:basedOn w:val="a"/>
    <w:rsid w:val="004F40E8"/>
    <w:pPr>
      <w:pBdr>
        <w:top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80">
    <w:name w:val="xl52980"/>
    <w:basedOn w:val="a"/>
    <w:rsid w:val="004F40E8"/>
    <w:pPr>
      <w:pBdr>
        <w:top w:val="single" w:sz="8" w:space="0" w:color="auto"/>
        <w:left w:val="single" w:sz="4"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81">
    <w:name w:val="xl52981"/>
    <w:basedOn w:val="a"/>
    <w:rsid w:val="004F40E8"/>
    <w:pPr>
      <w:pBdr>
        <w:top w:val="single" w:sz="8"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82">
    <w:name w:val="xl52982"/>
    <w:basedOn w:val="a"/>
    <w:rsid w:val="004F40E8"/>
    <w:pPr>
      <w:pBdr>
        <w:top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83">
    <w:name w:val="xl52983"/>
    <w:basedOn w:val="a"/>
    <w:rsid w:val="004F40E8"/>
    <w:pPr>
      <w:pBdr>
        <w:right w:val="single" w:sz="8"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84">
    <w:name w:val="xl52984"/>
    <w:basedOn w:val="a"/>
    <w:rsid w:val="004F40E8"/>
    <w:pPr>
      <w:pBdr>
        <w:left w:val="single" w:sz="8" w:space="0" w:color="auto"/>
      </w:pBdr>
      <w:shd w:val="clear" w:color="000000" w:fill="A5A5A5"/>
      <w:spacing w:before="100" w:beforeAutospacing="1" w:after="100" w:afterAutospacing="1"/>
    </w:pPr>
    <w:rPr>
      <w:rFonts w:ascii="Segoe UI" w:hAnsi="Segoe UI" w:cs="Segoe UI"/>
      <w:b/>
      <w:bCs/>
      <w:sz w:val="16"/>
      <w:szCs w:val="16"/>
    </w:rPr>
  </w:style>
  <w:style w:type="paragraph" w:customStyle="1" w:styleId="xl52985">
    <w:name w:val="xl52985"/>
    <w:basedOn w:val="a"/>
    <w:rsid w:val="004F40E8"/>
    <w:pPr>
      <w:pBdr>
        <w:lef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6">
    <w:name w:val="xl52986"/>
    <w:basedOn w:val="a"/>
    <w:rsid w:val="004F40E8"/>
    <w:pPr>
      <w:pBdr>
        <w:left w:val="single" w:sz="8"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7">
    <w:name w:val="xl52987"/>
    <w:basedOn w:val="a"/>
    <w:rsid w:val="004F40E8"/>
    <w:pPr>
      <w:pBdr>
        <w:lef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8">
    <w:name w:val="xl52988"/>
    <w:basedOn w:val="a"/>
    <w:rsid w:val="004F40E8"/>
    <w:pPr>
      <w:pBdr>
        <w:left w:val="single" w:sz="4"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9">
    <w:name w:val="xl52989"/>
    <w:basedOn w:val="a"/>
    <w:rsid w:val="004F40E8"/>
    <w:pPr>
      <w:pBdr>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0">
    <w:name w:val="xl52990"/>
    <w:basedOn w:val="a"/>
    <w:rsid w:val="004F40E8"/>
    <w:pPr>
      <w:pBdr>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1">
    <w:name w:val="xl52991"/>
    <w:basedOn w:val="a"/>
    <w:rsid w:val="004F40E8"/>
    <w:pP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2">
    <w:name w:val="xl52992"/>
    <w:basedOn w:val="a"/>
    <w:rsid w:val="004F40E8"/>
    <w:pPr>
      <w:pBdr>
        <w:left w:val="single" w:sz="4" w:space="0" w:color="auto"/>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3">
    <w:name w:val="xl52993"/>
    <w:basedOn w:val="a"/>
    <w:rsid w:val="004F40E8"/>
    <w:pPr>
      <w:pBdr>
        <w:lef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4">
    <w:name w:val="xl52994"/>
    <w:basedOn w:val="a"/>
    <w:rsid w:val="004F40E8"/>
    <w:pPr>
      <w:pBdr>
        <w:left w:val="single" w:sz="8"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5">
    <w:name w:val="xl52995"/>
    <w:basedOn w:val="a"/>
    <w:rsid w:val="004F40E8"/>
    <w:pPr>
      <w:pBdr>
        <w:lef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6">
    <w:name w:val="xl52996"/>
    <w:basedOn w:val="a"/>
    <w:rsid w:val="004F40E8"/>
    <w:pPr>
      <w:pBdr>
        <w:left w:val="single" w:sz="4"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7">
    <w:name w:val="xl52997"/>
    <w:basedOn w:val="a"/>
    <w:rsid w:val="004F40E8"/>
    <w:pPr>
      <w:pBdr>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8">
    <w:name w:val="xl52998"/>
    <w:basedOn w:val="a"/>
    <w:rsid w:val="004F40E8"/>
    <w:pPr>
      <w:pBdr>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9">
    <w:name w:val="xl52999"/>
    <w:basedOn w:val="a"/>
    <w:rsid w:val="004F40E8"/>
    <w:pP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0">
    <w:name w:val="xl53000"/>
    <w:basedOn w:val="a"/>
    <w:rsid w:val="004F40E8"/>
    <w:pPr>
      <w:pBdr>
        <w:left w:val="single" w:sz="4" w:space="0" w:color="auto"/>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1">
    <w:name w:val="xl53001"/>
    <w:basedOn w:val="a"/>
    <w:rsid w:val="004F40E8"/>
    <w:pPr>
      <w:pBdr>
        <w:lef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2">
    <w:name w:val="xl53002"/>
    <w:basedOn w:val="a"/>
    <w:rsid w:val="004F40E8"/>
    <w:pPr>
      <w:pBdr>
        <w:left w:val="single" w:sz="8"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3">
    <w:name w:val="xl53003"/>
    <w:basedOn w:val="a"/>
    <w:rsid w:val="004F40E8"/>
    <w:pPr>
      <w:pBdr>
        <w:lef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4">
    <w:name w:val="xl53004"/>
    <w:basedOn w:val="a"/>
    <w:rsid w:val="004F40E8"/>
    <w:pPr>
      <w:pBdr>
        <w:left w:val="single" w:sz="4"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5">
    <w:name w:val="xl53005"/>
    <w:basedOn w:val="a"/>
    <w:rsid w:val="004F40E8"/>
    <w:pPr>
      <w:pBdr>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6">
    <w:name w:val="xl53006"/>
    <w:basedOn w:val="a"/>
    <w:rsid w:val="004F40E8"/>
    <w:pPr>
      <w:pBdr>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7">
    <w:name w:val="xl53007"/>
    <w:basedOn w:val="a"/>
    <w:rsid w:val="004F40E8"/>
    <w:pP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8">
    <w:name w:val="xl53008"/>
    <w:basedOn w:val="a"/>
    <w:rsid w:val="004F40E8"/>
    <w:pPr>
      <w:pBdr>
        <w:left w:val="single" w:sz="4" w:space="0" w:color="auto"/>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9">
    <w:name w:val="xl53009"/>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0">
    <w:name w:val="xl53010"/>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1">
    <w:name w:val="xl53011"/>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2">
    <w:name w:val="xl53012"/>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3">
    <w:name w:val="xl53013"/>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4">
    <w:name w:val="xl53014"/>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5">
    <w:name w:val="xl53015"/>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6">
    <w:name w:val="xl53016"/>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7">
    <w:name w:val="xl53017"/>
    <w:basedOn w:val="a"/>
    <w:rsid w:val="004F40E8"/>
    <w:pPr>
      <w:pBdr>
        <w:left w:val="single" w:sz="8" w:space="0" w:color="auto"/>
        <w:bottom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3018">
    <w:name w:val="xl53018"/>
    <w:basedOn w:val="a"/>
    <w:rsid w:val="004F40E8"/>
    <w:pPr>
      <w:pBdr>
        <w:left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9">
    <w:name w:val="xl53019"/>
    <w:basedOn w:val="a"/>
    <w:rsid w:val="004F40E8"/>
    <w:pPr>
      <w:pBdr>
        <w:left w:val="single" w:sz="8"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0">
    <w:name w:val="xl53020"/>
    <w:basedOn w:val="a"/>
    <w:rsid w:val="004F40E8"/>
    <w:pPr>
      <w:pBdr>
        <w:left w:val="single" w:sz="4"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1">
    <w:name w:val="xl53021"/>
    <w:basedOn w:val="a"/>
    <w:rsid w:val="004F40E8"/>
    <w:pPr>
      <w:pBdr>
        <w:left w:val="single" w:sz="4"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2">
    <w:name w:val="xl53022"/>
    <w:basedOn w:val="a"/>
    <w:rsid w:val="004F40E8"/>
    <w:pPr>
      <w:pBdr>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3">
    <w:name w:val="xl53023"/>
    <w:basedOn w:val="a"/>
    <w:rsid w:val="004F40E8"/>
    <w:pPr>
      <w:pBdr>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4">
    <w:name w:val="xl53024"/>
    <w:basedOn w:val="a"/>
    <w:rsid w:val="004F40E8"/>
    <w:pPr>
      <w:pBdr>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5">
    <w:name w:val="xl53025"/>
    <w:basedOn w:val="a"/>
    <w:rsid w:val="004F40E8"/>
    <w:pPr>
      <w:pBdr>
        <w:left w:val="single" w:sz="4"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6">
    <w:name w:val="xl53026"/>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3027">
    <w:name w:val="xl53027"/>
    <w:basedOn w:val="a"/>
    <w:rsid w:val="004F40E8"/>
    <w:pPr>
      <w:pBdr>
        <w:left w:val="single" w:sz="4" w:space="0" w:color="auto"/>
        <w:right w:val="single" w:sz="4" w:space="0" w:color="auto"/>
      </w:pBdr>
      <w:spacing w:before="100" w:beforeAutospacing="1" w:after="100" w:afterAutospacing="1"/>
      <w:textAlignment w:val="center"/>
    </w:pPr>
    <w:rPr>
      <w:rFonts w:ascii="Segoe UI" w:hAnsi="Segoe UI" w:cs="Segoe UI"/>
      <w:sz w:val="16"/>
      <w:szCs w:val="16"/>
    </w:rPr>
  </w:style>
  <w:style w:type="paragraph" w:customStyle="1" w:styleId="xl53028">
    <w:name w:val="xl53028"/>
    <w:basedOn w:val="a"/>
    <w:rsid w:val="004F40E8"/>
    <w:pPr>
      <w:pBdr>
        <w:left w:val="single" w:sz="8" w:space="0" w:color="auto"/>
      </w:pBdr>
      <w:spacing w:before="100" w:beforeAutospacing="1" w:after="100" w:afterAutospacing="1"/>
      <w:textAlignment w:val="center"/>
    </w:pPr>
    <w:rPr>
      <w:rFonts w:ascii="Segoe UI" w:hAnsi="Segoe UI" w:cs="Segoe UI"/>
      <w:color w:val="FFFFFF"/>
      <w:sz w:val="16"/>
      <w:szCs w:val="16"/>
    </w:rPr>
  </w:style>
  <w:style w:type="paragraph" w:customStyle="1" w:styleId="xl53029">
    <w:name w:val="xl53029"/>
    <w:basedOn w:val="a"/>
    <w:rsid w:val="004F40E8"/>
    <w:pPr>
      <w:pBdr>
        <w:left w:val="single" w:sz="8"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3030">
    <w:name w:val="xl53030"/>
    <w:basedOn w:val="a"/>
    <w:rsid w:val="004F40E8"/>
    <w:pPr>
      <w:spacing w:before="100" w:beforeAutospacing="1" w:after="100" w:afterAutospacing="1"/>
      <w:textAlignment w:val="center"/>
    </w:pPr>
    <w:rPr>
      <w:rFonts w:ascii="Segoe UI" w:hAnsi="Segoe UI" w:cs="Segoe UI"/>
      <w:color w:val="FFFFFF"/>
      <w:sz w:val="16"/>
      <w:szCs w:val="16"/>
    </w:rPr>
  </w:style>
  <w:style w:type="paragraph" w:customStyle="1" w:styleId="xl53031">
    <w:name w:val="xl53031"/>
    <w:basedOn w:val="a"/>
    <w:rsid w:val="004F40E8"/>
    <w:pPr>
      <w:pBdr>
        <w:top w:val="single" w:sz="8" w:space="0" w:color="auto"/>
        <w:left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32">
    <w:name w:val="xl53032"/>
    <w:basedOn w:val="a"/>
    <w:rsid w:val="004F40E8"/>
    <w:pPr>
      <w:pBdr>
        <w:top w:val="single" w:sz="8" w:space="0" w:color="auto"/>
        <w:left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33">
    <w:name w:val="xl53033"/>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color w:val="FF0000"/>
      <w:sz w:val="16"/>
      <w:szCs w:val="16"/>
    </w:rPr>
  </w:style>
  <w:style w:type="paragraph" w:customStyle="1" w:styleId="xl53034">
    <w:name w:val="xl53034"/>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color w:val="FF0000"/>
      <w:sz w:val="16"/>
      <w:szCs w:val="16"/>
    </w:rPr>
  </w:style>
  <w:style w:type="paragraph" w:customStyle="1" w:styleId="xl53035">
    <w:name w:val="xl53035"/>
    <w:basedOn w:val="a"/>
    <w:rsid w:val="004F40E8"/>
    <w:pPr>
      <w:pBdr>
        <w:top w:val="single" w:sz="8" w:space="0" w:color="auto"/>
      </w:pBdr>
      <w:shd w:val="clear" w:color="000000" w:fill="272727"/>
      <w:spacing w:before="100" w:beforeAutospacing="1" w:after="100" w:afterAutospacing="1"/>
      <w:textAlignment w:val="center"/>
    </w:pPr>
    <w:rPr>
      <w:rFonts w:ascii="Segoe UI" w:hAnsi="Segoe UI" w:cs="Segoe UI"/>
      <w:b/>
      <w:bCs/>
      <w:color w:val="FFFFFF"/>
      <w:sz w:val="16"/>
      <w:szCs w:val="16"/>
    </w:rPr>
  </w:style>
  <w:style w:type="paragraph" w:customStyle="1" w:styleId="xl53036">
    <w:name w:val="xl53036"/>
    <w:basedOn w:val="a"/>
    <w:rsid w:val="004F40E8"/>
    <w:pPr>
      <w:shd w:val="clear" w:color="000000" w:fill="272727"/>
      <w:spacing w:before="100" w:beforeAutospacing="1" w:after="100" w:afterAutospacing="1"/>
      <w:textAlignment w:val="center"/>
    </w:pPr>
    <w:rPr>
      <w:rFonts w:ascii="Segoe UI" w:hAnsi="Segoe UI" w:cs="Segoe UI"/>
      <w:b/>
      <w:bCs/>
      <w:color w:val="FFFFFF"/>
      <w:sz w:val="16"/>
      <w:szCs w:val="16"/>
    </w:rPr>
  </w:style>
  <w:style w:type="paragraph" w:customStyle="1" w:styleId="xl53037">
    <w:name w:val="xl53037"/>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3038">
    <w:name w:val="xl53038"/>
    <w:basedOn w:val="a"/>
    <w:rsid w:val="004F40E8"/>
    <w:pPr>
      <w:pBdr>
        <w:top w:val="single" w:sz="8" w:space="0" w:color="auto"/>
        <w:left w:val="single" w:sz="8" w:space="0" w:color="auto"/>
      </w:pBd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39">
    <w:name w:val="xl53039"/>
    <w:basedOn w:val="a"/>
    <w:rsid w:val="004F40E8"/>
    <w:pPr>
      <w:pBdr>
        <w:top w:val="single" w:sz="8" w:space="0" w:color="auto"/>
      </w:pBd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40">
    <w:name w:val="xl53040"/>
    <w:basedOn w:val="a"/>
    <w:rsid w:val="004F40E8"/>
    <w:pPr>
      <w:pBdr>
        <w:left w:val="single" w:sz="8" w:space="0" w:color="auto"/>
      </w:pBd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41">
    <w:name w:val="xl53041"/>
    <w:basedOn w:val="a"/>
    <w:rsid w:val="004F40E8"/>
    <w:pP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42">
    <w:name w:val="xl53042"/>
    <w:basedOn w:val="a"/>
    <w:rsid w:val="004F40E8"/>
    <w:pPr>
      <w:pBdr>
        <w:top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43">
    <w:name w:val="xl53043"/>
    <w:basedOn w:val="a"/>
    <w:rsid w:val="004F40E8"/>
    <w:pPr>
      <w:pBdr>
        <w:top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44">
    <w:name w:val="xl53044"/>
    <w:basedOn w:val="a"/>
    <w:rsid w:val="004F40E8"/>
    <w:pPr>
      <w:pBdr>
        <w:top w:val="single" w:sz="8" w:space="0" w:color="auto"/>
        <w:left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sz w:val="16"/>
      <w:szCs w:val="16"/>
    </w:rPr>
  </w:style>
  <w:style w:type="paragraph" w:customStyle="1" w:styleId="xl53045">
    <w:name w:val="xl53045"/>
    <w:basedOn w:val="a"/>
    <w:rsid w:val="004F40E8"/>
    <w:pPr>
      <w:pBdr>
        <w:left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sz w:val="16"/>
      <w:szCs w:val="16"/>
    </w:rPr>
  </w:style>
  <w:style w:type="paragraph" w:customStyle="1" w:styleId="xl53046">
    <w:name w:val="xl53046"/>
    <w:basedOn w:val="a"/>
    <w:rsid w:val="004F40E8"/>
    <w:pPr>
      <w:pBdr>
        <w:bottom w:val="single" w:sz="8" w:space="0" w:color="auto"/>
      </w:pBdr>
      <w:spacing w:before="100" w:beforeAutospacing="1" w:after="100" w:afterAutospacing="1"/>
      <w:textAlignment w:val="center"/>
    </w:pPr>
    <w:rPr>
      <w:rFonts w:ascii="Segoe UI" w:hAnsi="Segoe UI" w:cs="Segoe UI"/>
      <w:i/>
      <w:iCs/>
      <w:sz w:val="16"/>
      <w:szCs w:val="16"/>
    </w:rPr>
  </w:style>
  <w:style w:type="paragraph" w:customStyle="1" w:styleId="xl53047">
    <w:name w:val="xl53047"/>
    <w:basedOn w:val="a"/>
    <w:rsid w:val="004F40E8"/>
    <w:pPr>
      <w:pBdr>
        <w:bottom w:val="single" w:sz="8" w:space="0" w:color="auto"/>
      </w:pBdr>
      <w:spacing w:before="100" w:beforeAutospacing="1" w:after="100" w:afterAutospacing="1"/>
      <w:jc w:val="center"/>
      <w:textAlignment w:val="center"/>
    </w:pPr>
    <w:rPr>
      <w:rFonts w:ascii="Segoe UI" w:hAnsi="Segoe UI" w:cs="Segoe UI"/>
      <w:i/>
      <w:iCs/>
      <w:sz w:val="16"/>
      <w:szCs w:val="16"/>
    </w:rPr>
  </w:style>
  <w:style w:type="paragraph" w:customStyle="1" w:styleId="af9">
    <w:name w:val="Τ"/>
    <w:basedOn w:val="a"/>
    <w:rsid w:val="004F40E8"/>
    <w:pPr>
      <w:spacing w:before="120" w:line="360" w:lineRule="auto"/>
    </w:pPr>
    <w:rPr>
      <w:rFonts w:cs="Arial"/>
      <w:sz w:val="22"/>
      <w:szCs w:val="22"/>
    </w:rPr>
  </w:style>
  <w:style w:type="character" w:customStyle="1" w:styleId="Char9">
    <w:name w:val="Χωρίς διάστιχο Char"/>
    <w:link w:val="af2"/>
    <w:uiPriority w:val="1"/>
    <w:rsid w:val="003B594D"/>
    <w:rPr>
      <w:rFonts w:ascii="Calibri" w:eastAsia="Calibri" w:hAnsi="Calibri"/>
      <w:sz w:val="22"/>
      <w:szCs w:val="22"/>
      <w:lang w:val="el-GR" w:eastAsia="en-US" w:bidi="ar-SA"/>
    </w:rPr>
  </w:style>
  <w:style w:type="paragraph" w:customStyle="1" w:styleId="Body">
    <w:name w:val="Body"/>
    <w:rsid w:val="002D7DE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US"/>
    </w:rPr>
  </w:style>
  <w:style w:type="character" w:styleId="afa">
    <w:name w:val="Emphasis"/>
    <w:uiPriority w:val="20"/>
    <w:qFormat/>
    <w:rsid w:val="00261EA1"/>
    <w:rPr>
      <w:i/>
      <w:iCs/>
    </w:rPr>
  </w:style>
  <w:style w:type="character" w:customStyle="1" w:styleId="1Char">
    <w:name w:val="Επικεφαλίδα 1 Char"/>
    <w:aliases w:val="1_ΚΕΦΑΛΑΙΟ Char"/>
    <w:link w:val="1"/>
    <w:rsid w:val="002E4CC0"/>
    <w:rPr>
      <w:rFonts w:ascii="Arial" w:hAnsi="Arial"/>
      <w:b/>
      <w:bCs/>
      <w:color w:val="2F5496"/>
      <w:kern w:val="32"/>
      <w:sz w:val="28"/>
      <w:szCs w:val="32"/>
      <w:lang w:val="x-none" w:eastAsia="x-none"/>
    </w:rPr>
  </w:style>
  <w:style w:type="character" w:customStyle="1" w:styleId="2Char">
    <w:name w:val="Επικεφαλίδα 2 Char"/>
    <w:aliases w:val="2_ΘΕΜΑ ΚΕΦΑΛΑΙΟΥ Char"/>
    <w:link w:val="2"/>
    <w:rsid w:val="006A035C"/>
    <w:rPr>
      <w:rFonts w:ascii="Arial" w:hAnsi="Arial"/>
      <w:b/>
      <w:bCs/>
      <w:iCs/>
      <w:color w:val="2F5496"/>
      <w:sz w:val="28"/>
      <w:szCs w:val="28"/>
      <w:lang w:val="x-none" w:eastAsia="x-none"/>
    </w:rPr>
  </w:style>
  <w:style w:type="character" w:customStyle="1" w:styleId="3Char">
    <w:name w:val="Επικεφαλίδα 3 Char"/>
    <w:aliases w:val="3_1.1. Char"/>
    <w:link w:val="3"/>
    <w:rsid w:val="00656E67"/>
    <w:rPr>
      <w:rFonts w:ascii="Arial" w:hAnsi="Arial"/>
      <w:b/>
      <w:bCs/>
      <w:color w:val="2F5496"/>
      <w:sz w:val="24"/>
      <w:szCs w:val="26"/>
      <w:shd w:val="clear" w:color="auto" w:fill="D5DCE4"/>
      <w:lang w:val="x-none" w:eastAsia="x-none"/>
    </w:rPr>
  </w:style>
  <w:style w:type="character" w:customStyle="1" w:styleId="4Char">
    <w:name w:val="Επικεφαλίδα 4 Char"/>
    <w:aliases w:val="4_1.1.1. Char"/>
    <w:link w:val="4"/>
    <w:rsid w:val="00CB2E0A"/>
    <w:rPr>
      <w:rFonts w:ascii="Arial" w:hAnsi="Arial"/>
      <w:b/>
      <w:color w:val="2F5496"/>
      <w:sz w:val="22"/>
      <w:szCs w:val="22"/>
      <w:lang w:val="x-none" w:eastAsia="x-none"/>
    </w:rPr>
  </w:style>
  <w:style w:type="character" w:customStyle="1" w:styleId="5Char">
    <w:name w:val="Επικεφαλίδα 5 Char"/>
    <w:link w:val="5"/>
    <w:rsid w:val="00476DAC"/>
    <w:rPr>
      <w:rFonts w:ascii="Arial" w:hAnsi="Arial"/>
      <w:b/>
      <w:color w:val="2F5496"/>
      <w:szCs w:val="22"/>
      <w:lang w:val="x-none" w:eastAsia="x-none"/>
    </w:rPr>
  </w:style>
  <w:style w:type="character" w:customStyle="1" w:styleId="6Char">
    <w:name w:val="Επικεφαλίδα 6 Char"/>
    <w:link w:val="6"/>
    <w:rsid w:val="00CD2D8A"/>
    <w:rPr>
      <w:rFonts w:ascii="Arial Narrow" w:hAnsi="Arial Narrow"/>
      <w:b/>
      <w:sz w:val="22"/>
      <w:szCs w:val="22"/>
    </w:rPr>
  </w:style>
  <w:style w:type="character" w:customStyle="1" w:styleId="7Char">
    <w:name w:val="Επικεφαλίδα 7 Char"/>
    <w:link w:val="7"/>
    <w:rsid w:val="00CD2D8A"/>
    <w:rPr>
      <w:rFonts w:ascii="Arial Narrow" w:hAnsi="Arial Narrow"/>
      <w:b/>
      <w:i/>
      <w:sz w:val="22"/>
      <w:szCs w:val="22"/>
    </w:rPr>
  </w:style>
  <w:style w:type="character" w:customStyle="1" w:styleId="8Char">
    <w:name w:val="Επικεφαλίδα 8 Char"/>
    <w:link w:val="8"/>
    <w:rsid w:val="00CD2D8A"/>
    <w:rPr>
      <w:rFonts w:ascii="Arial Narrow" w:hAnsi="Arial Narrow"/>
      <w:b/>
      <w:sz w:val="16"/>
      <w:szCs w:val="16"/>
    </w:rPr>
  </w:style>
  <w:style w:type="character" w:customStyle="1" w:styleId="9Char">
    <w:name w:val="Επικεφαλίδα 9 Char"/>
    <w:link w:val="9"/>
    <w:rsid w:val="00CD2D8A"/>
    <w:rPr>
      <w:rFonts w:ascii="Arial Narrow" w:hAnsi="Arial Narrow"/>
      <w:b/>
      <w:color w:val="000080"/>
      <w:sz w:val="24"/>
      <w:szCs w:val="22"/>
    </w:rPr>
  </w:style>
  <w:style w:type="character" w:customStyle="1" w:styleId="Char">
    <w:name w:val="Κεφαλίδα Char"/>
    <w:link w:val="a3"/>
    <w:rsid w:val="00CD2D8A"/>
    <w:rPr>
      <w:sz w:val="24"/>
      <w:szCs w:val="24"/>
    </w:rPr>
  </w:style>
  <w:style w:type="character" w:customStyle="1" w:styleId="Char0">
    <w:name w:val="Υποσέλιδο Char"/>
    <w:link w:val="a4"/>
    <w:uiPriority w:val="99"/>
    <w:rsid w:val="00CD2D8A"/>
    <w:rPr>
      <w:sz w:val="24"/>
      <w:szCs w:val="24"/>
    </w:rPr>
  </w:style>
  <w:style w:type="character" w:customStyle="1" w:styleId="Char1">
    <w:name w:val="Κείμενο πλαισίου Char"/>
    <w:link w:val="a6"/>
    <w:semiHidden/>
    <w:rsid w:val="00CD2D8A"/>
    <w:rPr>
      <w:rFonts w:ascii="Tahoma" w:hAnsi="Tahoma" w:cs="Tahoma"/>
      <w:sz w:val="16"/>
      <w:szCs w:val="16"/>
    </w:rPr>
  </w:style>
  <w:style w:type="character" w:customStyle="1" w:styleId="Char2">
    <w:name w:val="Σώμα κείμενου με εσοχή Char"/>
    <w:link w:val="a7"/>
    <w:rsid w:val="00CD2D8A"/>
    <w:rPr>
      <w:sz w:val="22"/>
      <w:szCs w:val="22"/>
    </w:rPr>
  </w:style>
  <w:style w:type="character" w:customStyle="1" w:styleId="Char3">
    <w:name w:val="Σώμα κειμένου Char"/>
    <w:link w:val="a8"/>
    <w:rsid w:val="00CD2D8A"/>
    <w:rPr>
      <w:sz w:val="22"/>
      <w:szCs w:val="22"/>
    </w:rPr>
  </w:style>
  <w:style w:type="character" w:customStyle="1" w:styleId="2Char0">
    <w:name w:val="Σώμα κείμενου με εσοχή 2 Char"/>
    <w:link w:val="20"/>
    <w:rsid w:val="00CD2D8A"/>
    <w:rPr>
      <w:sz w:val="22"/>
      <w:szCs w:val="22"/>
    </w:rPr>
  </w:style>
  <w:style w:type="character" w:customStyle="1" w:styleId="Char4">
    <w:name w:val="Απλό κείμενο Char"/>
    <w:link w:val="a9"/>
    <w:rsid w:val="00CD2D8A"/>
    <w:rPr>
      <w:rFonts w:ascii="Courier New" w:hAnsi="Courier New"/>
    </w:rPr>
  </w:style>
  <w:style w:type="character" w:customStyle="1" w:styleId="2Char1">
    <w:name w:val="Σώμα κείμενου 2 Char"/>
    <w:link w:val="21"/>
    <w:rsid w:val="00CD2D8A"/>
    <w:rPr>
      <w:sz w:val="24"/>
      <w:szCs w:val="24"/>
    </w:rPr>
  </w:style>
  <w:style w:type="character" w:customStyle="1" w:styleId="Char6">
    <w:name w:val="Κείμενο σχολίου Char"/>
    <w:basedOn w:val="a0"/>
    <w:link w:val="ae"/>
    <w:uiPriority w:val="99"/>
    <w:semiHidden/>
    <w:rsid w:val="00CD2D8A"/>
  </w:style>
  <w:style w:type="character" w:customStyle="1" w:styleId="Char7">
    <w:name w:val="Θέμα σχολίου Char"/>
    <w:link w:val="af"/>
    <w:semiHidden/>
    <w:rsid w:val="00CD2D8A"/>
    <w:rPr>
      <w:b/>
      <w:bCs/>
    </w:rPr>
  </w:style>
  <w:style w:type="character" w:customStyle="1" w:styleId="Char8">
    <w:name w:val="Παράγραφος λίστας Char"/>
    <w:aliases w:val="1st level - Bullet List Paragraph Char,Bullet EY Char,Bullet list Char,Lettre d'introduction Char,List L1 Char,List Paragraph compact Char,List Paragraph1 Char,List Paragraph11 Char,Normal bullet 2 Char,Normal bullet 21 Char"/>
    <w:link w:val="af0"/>
    <w:uiPriority w:val="34"/>
    <w:qFormat/>
    <w:locked/>
    <w:rsid w:val="00CC5CF7"/>
    <w:rPr>
      <w:rFonts w:ascii="Calibri" w:eastAsia="Calibri" w:hAnsi="Calibri"/>
      <w:sz w:val="22"/>
      <w:szCs w:val="22"/>
      <w:lang w:eastAsia="en-US"/>
    </w:rPr>
  </w:style>
  <w:style w:type="paragraph" w:styleId="afb">
    <w:name w:val="TOC Heading"/>
    <w:basedOn w:val="1"/>
    <w:next w:val="a"/>
    <w:uiPriority w:val="39"/>
    <w:unhideWhenUsed/>
    <w:qFormat/>
    <w:rsid w:val="00C20047"/>
    <w:pPr>
      <w:keepLines/>
      <w:spacing w:before="240" w:after="0" w:line="259" w:lineRule="auto"/>
      <w:jc w:val="left"/>
      <w:outlineLvl w:val="9"/>
    </w:pPr>
    <w:rPr>
      <w:rFonts w:ascii="Calibri Light" w:hAnsi="Calibri Light"/>
      <w:b w:val="0"/>
      <w:bCs w:val="0"/>
      <w:kern w:val="0"/>
      <w:lang w:val="el-GR" w:eastAsia="el-GR"/>
    </w:rPr>
  </w:style>
  <w:style w:type="paragraph" w:styleId="13">
    <w:name w:val="toc 1"/>
    <w:basedOn w:val="a"/>
    <w:next w:val="a"/>
    <w:autoRedefine/>
    <w:uiPriority w:val="39"/>
    <w:unhideWhenUsed/>
    <w:rsid w:val="003F05C7"/>
    <w:pPr>
      <w:tabs>
        <w:tab w:val="right" w:pos="9072"/>
      </w:tabs>
      <w:spacing w:before="240" w:after="60"/>
      <w:jc w:val="left"/>
    </w:pPr>
    <w:rPr>
      <w:rFonts w:cs="Arial"/>
      <w:b/>
      <w:noProof/>
      <w:color w:val="2F5496"/>
      <w:szCs w:val="20"/>
    </w:rPr>
  </w:style>
  <w:style w:type="paragraph" w:styleId="22">
    <w:name w:val="toc 2"/>
    <w:basedOn w:val="a"/>
    <w:next w:val="a"/>
    <w:autoRedefine/>
    <w:uiPriority w:val="39"/>
    <w:unhideWhenUsed/>
    <w:rsid w:val="006901CD"/>
    <w:pPr>
      <w:tabs>
        <w:tab w:val="right" w:pos="9072"/>
      </w:tabs>
      <w:spacing w:before="60" w:after="0"/>
      <w:jc w:val="left"/>
    </w:pPr>
    <w:rPr>
      <w:b/>
      <w:bCs/>
      <w:szCs w:val="20"/>
    </w:rPr>
  </w:style>
  <w:style w:type="paragraph" w:styleId="32">
    <w:name w:val="toc 3"/>
    <w:basedOn w:val="a"/>
    <w:next w:val="a"/>
    <w:autoRedefine/>
    <w:uiPriority w:val="39"/>
    <w:unhideWhenUsed/>
    <w:rsid w:val="002E4E02"/>
    <w:pPr>
      <w:tabs>
        <w:tab w:val="left" w:pos="709"/>
        <w:tab w:val="right" w:pos="9070"/>
      </w:tabs>
      <w:spacing w:after="0"/>
      <w:jc w:val="left"/>
    </w:pPr>
    <w:rPr>
      <w:szCs w:val="20"/>
    </w:rPr>
  </w:style>
  <w:style w:type="paragraph" w:styleId="afc">
    <w:name w:val="caption"/>
    <w:basedOn w:val="a"/>
    <w:next w:val="a"/>
    <w:unhideWhenUsed/>
    <w:qFormat/>
    <w:rsid w:val="00BB55F9"/>
    <w:rPr>
      <w:b/>
      <w:bCs/>
      <w:szCs w:val="20"/>
    </w:rPr>
  </w:style>
  <w:style w:type="paragraph" w:styleId="40">
    <w:name w:val="toc 4"/>
    <w:basedOn w:val="a"/>
    <w:next w:val="a"/>
    <w:autoRedefine/>
    <w:uiPriority w:val="39"/>
    <w:unhideWhenUsed/>
    <w:rsid w:val="005700C7"/>
    <w:pPr>
      <w:tabs>
        <w:tab w:val="left" w:pos="709"/>
        <w:tab w:val="right" w:pos="9072"/>
      </w:tabs>
      <w:spacing w:after="0"/>
      <w:jc w:val="left"/>
    </w:pPr>
    <w:rPr>
      <w:szCs w:val="20"/>
    </w:rPr>
  </w:style>
  <w:style w:type="paragraph" w:styleId="afd">
    <w:name w:val="table of figures"/>
    <w:basedOn w:val="a"/>
    <w:next w:val="a"/>
    <w:uiPriority w:val="99"/>
    <w:unhideWhenUsed/>
    <w:rsid w:val="00AD31C7"/>
    <w:pPr>
      <w:tabs>
        <w:tab w:val="left" w:pos="1474"/>
        <w:tab w:val="right" w:pos="9072"/>
      </w:tabs>
      <w:spacing w:after="0"/>
    </w:pPr>
  </w:style>
  <w:style w:type="paragraph" w:styleId="50">
    <w:name w:val="toc 5"/>
    <w:basedOn w:val="a"/>
    <w:next w:val="a"/>
    <w:autoRedefine/>
    <w:uiPriority w:val="39"/>
    <w:unhideWhenUsed/>
    <w:rsid w:val="005700C7"/>
    <w:pPr>
      <w:tabs>
        <w:tab w:val="left" w:pos="709"/>
        <w:tab w:val="right" w:pos="9072"/>
      </w:tabs>
      <w:spacing w:after="0"/>
      <w:ind w:left="709"/>
      <w:jc w:val="left"/>
    </w:pPr>
    <w:rPr>
      <w:szCs w:val="20"/>
    </w:rPr>
  </w:style>
  <w:style w:type="paragraph" w:styleId="60">
    <w:name w:val="toc 6"/>
    <w:basedOn w:val="a"/>
    <w:next w:val="a"/>
    <w:autoRedefine/>
    <w:unhideWhenUsed/>
    <w:rsid w:val="0031248B"/>
    <w:pPr>
      <w:spacing w:after="0"/>
      <w:ind w:left="880"/>
      <w:jc w:val="left"/>
    </w:pPr>
    <w:rPr>
      <w:rFonts w:ascii="Calibri" w:hAnsi="Calibri"/>
      <w:szCs w:val="20"/>
    </w:rPr>
  </w:style>
  <w:style w:type="paragraph" w:styleId="70">
    <w:name w:val="toc 7"/>
    <w:basedOn w:val="a"/>
    <w:next w:val="a"/>
    <w:autoRedefine/>
    <w:unhideWhenUsed/>
    <w:rsid w:val="0031248B"/>
    <w:pPr>
      <w:spacing w:after="0"/>
      <w:ind w:left="1100"/>
      <w:jc w:val="left"/>
    </w:pPr>
    <w:rPr>
      <w:rFonts w:ascii="Calibri" w:hAnsi="Calibri"/>
      <w:szCs w:val="20"/>
    </w:rPr>
  </w:style>
  <w:style w:type="paragraph" w:styleId="80">
    <w:name w:val="toc 8"/>
    <w:basedOn w:val="a"/>
    <w:next w:val="a"/>
    <w:autoRedefine/>
    <w:unhideWhenUsed/>
    <w:rsid w:val="0031248B"/>
    <w:pPr>
      <w:spacing w:after="0"/>
      <w:ind w:left="1320"/>
      <w:jc w:val="left"/>
    </w:pPr>
    <w:rPr>
      <w:rFonts w:ascii="Calibri" w:hAnsi="Calibri"/>
      <w:szCs w:val="20"/>
    </w:rPr>
  </w:style>
  <w:style w:type="paragraph" w:styleId="90">
    <w:name w:val="toc 9"/>
    <w:basedOn w:val="a"/>
    <w:next w:val="a"/>
    <w:autoRedefine/>
    <w:unhideWhenUsed/>
    <w:rsid w:val="0031248B"/>
    <w:pPr>
      <w:spacing w:after="0"/>
      <w:ind w:left="1540"/>
      <w:jc w:val="left"/>
    </w:pPr>
    <w:rPr>
      <w:rFonts w:ascii="Calibri" w:hAnsi="Calibri"/>
      <w:szCs w:val="20"/>
    </w:rPr>
  </w:style>
  <w:style w:type="character" w:styleId="afe">
    <w:name w:val="Unresolved Mention"/>
    <w:uiPriority w:val="99"/>
    <w:semiHidden/>
    <w:unhideWhenUsed/>
    <w:rsid w:val="00193773"/>
    <w:rPr>
      <w:color w:val="605E5C"/>
      <w:shd w:val="clear" w:color="auto" w:fill="E1DFDD"/>
    </w:rPr>
  </w:style>
  <w:style w:type="paragraph" w:customStyle="1" w:styleId="aff">
    <w:name w:val="Τίτλος περιεχομένων"/>
    <w:basedOn w:val="13"/>
    <w:rsid w:val="008C62FA"/>
    <w:pPr>
      <w:pBdr>
        <w:bottom w:val="single" w:sz="4" w:space="1" w:color="2F5496"/>
      </w:pBdr>
      <w:tabs>
        <w:tab w:val="clear" w:pos="9072"/>
      </w:tabs>
      <w:spacing w:before="0" w:after="240"/>
    </w:pPr>
    <w:rPr>
      <w:rFonts w:cs="Times New Roman"/>
      <w:bCs/>
    </w:rPr>
  </w:style>
  <w:style w:type="paragraph" w:customStyle="1" w:styleId="Tabletext">
    <w:name w:val="Table text"/>
    <w:basedOn w:val="a"/>
    <w:link w:val="TabletextChar"/>
    <w:qFormat/>
    <w:rsid w:val="00CE3D65"/>
    <w:pPr>
      <w:spacing w:before="60" w:line="240" w:lineRule="auto"/>
      <w:jc w:val="left"/>
    </w:pPr>
    <w:rPr>
      <w:rFonts w:ascii="Calibri" w:hAnsi="Calibri" w:cstheme="minorBidi"/>
      <w:sz w:val="22"/>
      <w:szCs w:val="22"/>
      <w:lang w:val="en-US"/>
    </w:rPr>
  </w:style>
  <w:style w:type="character" w:customStyle="1" w:styleId="TabletextChar">
    <w:name w:val="Table text Char"/>
    <w:basedOn w:val="a0"/>
    <w:link w:val="Tabletext"/>
    <w:rsid w:val="00CE3D65"/>
    <w:rPr>
      <w:rFonts w:ascii="Calibri" w:hAnsi="Calibr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2780">
      <w:bodyDiv w:val="1"/>
      <w:marLeft w:val="0"/>
      <w:marRight w:val="0"/>
      <w:marTop w:val="0"/>
      <w:marBottom w:val="0"/>
      <w:divBdr>
        <w:top w:val="none" w:sz="0" w:space="0" w:color="auto"/>
        <w:left w:val="none" w:sz="0" w:space="0" w:color="auto"/>
        <w:bottom w:val="none" w:sz="0" w:space="0" w:color="auto"/>
        <w:right w:val="none" w:sz="0" w:space="0" w:color="auto"/>
      </w:divBdr>
    </w:div>
    <w:div w:id="44843246">
      <w:bodyDiv w:val="1"/>
      <w:marLeft w:val="0"/>
      <w:marRight w:val="0"/>
      <w:marTop w:val="0"/>
      <w:marBottom w:val="0"/>
      <w:divBdr>
        <w:top w:val="none" w:sz="0" w:space="0" w:color="auto"/>
        <w:left w:val="none" w:sz="0" w:space="0" w:color="auto"/>
        <w:bottom w:val="none" w:sz="0" w:space="0" w:color="auto"/>
        <w:right w:val="none" w:sz="0" w:space="0" w:color="auto"/>
      </w:divBdr>
    </w:div>
    <w:div w:id="108941120">
      <w:bodyDiv w:val="1"/>
      <w:marLeft w:val="0"/>
      <w:marRight w:val="0"/>
      <w:marTop w:val="0"/>
      <w:marBottom w:val="0"/>
      <w:divBdr>
        <w:top w:val="none" w:sz="0" w:space="0" w:color="auto"/>
        <w:left w:val="none" w:sz="0" w:space="0" w:color="auto"/>
        <w:bottom w:val="none" w:sz="0" w:space="0" w:color="auto"/>
        <w:right w:val="none" w:sz="0" w:space="0" w:color="auto"/>
      </w:divBdr>
    </w:div>
    <w:div w:id="117651680">
      <w:bodyDiv w:val="1"/>
      <w:marLeft w:val="0"/>
      <w:marRight w:val="0"/>
      <w:marTop w:val="0"/>
      <w:marBottom w:val="0"/>
      <w:divBdr>
        <w:top w:val="none" w:sz="0" w:space="0" w:color="auto"/>
        <w:left w:val="none" w:sz="0" w:space="0" w:color="auto"/>
        <w:bottom w:val="none" w:sz="0" w:space="0" w:color="auto"/>
        <w:right w:val="none" w:sz="0" w:space="0" w:color="auto"/>
      </w:divBdr>
    </w:div>
    <w:div w:id="238248796">
      <w:bodyDiv w:val="1"/>
      <w:marLeft w:val="0"/>
      <w:marRight w:val="0"/>
      <w:marTop w:val="0"/>
      <w:marBottom w:val="0"/>
      <w:divBdr>
        <w:top w:val="none" w:sz="0" w:space="0" w:color="auto"/>
        <w:left w:val="none" w:sz="0" w:space="0" w:color="auto"/>
        <w:bottom w:val="none" w:sz="0" w:space="0" w:color="auto"/>
        <w:right w:val="none" w:sz="0" w:space="0" w:color="auto"/>
      </w:divBdr>
    </w:div>
    <w:div w:id="331762860">
      <w:bodyDiv w:val="1"/>
      <w:marLeft w:val="0"/>
      <w:marRight w:val="0"/>
      <w:marTop w:val="0"/>
      <w:marBottom w:val="0"/>
      <w:divBdr>
        <w:top w:val="none" w:sz="0" w:space="0" w:color="auto"/>
        <w:left w:val="none" w:sz="0" w:space="0" w:color="auto"/>
        <w:bottom w:val="none" w:sz="0" w:space="0" w:color="auto"/>
        <w:right w:val="none" w:sz="0" w:space="0" w:color="auto"/>
      </w:divBdr>
    </w:div>
    <w:div w:id="377435379">
      <w:bodyDiv w:val="1"/>
      <w:marLeft w:val="0"/>
      <w:marRight w:val="0"/>
      <w:marTop w:val="0"/>
      <w:marBottom w:val="0"/>
      <w:divBdr>
        <w:top w:val="none" w:sz="0" w:space="0" w:color="auto"/>
        <w:left w:val="none" w:sz="0" w:space="0" w:color="auto"/>
        <w:bottom w:val="none" w:sz="0" w:space="0" w:color="auto"/>
        <w:right w:val="none" w:sz="0" w:space="0" w:color="auto"/>
      </w:divBdr>
    </w:div>
    <w:div w:id="384333447">
      <w:bodyDiv w:val="1"/>
      <w:marLeft w:val="0"/>
      <w:marRight w:val="0"/>
      <w:marTop w:val="0"/>
      <w:marBottom w:val="0"/>
      <w:divBdr>
        <w:top w:val="none" w:sz="0" w:space="0" w:color="auto"/>
        <w:left w:val="none" w:sz="0" w:space="0" w:color="auto"/>
        <w:bottom w:val="none" w:sz="0" w:space="0" w:color="auto"/>
        <w:right w:val="none" w:sz="0" w:space="0" w:color="auto"/>
      </w:divBdr>
    </w:div>
    <w:div w:id="395857685">
      <w:bodyDiv w:val="1"/>
      <w:marLeft w:val="0"/>
      <w:marRight w:val="0"/>
      <w:marTop w:val="0"/>
      <w:marBottom w:val="0"/>
      <w:divBdr>
        <w:top w:val="none" w:sz="0" w:space="0" w:color="auto"/>
        <w:left w:val="none" w:sz="0" w:space="0" w:color="auto"/>
        <w:bottom w:val="none" w:sz="0" w:space="0" w:color="auto"/>
        <w:right w:val="none" w:sz="0" w:space="0" w:color="auto"/>
      </w:divBdr>
    </w:div>
    <w:div w:id="406348277">
      <w:bodyDiv w:val="1"/>
      <w:marLeft w:val="0"/>
      <w:marRight w:val="0"/>
      <w:marTop w:val="0"/>
      <w:marBottom w:val="0"/>
      <w:divBdr>
        <w:top w:val="none" w:sz="0" w:space="0" w:color="auto"/>
        <w:left w:val="none" w:sz="0" w:space="0" w:color="auto"/>
        <w:bottom w:val="none" w:sz="0" w:space="0" w:color="auto"/>
        <w:right w:val="none" w:sz="0" w:space="0" w:color="auto"/>
      </w:divBdr>
    </w:div>
    <w:div w:id="411778867">
      <w:bodyDiv w:val="1"/>
      <w:marLeft w:val="0"/>
      <w:marRight w:val="0"/>
      <w:marTop w:val="0"/>
      <w:marBottom w:val="0"/>
      <w:divBdr>
        <w:top w:val="none" w:sz="0" w:space="0" w:color="auto"/>
        <w:left w:val="none" w:sz="0" w:space="0" w:color="auto"/>
        <w:bottom w:val="none" w:sz="0" w:space="0" w:color="auto"/>
        <w:right w:val="none" w:sz="0" w:space="0" w:color="auto"/>
      </w:divBdr>
    </w:div>
    <w:div w:id="491608321">
      <w:bodyDiv w:val="1"/>
      <w:marLeft w:val="0"/>
      <w:marRight w:val="0"/>
      <w:marTop w:val="0"/>
      <w:marBottom w:val="0"/>
      <w:divBdr>
        <w:top w:val="none" w:sz="0" w:space="0" w:color="auto"/>
        <w:left w:val="none" w:sz="0" w:space="0" w:color="auto"/>
        <w:bottom w:val="none" w:sz="0" w:space="0" w:color="auto"/>
        <w:right w:val="none" w:sz="0" w:space="0" w:color="auto"/>
      </w:divBdr>
    </w:div>
    <w:div w:id="533035008">
      <w:bodyDiv w:val="1"/>
      <w:marLeft w:val="0"/>
      <w:marRight w:val="0"/>
      <w:marTop w:val="0"/>
      <w:marBottom w:val="0"/>
      <w:divBdr>
        <w:top w:val="none" w:sz="0" w:space="0" w:color="auto"/>
        <w:left w:val="none" w:sz="0" w:space="0" w:color="auto"/>
        <w:bottom w:val="none" w:sz="0" w:space="0" w:color="auto"/>
        <w:right w:val="none" w:sz="0" w:space="0" w:color="auto"/>
      </w:divBdr>
    </w:div>
    <w:div w:id="559024235">
      <w:bodyDiv w:val="1"/>
      <w:marLeft w:val="0"/>
      <w:marRight w:val="0"/>
      <w:marTop w:val="0"/>
      <w:marBottom w:val="0"/>
      <w:divBdr>
        <w:top w:val="none" w:sz="0" w:space="0" w:color="auto"/>
        <w:left w:val="none" w:sz="0" w:space="0" w:color="auto"/>
        <w:bottom w:val="none" w:sz="0" w:space="0" w:color="auto"/>
        <w:right w:val="none" w:sz="0" w:space="0" w:color="auto"/>
      </w:divBdr>
    </w:div>
    <w:div w:id="567887243">
      <w:bodyDiv w:val="1"/>
      <w:marLeft w:val="0"/>
      <w:marRight w:val="0"/>
      <w:marTop w:val="0"/>
      <w:marBottom w:val="0"/>
      <w:divBdr>
        <w:top w:val="none" w:sz="0" w:space="0" w:color="auto"/>
        <w:left w:val="none" w:sz="0" w:space="0" w:color="auto"/>
        <w:bottom w:val="none" w:sz="0" w:space="0" w:color="auto"/>
        <w:right w:val="none" w:sz="0" w:space="0" w:color="auto"/>
      </w:divBdr>
    </w:div>
    <w:div w:id="585304234">
      <w:bodyDiv w:val="1"/>
      <w:marLeft w:val="0"/>
      <w:marRight w:val="0"/>
      <w:marTop w:val="0"/>
      <w:marBottom w:val="0"/>
      <w:divBdr>
        <w:top w:val="none" w:sz="0" w:space="0" w:color="auto"/>
        <w:left w:val="none" w:sz="0" w:space="0" w:color="auto"/>
        <w:bottom w:val="none" w:sz="0" w:space="0" w:color="auto"/>
        <w:right w:val="none" w:sz="0" w:space="0" w:color="auto"/>
      </w:divBdr>
    </w:div>
    <w:div w:id="868375938">
      <w:bodyDiv w:val="1"/>
      <w:marLeft w:val="0"/>
      <w:marRight w:val="0"/>
      <w:marTop w:val="0"/>
      <w:marBottom w:val="0"/>
      <w:divBdr>
        <w:top w:val="none" w:sz="0" w:space="0" w:color="auto"/>
        <w:left w:val="none" w:sz="0" w:space="0" w:color="auto"/>
        <w:bottom w:val="none" w:sz="0" w:space="0" w:color="auto"/>
        <w:right w:val="none" w:sz="0" w:space="0" w:color="auto"/>
      </w:divBdr>
    </w:div>
    <w:div w:id="966007981">
      <w:bodyDiv w:val="1"/>
      <w:marLeft w:val="0"/>
      <w:marRight w:val="0"/>
      <w:marTop w:val="0"/>
      <w:marBottom w:val="0"/>
      <w:divBdr>
        <w:top w:val="none" w:sz="0" w:space="0" w:color="auto"/>
        <w:left w:val="none" w:sz="0" w:space="0" w:color="auto"/>
        <w:bottom w:val="none" w:sz="0" w:space="0" w:color="auto"/>
        <w:right w:val="none" w:sz="0" w:space="0" w:color="auto"/>
      </w:divBdr>
    </w:div>
    <w:div w:id="999230837">
      <w:bodyDiv w:val="1"/>
      <w:marLeft w:val="0"/>
      <w:marRight w:val="0"/>
      <w:marTop w:val="0"/>
      <w:marBottom w:val="0"/>
      <w:divBdr>
        <w:top w:val="none" w:sz="0" w:space="0" w:color="auto"/>
        <w:left w:val="none" w:sz="0" w:space="0" w:color="auto"/>
        <w:bottom w:val="none" w:sz="0" w:space="0" w:color="auto"/>
        <w:right w:val="none" w:sz="0" w:space="0" w:color="auto"/>
      </w:divBdr>
    </w:div>
    <w:div w:id="1025642493">
      <w:bodyDiv w:val="1"/>
      <w:marLeft w:val="0"/>
      <w:marRight w:val="0"/>
      <w:marTop w:val="0"/>
      <w:marBottom w:val="0"/>
      <w:divBdr>
        <w:top w:val="none" w:sz="0" w:space="0" w:color="auto"/>
        <w:left w:val="none" w:sz="0" w:space="0" w:color="auto"/>
        <w:bottom w:val="none" w:sz="0" w:space="0" w:color="auto"/>
        <w:right w:val="none" w:sz="0" w:space="0" w:color="auto"/>
      </w:divBdr>
    </w:div>
    <w:div w:id="1042709429">
      <w:bodyDiv w:val="1"/>
      <w:marLeft w:val="0"/>
      <w:marRight w:val="0"/>
      <w:marTop w:val="0"/>
      <w:marBottom w:val="0"/>
      <w:divBdr>
        <w:top w:val="none" w:sz="0" w:space="0" w:color="auto"/>
        <w:left w:val="none" w:sz="0" w:space="0" w:color="auto"/>
        <w:bottom w:val="none" w:sz="0" w:space="0" w:color="auto"/>
        <w:right w:val="none" w:sz="0" w:space="0" w:color="auto"/>
      </w:divBdr>
    </w:div>
    <w:div w:id="1150288380">
      <w:bodyDiv w:val="1"/>
      <w:marLeft w:val="0"/>
      <w:marRight w:val="0"/>
      <w:marTop w:val="0"/>
      <w:marBottom w:val="0"/>
      <w:divBdr>
        <w:top w:val="none" w:sz="0" w:space="0" w:color="auto"/>
        <w:left w:val="none" w:sz="0" w:space="0" w:color="auto"/>
        <w:bottom w:val="none" w:sz="0" w:space="0" w:color="auto"/>
        <w:right w:val="none" w:sz="0" w:space="0" w:color="auto"/>
      </w:divBdr>
    </w:div>
    <w:div w:id="1155999090">
      <w:bodyDiv w:val="1"/>
      <w:marLeft w:val="0"/>
      <w:marRight w:val="0"/>
      <w:marTop w:val="0"/>
      <w:marBottom w:val="0"/>
      <w:divBdr>
        <w:top w:val="none" w:sz="0" w:space="0" w:color="auto"/>
        <w:left w:val="none" w:sz="0" w:space="0" w:color="auto"/>
        <w:bottom w:val="none" w:sz="0" w:space="0" w:color="auto"/>
        <w:right w:val="none" w:sz="0" w:space="0" w:color="auto"/>
      </w:divBdr>
    </w:div>
    <w:div w:id="1230727839">
      <w:bodyDiv w:val="1"/>
      <w:marLeft w:val="0"/>
      <w:marRight w:val="0"/>
      <w:marTop w:val="0"/>
      <w:marBottom w:val="0"/>
      <w:divBdr>
        <w:top w:val="none" w:sz="0" w:space="0" w:color="auto"/>
        <w:left w:val="none" w:sz="0" w:space="0" w:color="auto"/>
        <w:bottom w:val="none" w:sz="0" w:space="0" w:color="auto"/>
        <w:right w:val="none" w:sz="0" w:space="0" w:color="auto"/>
      </w:divBdr>
    </w:div>
    <w:div w:id="1240096349">
      <w:bodyDiv w:val="1"/>
      <w:marLeft w:val="0"/>
      <w:marRight w:val="0"/>
      <w:marTop w:val="0"/>
      <w:marBottom w:val="0"/>
      <w:divBdr>
        <w:top w:val="none" w:sz="0" w:space="0" w:color="auto"/>
        <w:left w:val="none" w:sz="0" w:space="0" w:color="auto"/>
        <w:bottom w:val="none" w:sz="0" w:space="0" w:color="auto"/>
        <w:right w:val="none" w:sz="0" w:space="0" w:color="auto"/>
      </w:divBdr>
    </w:div>
    <w:div w:id="1303924231">
      <w:bodyDiv w:val="1"/>
      <w:marLeft w:val="0"/>
      <w:marRight w:val="0"/>
      <w:marTop w:val="0"/>
      <w:marBottom w:val="0"/>
      <w:divBdr>
        <w:top w:val="none" w:sz="0" w:space="0" w:color="auto"/>
        <w:left w:val="none" w:sz="0" w:space="0" w:color="auto"/>
        <w:bottom w:val="none" w:sz="0" w:space="0" w:color="auto"/>
        <w:right w:val="none" w:sz="0" w:space="0" w:color="auto"/>
      </w:divBdr>
    </w:div>
    <w:div w:id="1370640803">
      <w:bodyDiv w:val="1"/>
      <w:marLeft w:val="0"/>
      <w:marRight w:val="0"/>
      <w:marTop w:val="0"/>
      <w:marBottom w:val="0"/>
      <w:divBdr>
        <w:top w:val="none" w:sz="0" w:space="0" w:color="auto"/>
        <w:left w:val="none" w:sz="0" w:space="0" w:color="auto"/>
        <w:bottom w:val="none" w:sz="0" w:space="0" w:color="auto"/>
        <w:right w:val="none" w:sz="0" w:space="0" w:color="auto"/>
      </w:divBdr>
    </w:div>
    <w:div w:id="1410418565">
      <w:bodyDiv w:val="1"/>
      <w:marLeft w:val="0"/>
      <w:marRight w:val="0"/>
      <w:marTop w:val="0"/>
      <w:marBottom w:val="0"/>
      <w:divBdr>
        <w:top w:val="none" w:sz="0" w:space="0" w:color="auto"/>
        <w:left w:val="none" w:sz="0" w:space="0" w:color="auto"/>
        <w:bottom w:val="none" w:sz="0" w:space="0" w:color="auto"/>
        <w:right w:val="none" w:sz="0" w:space="0" w:color="auto"/>
      </w:divBdr>
    </w:div>
    <w:div w:id="1451054008">
      <w:bodyDiv w:val="1"/>
      <w:marLeft w:val="0"/>
      <w:marRight w:val="0"/>
      <w:marTop w:val="0"/>
      <w:marBottom w:val="0"/>
      <w:divBdr>
        <w:top w:val="none" w:sz="0" w:space="0" w:color="auto"/>
        <w:left w:val="none" w:sz="0" w:space="0" w:color="auto"/>
        <w:bottom w:val="none" w:sz="0" w:space="0" w:color="auto"/>
        <w:right w:val="none" w:sz="0" w:space="0" w:color="auto"/>
      </w:divBdr>
    </w:div>
    <w:div w:id="1465849261">
      <w:bodyDiv w:val="1"/>
      <w:marLeft w:val="0"/>
      <w:marRight w:val="0"/>
      <w:marTop w:val="0"/>
      <w:marBottom w:val="0"/>
      <w:divBdr>
        <w:top w:val="none" w:sz="0" w:space="0" w:color="auto"/>
        <w:left w:val="none" w:sz="0" w:space="0" w:color="auto"/>
        <w:bottom w:val="none" w:sz="0" w:space="0" w:color="auto"/>
        <w:right w:val="none" w:sz="0" w:space="0" w:color="auto"/>
      </w:divBdr>
    </w:div>
    <w:div w:id="1602179295">
      <w:bodyDiv w:val="1"/>
      <w:marLeft w:val="0"/>
      <w:marRight w:val="0"/>
      <w:marTop w:val="0"/>
      <w:marBottom w:val="0"/>
      <w:divBdr>
        <w:top w:val="none" w:sz="0" w:space="0" w:color="auto"/>
        <w:left w:val="none" w:sz="0" w:space="0" w:color="auto"/>
        <w:bottom w:val="none" w:sz="0" w:space="0" w:color="auto"/>
        <w:right w:val="none" w:sz="0" w:space="0" w:color="auto"/>
      </w:divBdr>
    </w:div>
    <w:div w:id="1626735051">
      <w:bodyDiv w:val="1"/>
      <w:marLeft w:val="0"/>
      <w:marRight w:val="0"/>
      <w:marTop w:val="0"/>
      <w:marBottom w:val="0"/>
      <w:divBdr>
        <w:top w:val="none" w:sz="0" w:space="0" w:color="auto"/>
        <w:left w:val="none" w:sz="0" w:space="0" w:color="auto"/>
        <w:bottom w:val="none" w:sz="0" w:space="0" w:color="auto"/>
        <w:right w:val="none" w:sz="0" w:space="0" w:color="auto"/>
      </w:divBdr>
    </w:div>
    <w:div w:id="1713336741">
      <w:bodyDiv w:val="1"/>
      <w:marLeft w:val="0"/>
      <w:marRight w:val="0"/>
      <w:marTop w:val="0"/>
      <w:marBottom w:val="0"/>
      <w:divBdr>
        <w:top w:val="none" w:sz="0" w:space="0" w:color="auto"/>
        <w:left w:val="none" w:sz="0" w:space="0" w:color="auto"/>
        <w:bottom w:val="none" w:sz="0" w:space="0" w:color="auto"/>
        <w:right w:val="none" w:sz="0" w:space="0" w:color="auto"/>
      </w:divBdr>
    </w:div>
    <w:div w:id="1770463507">
      <w:bodyDiv w:val="1"/>
      <w:marLeft w:val="0"/>
      <w:marRight w:val="0"/>
      <w:marTop w:val="0"/>
      <w:marBottom w:val="0"/>
      <w:divBdr>
        <w:top w:val="none" w:sz="0" w:space="0" w:color="auto"/>
        <w:left w:val="none" w:sz="0" w:space="0" w:color="auto"/>
        <w:bottom w:val="none" w:sz="0" w:space="0" w:color="auto"/>
        <w:right w:val="none" w:sz="0" w:space="0" w:color="auto"/>
      </w:divBdr>
    </w:div>
    <w:div w:id="1788810754">
      <w:bodyDiv w:val="1"/>
      <w:marLeft w:val="0"/>
      <w:marRight w:val="0"/>
      <w:marTop w:val="0"/>
      <w:marBottom w:val="0"/>
      <w:divBdr>
        <w:top w:val="none" w:sz="0" w:space="0" w:color="auto"/>
        <w:left w:val="none" w:sz="0" w:space="0" w:color="auto"/>
        <w:bottom w:val="none" w:sz="0" w:space="0" w:color="auto"/>
        <w:right w:val="none" w:sz="0" w:space="0" w:color="auto"/>
      </w:divBdr>
    </w:div>
    <w:div w:id="1944149579">
      <w:bodyDiv w:val="1"/>
      <w:marLeft w:val="0"/>
      <w:marRight w:val="0"/>
      <w:marTop w:val="0"/>
      <w:marBottom w:val="0"/>
      <w:divBdr>
        <w:top w:val="none" w:sz="0" w:space="0" w:color="auto"/>
        <w:left w:val="none" w:sz="0" w:space="0" w:color="auto"/>
        <w:bottom w:val="none" w:sz="0" w:space="0" w:color="auto"/>
        <w:right w:val="none" w:sz="0" w:space="0" w:color="auto"/>
      </w:divBdr>
    </w:div>
    <w:div w:id="1951014024">
      <w:bodyDiv w:val="1"/>
      <w:marLeft w:val="0"/>
      <w:marRight w:val="0"/>
      <w:marTop w:val="0"/>
      <w:marBottom w:val="0"/>
      <w:divBdr>
        <w:top w:val="none" w:sz="0" w:space="0" w:color="auto"/>
        <w:left w:val="none" w:sz="0" w:space="0" w:color="auto"/>
        <w:bottom w:val="none" w:sz="0" w:space="0" w:color="auto"/>
        <w:right w:val="none" w:sz="0" w:space="0" w:color="auto"/>
      </w:divBdr>
    </w:div>
    <w:div w:id="202205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eader" Target="header4.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2.xml"/><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chart" Target="charts/chart9.xml"/><Relationship Id="rId31"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header" Target="header3.xml"/><Relationship Id="rId27" Type="http://schemas.openxmlformats.org/officeDocument/2006/relationships/footer" Target="footer3.xml"/><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xristof\Application%20Data\Microsoft\&#928;&#961;&#972;&#964;&#965;&#960;&#945;\PROSX2006.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e.koufosotiri\Desktop\&#916;&#921;&#913;&#915;&#929;&#913;&#924;&#924;&#913;&#932;&#913;_DBP_2027_1_1_&#949;&#969;&#962;_1_9_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koufosotiri\Desktop\&#916;&#921;&#913;&#915;&#929;&#913;&#924;&#924;&#913;&#932;&#913;_DBP_2027_1_1_&#949;&#969;&#962;_1_9_fin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e.koufosotiri\Desktop\&#916;&#921;&#913;&#915;&#929;&#913;&#924;&#924;&#913;&#932;&#913;_DBP_2027_1_1_&#949;&#969;&#962;_1_9_final.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e.koufosotiri\Desktop\&#916;&#921;&#913;&#915;&#929;&#913;&#924;&#924;&#913;&#932;&#913;_DBP_2027_1_1_&#949;&#969;&#962;_1_9_fina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e.koufosotiri\Desktop\&#949;&#955;&#916;&#921;&#913;&#915;&#929;&#913;&#924;&#924;&#913;&#932;&#913;_DBP_2027_1_1_&#949;&#969;&#962;_1_9_fina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e.koufosotiri\Desktop\&#916;&#921;&#913;&#915;&#929;&#913;&#924;&#924;&#913;&#932;&#913;_DBP_2027_1_1_&#949;&#969;&#962;_1_9_fina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e.koufosotiri\Desktop\&#935;&#961;&#959;&#957;&#959;&#948;&#953;&#940;&#947;&#961;&#945;&#956;&#956;&#945;%20&#955;&#942;&#958;&#951;&#962;_31.08.2026_&#928;&#961;&#959;&#963;&#967;&#941;&#948;&#953;&#95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6.7255407076085294E-2"/>
          <c:y val="3.8068060896907494E-2"/>
          <c:w val="0.91921586972493929"/>
          <c:h val="0.67722344589253258"/>
        </c:manualLayout>
      </c:layout>
      <c:barChart>
        <c:barDir val="col"/>
        <c:grouping val="clustered"/>
        <c:varyColors val="0"/>
        <c:ser>
          <c:idx val="0"/>
          <c:order val="0"/>
          <c:spPr>
            <a:solidFill>
              <a:schemeClr val="accent1">
                <a:lumMod val="60000"/>
                <a:lumOff val="40000"/>
              </a:schemeClr>
            </a:solidFill>
            <a:ln>
              <a:noFill/>
            </a:ln>
            <a:effectLst/>
          </c:spPr>
          <c:invertIfNegative val="0"/>
          <c:dPt>
            <c:idx val="12"/>
            <c:invertIfNegative val="0"/>
            <c:bubble3D val="0"/>
            <c:spPr>
              <a:solidFill>
                <a:schemeClr val="accent1">
                  <a:lumMod val="75000"/>
                </a:schemeClr>
              </a:solidFill>
              <a:ln>
                <a:noFill/>
              </a:ln>
              <a:effectLst/>
            </c:spPr>
            <c:extLst>
              <c:ext xmlns:c16="http://schemas.microsoft.com/office/drawing/2014/chart" uri="{C3380CC4-5D6E-409C-BE32-E72D297353CC}">
                <c16:uniqueId val="{00000001-7D0D-44F1-AE40-D5941A0BA205}"/>
              </c:ext>
            </c:extLst>
          </c:dPt>
          <c:dPt>
            <c:idx val="18"/>
            <c:invertIfNegative val="0"/>
            <c:bubble3D val="0"/>
            <c:spPr>
              <a:solidFill>
                <a:srgbClr val="002060"/>
              </a:solidFill>
              <a:ln>
                <a:noFill/>
              </a:ln>
              <a:effectLst/>
            </c:spPr>
            <c:extLst>
              <c:ext xmlns:c16="http://schemas.microsoft.com/office/drawing/2014/chart" uri="{C3380CC4-5D6E-409C-BE32-E72D297353CC}">
                <c16:uniqueId val="{00000003-7D0D-44F1-AE40-D5941A0BA205}"/>
              </c:ext>
            </c:extLst>
          </c:dPt>
          <c:dPt>
            <c:idx val="19"/>
            <c:invertIfNegative val="0"/>
            <c:bubble3D val="0"/>
            <c:spPr>
              <a:solidFill>
                <a:srgbClr val="00B0F0"/>
              </a:solidFill>
              <a:ln>
                <a:noFill/>
              </a:ln>
              <a:effectLst/>
            </c:spPr>
            <c:extLst>
              <c:ext xmlns:c16="http://schemas.microsoft.com/office/drawing/2014/chart" uri="{C3380CC4-5D6E-409C-BE32-E72D297353CC}">
                <c16:uniqueId val="{00000005-7D0D-44F1-AE40-D5941A0BA205}"/>
              </c:ext>
            </c:extLst>
          </c:dPt>
          <c:dLbls>
            <c:dLbl>
              <c:idx val="0"/>
              <c:layout>
                <c:manualLayout>
                  <c:x val="1.1025358324145534E-2"/>
                  <c:y val="-5.54435483870967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D0D-44F1-AE40-D5941A0BA205}"/>
                </c:ext>
              </c:extLst>
            </c:dLbl>
            <c:dLbl>
              <c:idx val="27"/>
              <c:layout>
                <c:manualLayout>
                  <c:x val="-8.8202866593165893E-3"/>
                  <c:y val="-5.04032258064525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D0D-44F1-AE40-D5941A0BA205}"/>
                </c:ext>
              </c:extLst>
            </c:dLbl>
            <c:numFmt formatCode="[$-408]0.0" sourceLinked="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l-G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 ΑΕΠ ΕΛ ΕΖ'!$B$10:$B$37</c:f>
              <c:strCache>
                <c:ptCount val="28"/>
                <c:pt idx="0">
                  <c:v>Μάλτα</c:v>
                </c:pt>
                <c:pt idx="1">
                  <c:v>Σλοβενία</c:v>
                </c:pt>
                <c:pt idx="2">
                  <c:v>Δανία</c:v>
                </c:pt>
                <c:pt idx="3">
                  <c:v>Λιθουανία</c:v>
                </c:pt>
                <c:pt idx="4">
                  <c:v>Πολωνία</c:v>
                </c:pt>
                <c:pt idx="5">
                  <c:v>Κύπρος</c:v>
                </c:pt>
                <c:pt idx="6">
                  <c:v>Σουηδία</c:v>
                </c:pt>
                <c:pt idx="7">
                  <c:v>Λετονία</c:v>
                </c:pt>
                <c:pt idx="8">
                  <c:v>Βουλγαρία</c:v>
                </c:pt>
                <c:pt idx="9">
                  <c:v>Ισπανία</c:v>
                </c:pt>
                <c:pt idx="10">
                  <c:v>Πορτογαλία</c:v>
                </c:pt>
                <c:pt idx="11">
                  <c:v>Τσεχία</c:v>
                </c:pt>
                <c:pt idx="12">
                  <c:v>Ελλάδα</c:v>
                </c:pt>
                <c:pt idx="13">
                  <c:v>Εσθονία</c:v>
                </c:pt>
                <c:pt idx="14">
                  <c:v>Κροατία</c:v>
                </c:pt>
                <c:pt idx="15">
                  <c:v>Ουγγαρία</c:v>
                </c:pt>
                <c:pt idx="16">
                  <c:v>Φινλανδία</c:v>
                </c:pt>
                <c:pt idx="17">
                  <c:v>Ολλανδία</c:v>
                </c:pt>
                <c:pt idx="18">
                  <c:v>ΕΕ 27</c:v>
                </c:pt>
                <c:pt idx="19">
                  <c:v>ΕΖ 21</c:v>
                </c:pt>
                <c:pt idx="20">
                  <c:v>Γερμανία</c:v>
                </c:pt>
                <c:pt idx="21">
                  <c:v>Ιταλία</c:v>
                </c:pt>
                <c:pt idx="22">
                  <c:v>Σλοβακία</c:v>
                </c:pt>
                <c:pt idx="23">
                  <c:v>Βέλγιο</c:v>
                </c:pt>
                <c:pt idx="24">
                  <c:v>Γαλλία</c:v>
                </c:pt>
                <c:pt idx="25">
                  <c:v>Αυστρία</c:v>
                </c:pt>
                <c:pt idx="26">
                  <c:v>Ιρλανδία</c:v>
                </c:pt>
                <c:pt idx="27">
                  <c:v>Ρουμανία</c:v>
                </c:pt>
              </c:strCache>
            </c:strRef>
          </c:cat>
          <c:val>
            <c:numRef>
              <c:f>'1.1 ΑΕΠ ΕΛ ΕΖ'!$C$10:$C$37</c:f>
              <c:numCache>
                <c:formatCode>#,##0.0</c:formatCode>
                <c:ptCount val="28"/>
                <c:pt idx="0">
                  <c:v>5</c:v>
                </c:pt>
                <c:pt idx="1">
                  <c:v>4.8</c:v>
                </c:pt>
                <c:pt idx="2">
                  <c:v>4.5999999999999996</c:v>
                </c:pt>
                <c:pt idx="3">
                  <c:v>3.8</c:v>
                </c:pt>
                <c:pt idx="4">
                  <c:v>3.8</c:v>
                </c:pt>
                <c:pt idx="5">
                  <c:v>3.3</c:v>
                </c:pt>
                <c:pt idx="6">
                  <c:v>3.2</c:v>
                </c:pt>
                <c:pt idx="7">
                  <c:v>3</c:v>
                </c:pt>
                <c:pt idx="8">
                  <c:v>2.8</c:v>
                </c:pt>
                <c:pt idx="9">
                  <c:v>2.7</c:v>
                </c:pt>
                <c:pt idx="10">
                  <c:v>2.5</c:v>
                </c:pt>
                <c:pt idx="11">
                  <c:v>1.9</c:v>
                </c:pt>
                <c:pt idx="12">
                  <c:v>1.9</c:v>
                </c:pt>
                <c:pt idx="13">
                  <c:v>1.8</c:v>
                </c:pt>
                <c:pt idx="14">
                  <c:v>1.7</c:v>
                </c:pt>
                <c:pt idx="15">
                  <c:v>1.7</c:v>
                </c:pt>
                <c:pt idx="16">
                  <c:v>1.6</c:v>
                </c:pt>
                <c:pt idx="17">
                  <c:v>1.5</c:v>
                </c:pt>
                <c:pt idx="18">
                  <c:v>1.4</c:v>
                </c:pt>
                <c:pt idx="19">
                  <c:v>1.2</c:v>
                </c:pt>
                <c:pt idx="20">
                  <c:v>1</c:v>
                </c:pt>
                <c:pt idx="21">
                  <c:v>1</c:v>
                </c:pt>
                <c:pt idx="22">
                  <c:v>0.9</c:v>
                </c:pt>
                <c:pt idx="23">
                  <c:v>0.5</c:v>
                </c:pt>
                <c:pt idx="24">
                  <c:v>0.5</c:v>
                </c:pt>
                <c:pt idx="25">
                  <c:v>0.4</c:v>
                </c:pt>
                <c:pt idx="26">
                  <c:v>-0.4</c:v>
                </c:pt>
                <c:pt idx="27">
                  <c:v>-2</c:v>
                </c:pt>
              </c:numCache>
            </c:numRef>
          </c:val>
          <c:extLst>
            <c:ext xmlns:c16="http://schemas.microsoft.com/office/drawing/2014/chart" uri="{C3380CC4-5D6E-409C-BE32-E72D297353CC}">
              <c16:uniqueId val="{00000006-7D0D-44F1-AE40-D5941A0BA205}"/>
            </c:ext>
          </c:extLst>
        </c:ser>
        <c:dLbls>
          <c:dLblPos val="outEnd"/>
          <c:showLegendKey val="0"/>
          <c:showVal val="1"/>
          <c:showCatName val="0"/>
          <c:showSerName val="0"/>
          <c:showPercent val="0"/>
          <c:showBubbleSize val="0"/>
        </c:dLbls>
        <c:gapWidth val="50"/>
        <c:axId val="421464831"/>
        <c:axId val="148210799"/>
      </c:barChart>
      <c:catAx>
        <c:axId val="421464831"/>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l-GR"/>
          </a:p>
        </c:txPr>
        <c:crossAx val="148210799"/>
        <c:crosses val="autoZero"/>
        <c:auto val="1"/>
        <c:lblAlgn val="ctr"/>
        <c:lblOffset val="100"/>
        <c:noMultiLvlLbl val="0"/>
      </c:catAx>
      <c:valAx>
        <c:axId val="148210799"/>
        <c:scaling>
          <c:orientation val="minMax"/>
          <c:max val="8"/>
          <c:min val="-8"/>
        </c:scaling>
        <c:delete val="0"/>
        <c:axPos val="l"/>
        <c:majorGridlines>
          <c:spPr>
            <a:ln w="3175" cap="flat" cmpd="sng" algn="ctr">
              <a:solidFill>
                <a:schemeClr val="bg1">
                  <a:lumMod val="85000"/>
                </a:schemeClr>
              </a:solidFill>
              <a:round/>
            </a:ln>
            <a:effectLst/>
          </c:spPr>
        </c:majorGridlines>
        <c:numFmt formatCode="[$-408]0.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l-GR"/>
          </a:p>
        </c:txPr>
        <c:crossAx val="42146483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bg1">
          <a:lumMod val="85000"/>
        </a:scheme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l-GR" sz="800"/>
              <a:t>Ελλάδα</a:t>
            </a:r>
          </a:p>
        </c:rich>
      </c:tx>
      <c:layout>
        <c:manualLayout>
          <c:xMode val="edge"/>
          <c:yMode val="edge"/>
          <c:x val="0.15379404949773839"/>
          <c:y val="8.4854209768146074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title>
    <c:autoTitleDeleted val="0"/>
    <c:plotArea>
      <c:layout>
        <c:manualLayout>
          <c:layoutTarget val="inner"/>
          <c:xMode val="edge"/>
          <c:yMode val="edge"/>
          <c:x val="8.5594773646123945E-2"/>
          <c:y val="6.4656149339633651E-2"/>
          <c:w val="0.80093841381745268"/>
          <c:h val="0.89711949619913001"/>
        </c:manualLayout>
      </c:layout>
      <c:barChart>
        <c:barDir val="col"/>
        <c:grouping val="stacked"/>
        <c:varyColors val="0"/>
        <c:ser>
          <c:idx val="1"/>
          <c:order val="1"/>
          <c:tx>
            <c:strRef>
              <c:f>'1.2 ΕΛΛΑΔΑ'!$C$4</c:f>
              <c:strCache>
                <c:ptCount val="1"/>
                <c:pt idx="0">
                  <c:v>Ιδιωτική κατανάλωση</c:v>
                </c:pt>
              </c:strCache>
            </c:strRef>
          </c:tx>
          <c:spPr>
            <a:solidFill>
              <a:schemeClr val="bg1">
                <a:lumMod val="50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ΕΛΛΑΔΑ'!$C$5:$C$31</c:f>
              <c:numCache>
                <c:formatCode>0.0%</c:formatCode>
                <c:ptCount val="27"/>
                <c:pt idx="0">
                  <c:v>0</c:v>
                </c:pt>
                <c:pt idx="1">
                  <c:v>-1.1130579964086488E-2</c:v>
                </c:pt>
                <c:pt idx="2">
                  <c:v>-8.5761988199846081E-2</c:v>
                </c:pt>
                <c:pt idx="3">
                  <c:v>-3.579394513841485E-2</c:v>
                </c:pt>
                <c:pt idx="4">
                  <c:v>-5.2172419640256207E-2</c:v>
                </c:pt>
                <c:pt idx="5">
                  <c:v>-4.2096201254799008E-2</c:v>
                </c:pt>
                <c:pt idx="6">
                  <c:v>-1.7428488197672159E-2</c:v>
                </c:pt>
                <c:pt idx="7">
                  <c:v>-8.8066366083036345E-3</c:v>
                </c:pt>
                <c:pt idx="8">
                  <c:v>1.7535011326234657E-2</c:v>
                </c:pt>
                <c:pt idx="9">
                  <c:v>3.7326573824875975E-2</c:v>
                </c:pt>
                <c:pt idx="10">
                  <c:v>4.6831045622334137E-2</c:v>
                </c:pt>
                <c:pt idx="11">
                  <c:v>5.458332065200841E-2</c:v>
                </c:pt>
                <c:pt idx="12">
                  <c:v>6.4420405483549686E-2</c:v>
                </c:pt>
                <c:pt idx="13">
                  <c:v>6.573564003008725E-2</c:v>
                </c:pt>
                <c:pt idx="14">
                  <c:v>6.5185632856080727E-2</c:v>
                </c:pt>
                <c:pt idx="15">
                  <c:v>6.6683478480154115E-2</c:v>
                </c:pt>
                <c:pt idx="16">
                  <c:v>7.8053191998156524E-2</c:v>
                </c:pt>
                <c:pt idx="17">
                  <c:v>7.9857563359522113E-2</c:v>
                </c:pt>
                <c:pt idx="18">
                  <c:v>8.8868550459353851E-2</c:v>
                </c:pt>
                <c:pt idx="19">
                  <c:v>9.0683791527715607E-2</c:v>
                </c:pt>
                <c:pt idx="20">
                  <c:v>8.801636543085338E-2</c:v>
                </c:pt>
                <c:pt idx="21">
                  <c:v>0.10192089462036452</c:v>
                </c:pt>
                <c:pt idx="22">
                  <c:v>9.7394748627155969E-2</c:v>
                </c:pt>
                <c:pt idx="23">
                  <c:v>0.10034696104731804</c:v>
                </c:pt>
                <c:pt idx="24">
                  <c:v>0.10568181324104217</c:v>
                </c:pt>
                <c:pt idx="25">
                  <c:v>0.10337743535785239</c:v>
                </c:pt>
                <c:pt idx="26">
                  <c:v>0.11072100940447045</c:v>
                </c:pt>
              </c:numCache>
            </c:numRef>
          </c:val>
          <c:extLst>
            <c:ext xmlns:c16="http://schemas.microsoft.com/office/drawing/2014/chart" uri="{C3380CC4-5D6E-409C-BE32-E72D297353CC}">
              <c16:uniqueId val="{00000000-2C01-448F-B0C2-D749DFB216B9}"/>
            </c:ext>
          </c:extLst>
        </c:ser>
        <c:ser>
          <c:idx val="2"/>
          <c:order val="2"/>
          <c:tx>
            <c:strRef>
              <c:f>'1.2 ΕΛΛΑΔΑ'!$D$4</c:f>
              <c:strCache>
                <c:ptCount val="1"/>
                <c:pt idx="0">
                  <c:v>Δημόσια κατανάλωση</c:v>
                </c:pt>
              </c:strCache>
            </c:strRef>
          </c:tx>
          <c:spPr>
            <a:solidFill>
              <a:schemeClr val="accent1">
                <a:lumMod val="60000"/>
                <a:lumOff val="40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ΕΛΛΑΔΑ'!$D$5:$D$31</c:f>
              <c:numCache>
                <c:formatCode>0.0%</c:formatCode>
                <c:ptCount val="27"/>
                <c:pt idx="0">
                  <c:v>0</c:v>
                </c:pt>
                <c:pt idx="1">
                  <c:v>3.7717883276738389E-3</c:v>
                </c:pt>
                <c:pt idx="2">
                  <c:v>4.6283212389726745E-3</c:v>
                </c:pt>
                <c:pt idx="3">
                  <c:v>6.7696535172197814E-3</c:v>
                </c:pt>
                <c:pt idx="4">
                  <c:v>1.0856663347782789E-2</c:v>
                </c:pt>
                <c:pt idx="5">
                  <c:v>8.2131506063122407E-3</c:v>
                </c:pt>
                <c:pt idx="6">
                  <c:v>8.8675069674821767E-3</c:v>
                </c:pt>
                <c:pt idx="7">
                  <c:v>1.3356695956903777E-2</c:v>
                </c:pt>
                <c:pt idx="8">
                  <c:v>1.1306669217424544E-2</c:v>
                </c:pt>
                <c:pt idx="9">
                  <c:v>1.0239263990399875E-2</c:v>
                </c:pt>
                <c:pt idx="10">
                  <c:v>1.3004517450227588E-2</c:v>
                </c:pt>
                <c:pt idx="11">
                  <c:v>1.1602325247720598E-2</c:v>
                </c:pt>
                <c:pt idx="12">
                  <c:v>7.0740053131127714E-3</c:v>
                </c:pt>
                <c:pt idx="13">
                  <c:v>1.8061105144849699E-2</c:v>
                </c:pt>
                <c:pt idx="14">
                  <c:v>1.7319791127710336E-2</c:v>
                </c:pt>
                <c:pt idx="15">
                  <c:v>9.8153454175489239E-3</c:v>
                </c:pt>
                <c:pt idx="16">
                  <c:v>1.9154597668665212E-2</c:v>
                </c:pt>
                <c:pt idx="17">
                  <c:v>4.6022339421818307E-3</c:v>
                </c:pt>
                <c:pt idx="18">
                  <c:v>1.1013187128527731E-2</c:v>
                </c:pt>
                <c:pt idx="19">
                  <c:v>1.1765370852663272E-2</c:v>
                </c:pt>
                <c:pt idx="20">
                  <c:v>1.5104544841889226E-2</c:v>
                </c:pt>
                <c:pt idx="21">
                  <c:v>1.1334930455614629E-2</c:v>
                </c:pt>
                <c:pt idx="22">
                  <c:v>1.2806688782897136E-2</c:v>
                </c:pt>
                <c:pt idx="23">
                  <c:v>1.1219711561455117E-2</c:v>
                </c:pt>
                <c:pt idx="24">
                  <c:v>1.0656660739053095E-2</c:v>
                </c:pt>
                <c:pt idx="25">
                  <c:v>1.9508950116740646E-2</c:v>
                </c:pt>
                <c:pt idx="26">
                  <c:v>1.4967586533737396E-2</c:v>
                </c:pt>
              </c:numCache>
            </c:numRef>
          </c:val>
          <c:extLst>
            <c:ext xmlns:c16="http://schemas.microsoft.com/office/drawing/2014/chart" uri="{C3380CC4-5D6E-409C-BE32-E72D297353CC}">
              <c16:uniqueId val="{00000001-2C01-448F-B0C2-D749DFB216B9}"/>
            </c:ext>
          </c:extLst>
        </c:ser>
        <c:ser>
          <c:idx val="3"/>
          <c:order val="3"/>
          <c:tx>
            <c:strRef>
              <c:f>'1.2 ΕΛΛΑΔΑ'!$E$4</c:f>
              <c:strCache>
                <c:ptCount val="1"/>
                <c:pt idx="0">
                  <c:v>Επενδύσεις</c:v>
                </c:pt>
              </c:strCache>
            </c:strRef>
          </c:tx>
          <c:spPr>
            <a:solidFill>
              <a:schemeClr val="tx2">
                <a:lumMod val="75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ΕΛΛΑΔΑ'!$E$5:$E$31</c:f>
              <c:numCache>
                <c:formatCode>0.0%</c:formatCode>
                <c:ptCount val="27"/>
                <c:pt idx="0">
                  <c:v>0</c:v>
                </c:pt>
                <c:pt idx="1">
                  <c:v>4.3761440366613322E-3</c:v>
                </c:pt>
                <c:pt idx="2">
                  <c:v>-7.5218372413554007E-4</c:v>
                </c:pt>
                <c:pt idx="3">
                  <c:v>6.8153062866037383E-3</c:v>
                </c:pt>
                <c:pt idx="4">
                  <c:v>2.6195993860789486E-3</c:v>
                </c:pt>
                <c:pt idx="5">
                  <c:v>1.5767596968656098E-2</c:v>
                </c:pt>
                <c:pt idx="6">
                  <c:v>2.3532915646725827E-2</c:v>
                </c:pt>
                <c:pt idx="7">
                  <c:v>3.126345126240776E-2</c:v>
                </c:pt>
                <c:pt idx="8">
                  <c:v>3.5800466962612541E-2</c:v>
                </c:pt>
                <c:pt idx="9">
                  <c:v>4.7839754431579527E-2</c:v>
                </c:pt>
                <c:pt idx="10">
                  <c:v>5.2626773392696412E-2</c:v>
                </c:pt>
                <c:pt idx="11">
                  <c:v>5.7787710274481832E-2</c:v>
                </c:pt>
                <c:pt idx="12">
                  <c:v>6.7198702591772921E-2</c:v>
                </c:pt>
                <c:pt idx="13">
                  <c:v>6.9557429009943619E-2</c:v>
                </c:pt>
                <c:pt idx="14">
                  <c:v>6.5131284321099839E-2</c:v>
                </c:pt>
                <c:pt idx="15">
                  <c:v>6.9309599690430712E-2</c:v>
                </c:pt>
                <c:pt idx="16">
                  <c:v>6.6561737761796871E-2</c:v>
                </c:pt>
                <c:pt idx="17">
                  <c:v>7.5133588698983039E-2</c:v>
                </c:pt>
                <c:pt idx="18">
                  <c:v>7.448358022061155E-2</c:v>
                </c:pt>
                <c:pt idx="19">
                  <c:v>7.1820502006547882E-2</c:v>
                </c:pt>
                <c:pt idx="20">
                  <c:v>7.7344487102005657E-2</c:v>
                </c:pt>
                <c:pt idx="21">
                  <c:v>7.4216185428505582E-2</c:v>
                </c:pt>
                <c:pt idx="22">
                  <c:v>8.8907681404540029E-2</c:v>
                </c:pt>
                <c:pt idx="23">
                  <c:v>9.4807758362065592E-2</c:v>
                </c:pt>
                <c:pt idx="24">
                  <c:v>0.10166871741805325</c:v>
                </c:pt>
                <c:pt idx="25">
                  <c:v>9.6440388352891537E-2</c:v>
                </c:pt>
                <c:pt idx="26">
                  <c:v>0.10099914346708869</c:v>
                </c:pt>
              </c:numCache>
            </c:numRef>
          </c:val>
          <c:extLst>
            <c:ext xmlns:c16="http://schemas.microsoft.com/office/drawing/2014/chart" uri="{C3380CC4-5D6E-409C-BE32-E72D297353CC}">
              <c16:uniqueId val="{00000002-2C01-448F-B0C2-D749DFB216B9}"/>
            </c:ext>
          </c:extLst>
        </c:ser>
        <c:ser>
          <c:idx val="4"/>
          <c:order val="4"/>
          <c:tx>
            <c:strRef>
              <c:f>'1.2 ΕΛΛΑΔΑ'!$F$4</c:f>
              <c:strCache>
                <c:ptCount val="1"/>
                <c:pt idx="0">
                  <c:v>Καθαρές εξαγωγές αγαθών</c:v>
                </c:pt>
              </c:strCache>
            </c:strRef>
          </c:tx>
          <c:spPr>
            <a:solidFill>
              <a:schemeClr val="bg1">
                <a:lumMod val="75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ΕΛΛΑΔΑ'!$F$5:$F$31</c:f>
              <c:numCache>
                <c:formatCode>0.0%</c:formatCode>
                <c:ptCount val="27"/>
                <c:pt idx="0">
                  <c:v>0</c:v>
                </c:pt>
                <c:pt idx="1">
                  <c:v>-1.7408922725079025E-2</c:v>
                </c:pt>
                <c:pt idx="2">
                  <c:v>2.8989508558807268E-2</c:v>
                </c:pt>
                <c:pt idx="3">
                  <c:v>5.0196306908350703E-3</c:v>
                </c:pt>
                <c:pt idx="4">
                  <c:v>2.0767662186898093E-2</c:v>
                </c:pt>
                <c:pt idx="5">
                  <c:v>7.9718431109970962E-3</c:v>
                </c:pt>
                <c:pt idx="6">
                  <c:v>6.4783453697222528E-4</c:v>
                </c:pt>
                <c:pt idx="7">
                  <c:v>-1.5865424331621719E-2</c:v>
                </c:pt>
                <c:pt idx="8">
                  <c:v>-3.773744874933152E-2</c:v>
                </c:pt>
                <c:pt idx="9">
                  <c:v>-3.767657839015294E-2</c:v>
                </c:pt>
                <c:pt idx="10">
                  <c:v>-4.9039770083957657E-2</c:v>
                </c:pt>
                <c:pt idx="11">
                  <c:v>-4.3872311377974482E-2</c:v>
                </c:pt>
                <c:pt idx="12">
                  <c:v>-5.2881124536406976E-2</c:v>
                </c:pt>
                <c:pt idx="13">
                  <c:v>-2.6924264229533409E-2</c:v>
                </c:pt>
                <c:pt idx="14">
                  <c:v>-3.4856976395344255E-2</c:v>
                </c:pt>
                <c:pt idx="15">
                  <c:v>-4.9004987021569801E-2</c:v>
                </c:pt>
                <c:pt idx="16">
                  <c:v>-4.8431066492171639E-2</c:v>
                </c:pt>
                <c:pt idx="17">
                  <c:v>-5.0135436549172373E-2</c:v>
                </c:pt>
                <c:pt idx="18">
                  <c:v>-6.2702991778153624E-2</c:v>
                </c:pt>
                <c:pt idx="19">
                  <c:v>-5.8487719405035769E-2</c:v>
                </c:pt>
                <c:pt idx="20">
                  <c:v>-5.6452910255351159E-2</c:v>
                </c:pt>
                <c:pt idx="21">
                  <c:v>-4.7400618268933915E-2</c:v>
                </c:pt>
                <c:pt idx="22">
                  <c:v>-4.6798436501345665E-2</c:v>
                </c:pt>
                <c:pt idx="23">
                  <c:v>-3.5672204420057661E-2</c:v>
                </c:pt>
                <c:pt idx="24">
                  <c:v>-4.488536807001834E-2</c:v>
                </c:pt>
                <c:pt idx="25">
                  <c:v>-4.7770188306803969E-2</c:v>
                </c:pt>
                <c:pt idx="26">
                  <c:v>-4.0985317199789567E-2</c:v>
                </c:pt>
              </c:numCache>
            </c:numRef>
          </c:val>
          <c:extLst>
            <c:ext xmlns:c16="http://schemas.microsoft.com/office/drawing/2014/chart" uri="{C3380CC4-5D6E-409C-BE32-E72D297353CC}">
              <c16:uniqueId val="{00000003-2C01-448F-B0C2-D749DFB216B9}"/>
            </c:ext>
          </c:extLst>
        </c:ser>
        <c:ser>
          <c:idx val="5"/>
          <c:order val="5"/>
          <c:tx>
            <c:strRef>
              <c:f>'1.2 ΕΛΛΑΔΑ'!$G$4</c:f>
              <c:strCache>
                <c:ptCount val="1"/>
                <c:pt idx="0">
                  <c:v>Καθαρές εξαγωγές υπηρεσιών</c:v>
                </c:pt>
              </c:strCache>
            </c:strRef>
          </c:tx>
          <c:spPr>
            <a:solidFill>
              <a:schemeClr val="tx2">
                <a:lumMod val="60000"/>
                <a:lumOff val="40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ΕΛΛΑΔΑ'!$G$5:$G$31</c:f>
              <c:numCache>
                <c:formatCode>0.0%</c:formatCode>
                <c:ptCount val="27"/>
                <c:pt idx="0">
                  <c:v>0</c:v>
                </c:pt>
                <c:pt idx="1">
                  <c:v>-1.335234807410533E-2</c:v>
                </c:pt>
                <c:pt idx="2">
                  <c:v>-7.1707457053787671E-2</c:v>
                </c:pt>
                <c:pt idx="3">
                  <c:v>-9.1151188928551272E-2</c:v>
                </c:pt>
                <c:pt idx="4">
                  <c:v>-4.8031061274712301E-2</c:v>
                </c:pt>
                <c:pt idx="5">
                  <c:v>-3.162867341747938E-2</c:v>
                </c:pt>
                <c:pt idx="6">
                  <c:v>-3.7220050696313435E-2</c:v>
                </c:pt>
                <c:pt idx="7">
                  <c:v>-2.8174280534093921E-2</c:v>
                </c:pt>
                <c:pt idx="8">
                  <c:v>-9.0392483380218047E-3</c:v>
                </c:pt>
                <c:pt idx="9">
                  <c:v>-1.2971908329239073E-2</c:v>
                </c:pt>
                <c:pt idx="10">
                  <c:v>-6.7370443962312867E-3</c:v>
                </c:pt>
                <c:pt idx="11">
                  <c:v>-1.4980630182132838E-2</c:v>
                </c:pt>
                <c:pt idx="12">
                  <c:v>-2.6780784097183888E-2</c:v>
                </c:pt>
                <c:pt idx="13">
                  <c:v>-1.553715918033715E-2</c:v>
                </c:pt>
                <c:pt idx="14">
                  <c:v>-1.3628438631808272E-2</c:v>
                </c:pt>
                <c:pt idx="15">
                  <c:v>-1.0143610568833533E-2</c:v>
                </c:pt>
                <c:pt idx="16">
                  <c:v>-1.4437144832323907E-2</c:v>
                </c:pt>
                <c:pt idx="17">
                  <c:v>-1.3178432762166478E-2</c:v>
                </c:pt>
                <c:pt idx="18">
                  <c:v>-1.5661073840093558E-2</c:v>
                </c:pt>
                <c:pt idx="19">
                  <c:v>-1.7002395683421986E-2</c:v>
                </c:pt>
                <c:pt idx="20">
                  <c:v>-1.2080592355552479E-2</c:v>
                </c:pt>
                <c:pt idx="21">
                  <c:v>-2.006765305634424E-2</c:v>
                </c:pt>
                <c:pt idx="22">
                  <c:v>-1.1291451627629958E-2</c:v>
                </c:pt>
                <c:pt idx="23">
                  <c:v>-1.3443653612873243E-2</c:v>
                </c:pt>
                <c:pt idx="24">
                  <c:v>-1.5280634095227341E-2</c:v>
                </c:pt>
                <c:pt idx="25">
                  <c:v>-1.7871972243116221E-2</c:v>
                </c:pt>
                <c:pt idx="26">
                  <c:v>-2.4763366478693226E-2</c:v>
                </c:pt>
              </c:numCache>
            </c:numRef>
          </c:val>
          <c:extLst>
            <c:ext xmlns:c16="http://schemas.microsoft.com/office/drawing/2014/chart" uri="{C3380CC4-5D6E-409C-BE32-E72D297353CC}">
              <c16:uniqueId val="{00000004-2C01-448F-B0C2-D749DFB216B9}"/>
            </c:ext>
          </c:extLst>
        </c:ser>
        <c:ser>
          <c:idx val="6"/>
          <c:order val="6"/>
          <c:tx>
            <c:strRef>
              <c:f>'1.2 ΕΛΛΑΔΑ'!$H$4</c:f>
              <c:strCache>
                <c:ptCount val="1"/>
                <c:pt idx="0">
                  <c:v>Στατιστικές διαφορές και αποθέματα</c:v>
                </c:pt>
              </c:strCache>
            </c:strRef>
          </c:tx>
          <c:spPr>
            <a:solidFill>
              <a:schemeClr val="accent1">
                <a:lumMod val="75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ΕΛΛΑΔΑ'!$H$5:$H$31</c:f>
              <c:numCache>
                <c:formatCode>0.0%</c:formatCode>
                <c:ptCount val="27"/>
                <c:pt idx="0">
                  <c:v>0</c:v>
                </c:pt>
                <c:pt idx="1">
                  <c:v>1.4154532450423335E-2</c:v>
                </c:pt>
                <c:pt idx="2">
                  <c:v>-2.9882998473893169E-2</c:v>
                </c:pt>
                <c:pt idx="3">
                  <c:v>5.821815067153055E-3</c:v>
                </c:pt>
                <c:pt idx="4">
                  <c:v>-1.3684961108188273E-2</c:v>
                </c:pt>
                <c:pt idx="5">
                  <c:v>7.3696613434100916E-4</c:v>
                </c:pt>
                <c:pt idx="6">
                  <c:v>-5.9087727231224817E-3</c:v>
                </c:pt>
                <c:pt idx="7">
                  <c:v>9.2522945951468965E-3</c:v>
                </c:pt>
                <c:pt idx="8">
                  <c:v>-3.7543967964798978E-3</c:v>
                </c:pt>
                <c:pt idx="9">
                  <c:v>-1.1519715474549608E-2</c:v>
                </c:pt>
                <c:pt idx="10">
                  <c:v>-2.1448105844858636E-2</c:v>
                </c:pt>
                <c:pt idx="11">
                  <c:v>-1.9239381383235277E-2</c:v>
                </c:pt>
                <c:pt idx="12">
                  <c:v>-3.5804814845410496E-3</c:v>
                </c:pt>
                <c:pt idx="13">
                  <c:v>-5.5124632060418149E-2</c:v>
                </c:pt>
                <c:pt idx="14">
                  <c:v>-3.1639543124475492E-2</c:v>
                </c:pt>
                <c:pt idx="15">
                  <c:v>-2.2219855041587577E-2</c:v>
                </c:pt>
                <c:pt idx="16">
                  <c:v>-2.9293860354700232E-2</c:v>
                </c:pt>
                <c:pt idx="17">
                  <c:v>-2.1569846563216089E-2</c:v>
                </c:pt>
                <c:pt idx="18">
                  <c:v>-8.8783766744783832E-3</c:v>
                </c:pt>
                <c:pt idx="19">
                  <c:v>-8.534893933399082E-3</c:v>
                </c:pt>
                <c:pt idx="20">
                  <c:v>-1.6687174180532741E-2</c:v>
                </c:pt>
                <c:pt idx="21">
                  <c:v>-1.9078509719691897E-2</c:v>
                </c:pt>
                <c:pt idx="22">
                  <c:v>-3.4704800497397659E-2</c:v>
                </c:pt>
                <c:pt idx="23">
                  <c:v>-4.4324491189015422E-2</c:v>
                </c:pt>
                <c:pt idx="24">
                  <c:v>-3.7202659165119431E-2</c:v>
                </c:pt>
                <c:pt idx="25">
                  <c:v>-3.0615616725435474E-2</c:v>
                </c:pt>
                <c:pt idx="26">
                  <c:v>-3.4006965308243181E-2</c:v>
                </c:pt>
              </c:numCache>
            </c:numRef>
          </c:val>
          <c:extLst>
            <c:ext xmlns:c16="http://schemas.microsoft.com/office/drawing/2014/chart" uri="{C3380CC4-5D6E-409C-BE32-E72D297353CC}">
              <c16:uniqueId val="{00000005-2C01-448F-B0C2-D749DFB216B9}"/>
            </c:ext>
          </c:extLst>
        </c:ser>
        <c:dLbls>
          <c:showLegendKey val="0"/>
          <c:showVal val="0"/>
          <c:showCatName val="0"/>
          <c:showSerName val="0"/>
          <c:showPercent val="0"/>
          <c:showBubbleSize val="0"/>
        </c:dLbls>
        <c:gapWidth val="150"/>
        <c:overlap val="100"/>
        <c:axId val="2010675103"/>
        <c:axId val="1"/>
      </c:barChart>
      <c:lineChart>
        <c:grouping val="standard"/>
        <c:varyColors val="0"/>
        <c:ser>
          <c:idx val="0"/>
          <c:order val="0"/>
          <c:tx>
            <c:strRef>
              <c:f>'1.2 ΕΛΛΑΔΑ'!$B$4</c:f>
              <c:strCache>
                <c:ptCount val="1"/>
                <c:pt idx="0">
                  <c:v>ΑΕΠ</c:v>
                </c:pt>
              </c:strCache>
            </c:strRef>
          </c:tx>
          <c:spPr>
            <a:ln w="19050" cap="rnd" cmpd="sng" algn="ctr">
              <a:solidFill>
                <a:srgbClr val="4F81BD"/>
              </a:solidFill>
              <a:prstDash val="solid"/>
              <a:round/>
            </a:ln>
            <a:effectLst/>
          </c:spPr>
          <c:marker>
            <c:symbol val="none"/>
          </c:marker>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ΕΛΛΑΔΑ'!$B$5:$B$31</c:f>
              <c:numCache>
                <c:formatCode>0.0%</c:formatCode>
                <c:ptCount val="27"/>
                <c:pt idx="0">
                  <c:v>0</c:v>
                </c:pt>
                <c:pt idx="1">
                  <c:v>-1.9589385948512339E-2</c:v>
                </c:pt>
                <c:pt idx="2">
                  <c:v>-0.15448679765388251</c:v>
                </c:pt>
                <c:pt idx="3">
                  <c:v>-0.10251872850515448</c:v>
                </c:pt>
                <c:pt idx="4">
                  <c:v>-7.964451710239695E-2</c:v>
                </c:pt>
                <c:pt idx="5">
                  <c:v>-4.1035317851971946E-2</c:v>
                </c:pt>
                <c:pt idx="6">
                  <c:v>-2.7509054465927846E-2</c:v>
                </c:pt>
                <c:pt idx="7">
                  <c:v>1.0261003404391598E-3</c:v>
                </c:pt>
                <c:pt idx="8">
                  <c:v>1.4111053622438521E-2</c:v>
                </c:pt>
                <c:pt idx="9">
                  <c:v>3.3237390052913762E-2</c:v>
                </c:pt>
                <c:pt idx="10">
                  <c:v>3.5237416140210552E-2</c:v>
                </c:pt>
                <c:pt idx="11">
                  <c:v>4.5881033230868229E-2</c:v>
                </c:pt>
                <c:pt idx="12">
                  <c:v>5.5450723270303461E-2</c:v>
                </c:pt>
                <c:pt idx="13">
                  <c:v>5.5768118714591836E-2</c:v>
                </c:pt>
                <c:pt idx="14">
                  <c:v>6.751175015326287E-2</c:v>
                </c:pt>
                <c:pt idx="15">
                  <c:v>6.4439970956142845E-2</c:v>
                </c:pt>
                <c:pt idx="16">
                  <c:v>7.1607455749422844E-2</c:v>
                </c:pt>
                <c:pt idx="17">
                  <c:v>7.4709670126132041E-2</c:v>
                </c:pt>
                <c:pt idx="18">
                  <c:v>8.7122875515767556E-2</c:v>
                </c:pt>
                <c:pt idx="19">
                  <c:v>9.0244655365069912E-2</c:v>
                </c:pt>
                <c:pt idx="20">
                  <c:v>9.524472058331189E-2</c:v>
                </c:pt>
                <c:pt idx="21">
                  <c:v>0.10092522945951468</c:v>
                </c:pt>
                <c:pt idx="22">
                  <c:v>0.10631443018821987</c:v>
                </c:pt>
                <c:pt idx="23">
                  <c:v>0.1129340817488924</c:v>
                </c:pt>
                <c:pt idx="24">
                  <c:v>0.1206385300677834</c:v>
                </c:pt>
                <c:pt idx="25">
                  <c:v>0.12306899655212891</c:v>
                </c:pt>
                <c:pt idx="26">
                  <c:v>0.12693209041857056</c:v>
                </c:pt>
              </c:numCache>
            </c:numRef>
          </c:val>
          <c:smooth val="0"/>
          <c:extLst>
            <c:ext xmlns:c16="http://schemas.microsoft.com/office/drawing/2014/chart" uri="{C3380CC4-5D6E-409C-BE32-E72D297353CC}">
              <c16:uniqueId val="{00000006-2C01-448F-B0C2-D749DFB216B9}"/>
            </c:ext>
          </c:extLst>
        </c:ser>
        <c:dLbls>
          <c:showLegendKey val="0"/>
          <c:showVal val="0"/>
          <c:showCatName val="0"/>
          <c:showSerName val="0"/>
          <c:showPercent val="0"/>
          <c:showBubbleSize val="0"/>
        </c:dLbls>
        <c:marker val="1"/>
        <c:smooth val="0"/>
        <c:axId val="2010675103"/>
        <c:axId val="1"/>
      </c:lineChart>
      <c:catAx>
        <c:axId val="2010675103"/>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5400000" spcFirstLastPara="1" vertOverflow="ellipsis"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crossAx val="1"/>
        <c:crosses val="autoZero"/>
        <c:auto val="0"/>
        <c:lblAlgn val="ctr"/>
        <c:lblOffset val="100"/>
        <c:noMultiLvlLbl val="0"/>
      </c:catAx>
      <c:valAx>
        <c:axId val="1"/>
        <c:scaling>
          <c:orientation val="minMax"/>
        </c:scaling>
        <c:delete val="0"/>
        <c:axPos val="l"/>
        <c:majorGridlines>
          <c:spPr>
            <a:ln w="3175" cap="flat" cmpd="sng" algn="ctr">
              <a:solidFill>
                <a:schemeClr val="bg1">
                  <a:lumMod val="85000"/>
                </a:schemeClr>
              </a:solidFill>
              <a:prstDash val="solid"/>
              <a:round/>
            </a:ln>
            <a:effectLst/>
          </c:spPr>
        </c:majorGridlines>
        <c:numFmt formatCode="[$-408]0.0%" sourceLinked="0"/>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crossAx val="2010675103"/>
        <c:crosses val="autoZero"/>
        <c:crossBetween val="between"/>
      </c:valAx>
      <c:spPr>
        <a:solidFill>
          <a:schemeClr val="bg1"/>
        </a:solidFill>
        <a:ln>
          <a:noFill/>
        </a:ln>
        <a:effectLst/>
      </c:spPr>
    </c:plotArea>
    <c:legend>
      <c:legendPos val="b"/>
      <c:layout>
        <c:manualLayout>
          <c:xMode val="edge"/>
          <c:yMode val="edge"/>
          <c:x val="0.20868867687018725"/>
          <c:y val="0.75536966772338565"/>
          <c:w val="0.68134036521550834"/>
          <c:h val="0.19044538507831033"/>
        </c:manualLayout>
      </c:layout>
      <c:overlay val="1"/>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legend>
    <c:plotVisOnly val="1"/>
    <c:dispBlanksAs val="gap"/>
    <c:showDLblsOverMax val="0"/>
  </c:chart>
  <c:spPr>
    <a:solidFill>
      <a:schemeClr val="bg1"/>
    </a:solidFill>
    <a:ln w="3175" cap="flat" cmpd="sng" algn="ctr">
      <a:solidFill>
        <a:schemeClr val="bg1">
          <a:lumMod val="85000"/>
        </a:schemeClr>
      </a:solidFill>
      <a:prstDash val="solid"/>
      <a:round/>
    </a:ln>
    <a:effectLst/>
  </c:spPr>
  <c:txPr>
    <a:bodyPr/>
    <a:lstStyle/>
    <a:p>
      <a:pPr>
        <a:defRPr sz="700">
          <a:latin typeface="Arial" panose="020B0604020202020204" pitchFamily="34" charset="0"/>
          <a:cs typeface="Arial" panose="020B0604020202020204" pitchFamily="34" charset="0"/>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l-GR" sz="800"/>
              <a:t>Ευρωζώνη</a:t>
            </a:r>
          </a:p>
        </c:rich>
      </c:tx>
      <c:layout>
        <c:manualLayout>
          <c:xMode val="edge"/>
          <c:yMode val="edge"/>
          <c:x val="0.16878295670593546"/>
          <c:y val="6.4166187781384748E-2"/>
        </c:manualLayout>
      </c:layout>
      <c:overlay val="0"/>
    </c:title>
    <c:autoTitleDeleted val="0"/>
    <c:plotArea>
      <c:layout>
        <c:manualLayout>
          <c:layoutTarget val="inner"/>
          <c:xMode val="edge"/>
          <c:yMode val="edge"/>
          <c:x val="8.698952047052512E-2"/>
          <c:y val="5.3675065616797892E-2"/>
          <c:w val="0.86796911699906121"/>
          <c:h val="0.9259832020997375"/>
        </c:manualLayout>
      </c:layout>
      <c:barChart>
        <c:barDir val="col"/>
        <c:grouping val="stacked"/>
        <c:varyColors val="0"/>
        <c:ser>
          <c:idx val="1"/>
          <c:order val="1"/>
          <c:tx>
            <c:strRef>
              <c:f>'1.2 EUROZONE'!$A$5</c:f>
              <c:strCache>
                <c:ptCount val="1"/>
                <c:pt idx="0">
                  <c:v>Ιδιωτική κατανάλωση</c:v>
                </c:pt>
              </c:strCache>
            </c:strRef>
          </c:tx>
          <c:spPr>
            <a:solidFill>
              <a:schemeClr val="bg1">
                <a:lumMod val="50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EUROZONE'!$B$5:$AC$5</c:f>
              <c:numCache>
                <c:formatCode>0.0%</c:formatCode>
                <c:ptCount val="28"/>
                <c:pt idx="0">
                  <c:v>0</c:v>
                </c:pt>
                <c:pt idx="1">
                  <c:v>-2.4988261475147835E-2</c:v>
                </c:pt>
                <c:pt idx="2">
                  <c:v>-8.4681751966293101E-2</c:v>
                </c:pt>
                <c:pt idx="3">
                  <c:v>-2.4595646033007349E-2</c:v>
                </c:pt>
                <c:pt idx="4">
                  <c:v>-3.6981750583686239E-2</c:v>
                </c:pt>
                <c:pt idx="5">
                  <c:v>-4.3788859954658831E-2</c:v>
                </c:pt>
                <c:pt idx="6">
                  <c:v>-2.5532386250831082E-2</c:v>
                </c:pt>
                <c:pt idx="7">
                  <c:v>-6.0900143800738521E-3</c:v>
                </c:pt>
                <c:pt idx="8">
                  <c:v>-4.1766917694824142E-3</c:v>
                </c:pt>
                <c:pt idx="9">
                  <c:v>1.7565843925754223E-3</c:v>
                </c:pt>
                <c:pt idx="10">
                  <c:v>8.2991378724349592E-3</c:v>
                </c:pt>
                <c:pt idx="11">
                  <c:v>1.1572002525134217E-2</c:v>
                </c:pt>
                <c:pt idx="12">
                  <c:v>6.3650280401336403E-3</c:v>
                </c:pt>
                <c:pt idx="13">
                  <c:v>9.5639504921519684E-3</c:v>
                </c:pt>
                <c:pt idx="14">
                  <c:v>1.1454112031640762E-2</c:v>
                </c:pt>
                <c:pt idx="15">
                  <c:v>1.1008951112400319E-2</c:v>
                </c:pt>
                <c:pt idx="16">
                  <c:v>1.1500370015754369E-2</c:v>
                </c:pt>
                <c:pt idx="17">
                  <c:v>1.5912072875123359E-2</c:v>
                </c:pt>
                <c:pt idx="18">
                  <c:v>1.7135952632337578E-2</c:v>
                </c:pt>
                <c:pt idx="19">
                  <c:v>2.0338788727949413E-2</c:v>
                </c:pt>
                <c:pt idx="20">
                  <c:v>2.3506722821678004E-2</c:v>
                </c:pt>
                <c:pt idx="21">
                  <c:v>2.5208997389631799E-2</c:v>
                </c:pt>
                <c:pt idx="22">
                  <c:v>2.6151223124295742E-2</c:v>
                </c:pt>
                <c:pt idx="23">
                  <c:v>2.7326503127049394E-2</c:v>
                </c:pt>
                <c:pt idx="24">
                  <c:v>3.0342863729143542E-2</c:v>
                </c:pt>
                <c:pt idx="25">
                  <c:v>3.0692557407938716E-2</c:v>
                </c:pt>
                <c:pt idx="26">
                  <c:v>3.2917046763261175E-2</c:v>
                </c:pt>
              </c:numCache>
            </c:numRef>
          </c:val>
          <c:extLst>
            <c:ext xmlns:c16="http://schemas.microsoft.com/office/drawing/2014/chart" uri="{C3380CC4-5D6E-409C-BE32-E72D297353CC}">
              <c16:uniqueId val="{00000000-D616-47C7-ACF6-131322C87A8C}"/>
            </c:ext>
          </c:extLst>
        </c:ser>
        <c:ser>
          <c:idx val="2"/>
          <c:order val="2"/>
          <c:tx>
            <c:strRef>
              <c:f>'1.2 EUROZONE'!$A$6</c:f>
              <c:strCache>
                <c:ptCount val="1"/>
                <c:pt idx="0">
                  <c:v>Δημόσια κατανάλωση</c:v>
                </c:pt>
              </c:strCache>
            </c:strRef>
          </c:tx>
          <c:spPr>
            <a:solidFill>
              <a:schemeClr val="accent1">
                <a:lumMod val="60000"/>
                <a:lumOff val="40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EUROZONE'!$B$6:$AC$6</c:f>
              <c:numCache>
                <c:formatCode>0.0%</c:formatCode>
                <c:ptCount val="28"/>
                <c:pt idx="0">
                  <c:v>0</c:v>
                </c:pt>
                <c:pt idx="1">
                  <c:v>2.5457930785415873E-4</c:v>
                </c:pt>
                <c:pt idx="2">
                  <c:v>-5.4955896605000864E-3</c:v>
                </c:pt>
                <c:pt idx="3">
                  <c:v>5.9940659539408194E-3</c:v>
                </c:pt>
                <c:pt idx="4">
                  <c:v>6.6053642516309937E-3</c:v>
                </c:pt>
                <c:pt idx="5">
                  <c:v>7.3358682836943707E-3</c:v>
                </c:pt>
                <c:pt idx="6">
                  <c:v>1.0872775562773112E-2</c:v>
                </c:pt>
                <c:pt idx="7">
                  <c:v>1.2216310161002492E-2</c:v>
                </c:pt>
                <c:pt idx="8">
                  <c:v>1.2726206594765341E-2</c:v>
                </c:pt>
                <c:pt idx="9">
                  <c:v>1.3335676386842089E-2</c:v>
                </c:pt>
                <c:pt idx="10">
                  <c:v>1.3582235933234146E-2</c:v>
                </c:pt>
                <c:pt idx="11">
                  <c:v>1.2974915437229199E-2</c:v>
                </c:pt>
                <c:pt idx="12">
                  <c:v>1.4351491452682595E-2</c:v>
                </c:pt>
                <c:pt idx="13">
                  <c:v>1.4273763924591521E-2</c:v>
                </c:pt>
                <c:pt idx="14">
                  <c:v>1.5477530120058708E-2</c:v>
                </c:pt>
                <c:pt idx="15">
                  <c:v>1.6503129294882988E-2</c:v>
                </c:pt>
                <c:pt idx="16">
                  <c:v>1.8530942020107979E-2</c:v>
                </c:pt>
                <c:pt idx="17">
                  <c:v>1.9811473372290743E-2</c:v>
                </c:pt>
                <c:pt idx="18">
                  <c:v>2.1748887346314482E-2</c:v>
                </c:pt>
                <c:pt idx="19">
                  <c:v>2.3219422887058316E-2</c:v>
                </c:pt>
                <c:pt idx="20">
                  <c:v>2.4098164189987874E-2</c:v>
                </c:pt>
                <c:pt idx="21">
                  <c:v>2.3650629421354635E-2</c:v>
                </c:pt>
                <c:pt idx="22">
                  <c:v>2.4949927015358843E-2</c:v>
                </c:pt>
                <c:pt idx="23">
                  <c:v>2.6522987186634629E-2</c:v>
                </c:pt>
                <c:pt idx="24">
                  <c:v>2.7813430963984608E-2</c:v>
                </c:pt>
                <c:pt idx="25">
                  <c:v>2.9092903707654393E-2</c:v>
                </c:pt>
                <c:pt idx="26">
                  <c:v>2.9463288371021887E-2</c:v>
                </c:pt>
              </c:numCache>
            </c:numRef>
          </c:val>
          <c:extLst>
            <c:ext xmlns:c16="http://schemas.microsoft.com/office/drawing/2014/chart" uri="{C3380CC4-5D6E-409C-BE32-E72D297353CC}">
              <c16:uniqueId val="{00000001-D616-47C7-ACF6-131322C87A8C}"/>
            </c:ext>
          </c:extLst>
        </c:ser>
        <c:ser>
          <c:idx val="3"/>
          <c:order val="3"/>
          <c:tx>
            <c:strRef>
              <c:f>'1.2 EUROZONE'!$A$7</c:f>
              <c:strCache>
                <c:ptCount val="1"/>
                <c:pt idx="0">
                  <c:v>Επενδύσεις</c:v>
                </c:pt>
              </c:strCache>
            </c:strRef>
          </c:tx>
          <c:spPr>
            <a:solidFill>
              <a:schemeClr val="tx2">
                <a:lumMod val="75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EUROZONE'!$B$7:$AC$7</c:f>
              <c:numCache>
                <c:formatCode>0.0%</c:formatCode>
                <c:ptCount val="28"/>
                <c:pt idx="0">
                  <c:v>0</c:v>
                </c:pt>
                <c:pt idx="1">
                  <c:v>-8.6580703164344224E-3</c:v>
                </c:pt>
                <c:pt idx="2">
                  <c:v>-4.9774360803358099E-2</c:v>
                </c:pt>
                <c:pt idx="3">
                  <c:v>-2.6727394866781634E-2</c:v>
                </c:pt>
                <c:pt idx="4">
                  <c:v>-1.7405865724107288E-2</c:v>
                </c:pt>
                <c:pt idx="5">
                  <c:v>-2.1261606639874864E-2</c:v>
                </c:pt>
                <c:pt idx="6">
                  <c:v>-1.8053926608339904E-2</c:v>
                </c:pt>
                <c:pt idx="7">
                  <c:v>-1.997536521753104E-2</c:v>
                </c:pt>
                <c:pt idx="8">
                  <c:v>-1.377689158344318E-2</c:v>
                </c:pt>
                <c:pt idx="9">
                  <c:v>-1.442668473615159E-2</c:v>
                </c:pt>
                <c:pt idx="10">
                  <c:v>-1.4136754319772333E-2</c:v>
                </c:pt>
                <c:pt idx="11">
                  <c:v>-1.1772753194054441E-2</c:v>
                </c:pt>
                <c:pt idx="12">
                  <c:v>-1.1947968942479294E-2</c:v>
                </c:pt>
                <c:pt idx="13">
                  <c:v>-7.5438688169764357E-3</c:v>
                </c:pt>
                <c:pt idx="14">
                  <c:v>-7.5702698717097774E-3</c:v>
                </c:pt>
                <c:pt idx="15">
                  <c:v>-7.2981112467306311E-3</c:v>
                </c:pt>
                <c:pt idx="16">
                  <c:v>-5.4266838700173662E-3</c:v>
                </c:pt>
                <c:pt idx="17">
                  <c:v>-9.5421367409748731E-3</c:v>
                </c:pt>
                <c:pt idx="18">
                  <c:v>-1.4754500505678024E-2</c:v>
                </c:pt>
                <c:pt idx="19">
                  <c:v>-1.149562231696873E-2</c:v>
                </c:pt>
                <c:pt idx="20">
                  <c:v>-9.8246889768089981E-3</c:v>
                </c:pt>
                <c:pt idx="21">
                  <c:v>-4.4663334744490637E-3</c:v>
                </c:pt>
                <c:pt idx="22">
                  <c:v>-7.1391274955051416E-3</c:v>
                </c:pt>
                <c:pt idx="23">
                  <c:v>-4.9506308296247475E-3</c:v>
                </c:pt>
                <c:pt idx="24">
                  <c:v>-3.3977804572335548E-3</c:v>
                </c:pt>
                <c:pt idx="25">
                  <c:v>-3.8358519073414723E-3</c:v>
                </c:pt>
                <c:pt idx="26">
                  <c:v>-3.9664136239451085E-3</c:v>
                </c:pt>
              </c:numCache>
            </c:numRef>
          </c:val>
          <c:extLst>
            <c:ext xmlns:c16="http://schemas.microsoft.com/office/drawing/2014/chart" uri="{C3380CC4-5D6E-409C-BE32-E72D297353CC}">
              <c16:uniqueId val="{00000002-D616-47C7-ACF6-131322C87A8C}"/>
            </c:ext>
          </c:extLst>
        </c:ser>
        <c:ser>
          <c:idx val="4"/>
          <c:order val="4"/>
          <c:tx>
            <c:strRef>
              <c:f>'1.2 EUROZONE'!$A$8</c:f>
              <c:strCache>
                <c:ptCount val="1"/>
                <c:pt idx="0">
                  <c:v>Καθαρές εξαγωγές αγαθών</c:v>
                </c:pt>
              </c:strCache>
            </c:strRef>
          </c:tx>
          <c:spPr>
            <a:solidFill>
              <a:schemeClr val="bg1">
                <a:lumMod val="75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EUROZONE'!$B$8:$AC$8</c:f>
              <c:numCache>
                <c:formatCode>0.0%</c:formatCode>
                <c:ptCount val="28"/>
                <c:pt idx="0">
                  <c:v>0</c:v>
                </c:pt>
                <c:pt idx="1">
                  <c:v>-1.923684142400575E-3</c:v>
                </c:pt>
                <c:pt idx="2">
                  <c:v>-1.4642191766162225E-2</c:v>
                </c:pt>
                <c:pt idx="3">
                  <c:v>-1.9808490021026924E-3</c:v>
                </c:pt>
                <c:pt idx="4">
                  <c:v>1.7893370983867939E-3</c:v>
                </c:pt>
                <c:pt idx="5">
                  <c:v>2.0684568763151005E-3</c:v>
                </c:pt>
                <c:pt idx="6">
                  <c:v>1.7827288149419608E-3</c:v>
                </c:pt>
                <c:pt idx="7">
                  <c:v>1.1830752108948652E-3</c:v>
                </c:pt>
                <c:pt idx="8">
                  <c:v>-4.8483628314595255E-3</c:v>
                </c:pt>
                <c:pt idx="9">
                  <c:v>-6.0615923454520361E-3</c:v>
                </c:pt>
                <c:pt idx="10">
                  <c:v>-3.2894495194029476E-3</c:v>
                </c:pt>
                <c:pt idx="11">
                  <c:v>-1.8685081835410531E-3</c:v>
                </c:pt>
                <c:pt idx="12">
                  <c:v>4.0525458620486391E-4</c:v>
                </c:pt>
                <c:pt idx="13">
                  <c:v>1.9147340886088195E-3</c:v>
                </c:pt>
                <c:pt idx="14">
                  <c:v>-1.3151125636075276E-3</c:v>
                </c:pt>
                <c:pt idx="15">
                  <c:v>-3.4998239020808015E-5</c:v>
                </c:pt>
                <c:pt idx="16">
                  <c:v>4.4183111428137472E-3</c:v>
                </c:pt>
                <c:pt idx="17">
                  <c:v>3.7816703989032481E-3</c:v>
                </c:pt>
                <c:pt idx="18">
                  <c:v>3.6622080321632063E-3</c:v>
                </c:pt>
                <c:pt idx="19">
                  <c:v>5.3353869055322253E-4</c:v>
                </c:pt>
                <c:pt idx="20">
                  <c:v>1.8989511980513059E-3</c:v>
                </c:pt>
                <c:pt idx="21">
                  <c:v>1.6906940324024741E-3</c:v>
                </c:pt>
                <c:pt idx="22">
                  <c:v>-3.460879940417693E-3</c:v>
                </c:pt>
                <c:pt idx="23">
                  <c:v>-3.0918746760216637E-3</c:v>
                </c:pt>
                <c:pt idx="24">
                  <c:v>-4.1228952095943953E-3</c:v>
                </c:pt>
                <c:pt idx="25">
                  <c:v>-9.4172850945322961E-3</c:v>
                </c:pt>
                <c:pt idx="26">
                  <c:v>1.6015463639893206E-3</c:v>
                </c:pt>
              </c:numCache>
            </c:numRef>
          </c:val>
          <c:extLst>
            <c:ext xmlns:c16="http://schemas.microsoft.com/office/drawing/2014/chart" uri="{C3380CC4-5D6E-409C-BE32-E72D297353CC}">
              <c16:uniqueId val="{00000003-D616-47C7-ACF6-131322C87A8C}"/>
            </c:ext>
          </c:extLst>
        </c:ser>
        <c:ser>
          <c:idx val="5"/>
          <c:order val="5"/>
          <c:tx>
            <c:strRef>
              <c:f>'1.2 EUROZONE'!$A$9</c:f>
              <c:strCache>
                <c:ptCount val="1"/>
                <c:pt idx="0">
                  <c:v>Καθαρές εξαγωγές υπηρεσιών</c:v>
                </c:pt>
              </c:strCache>
            </c:strRef>
          </c:tx>
          <c:spPr>
            <a:solidFill>
              <a:schemeClr val="tx2">
                <a:lumMod val="60000"/>
                <a:lumOff val="40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EUROZONE'!$B$9:$AC$9</c:f>
              <c:numCache>
                <c:formatCode>0.0%</c:formatCode>
                <c:ptCount val="28"/>
                <c:pt idx="0">
                  <c:v>0</c:v>
                </c:pt>
                <c:pt idx="1">
                  <c:v>-2.0504926106399446E-4</c:v>
                </c:pt>
                <c:pt idx="2">
                  <c:v>1.364562412783089E-2</c:v>
                </c:pt>
                <c:pt idx="3">
                  <c:v>1.5613449037319057E-2</c:v>
                </c:pt>
                <c:pt idx="4">
                  <c:v>1.123584620368712E-2</c:v>
                </c:pt>
                <c:pt idx="5">
                  <c:v>1.8009465050793805E-2</c:v>
                </c:pt>
                <c:pt idx="6">
                  <c:v>1.8982165879013805E-2</c:v>
                </c:pt>
                <c:pt idx="7">
                  <c:v>2.1012961955502708E-2</c:v>
                </c:pt>
                <c:pt idx="8">
                  <c:v>1.7903764594722805E-2</c:v>
                </c:pt>
                <c:pt idx="9">
                  <c:v>2.3497002870785894E-2</c:v>
                </c:pt>
                <c:pt idx="10">
                  <c:v>2.1012833639319307E-2</c:v>
                </c:pt>
                <c:pt idx="11">
                  <c:v>1.8059155492813214E-2</c:v>
                </c:pt>
                <c:pt idx="12">
                  <c:v>1.8323326435376101E-2</c:v>
                </c:pt>
                <c:pt idx="13">
                  <c:v>1.7513779634341867E-2</c:v>
                </c:pt>
                <c:pt idx="14">
                  <c:v>1.9311136494190782E-2</c:v>
                </c:pt>
                <c:pt idx="15">
                  <c:v>2.1139962898017162E-2</c:v>
                </c:pt>
                <c:pt idx="16">
                  <c:v>1.6221250719011714E-2</c:v>
                </c:pt>
                <c:pt idx="17">
                  <c:v>2.0611043590066085E-2</c:v>
                </c:pt>
                <c:pt idx="18">
                  <c:v>2.3209574619982822E-2</c:v>
                </c:pt>
                <c:pt idx="19">
                  <c:v>1.8927278631566929E-2</c:v>
                </c:pt>
                <c:pt idx="20">
                  <c:v>1.8523692155746192E-2</c:v>
                </c:pt>
                <c:pt idx="21">
                  <c:v>1.6992623455486161E-2</c:v>
                </c:pt>
                <c:pt idx="22">
                  <c:v>2.0175955491222117E-2</c:v>
                </c:pt>
                <c:pt idx="23">
                  <c:v>1.7907742396408032E-2</c:v>
                </c:pt>
                <c:pt idx="24">
                  <c:v>1.9566100750595145E-2</c:v>
                </c:pt>
                <c:pt idx="25">
                  <c:v>1.9024189429075418E-2</c:v>
                </c:pt>
                <c:pt idx="26">
                  <c:v>1.797866916677919E-2</c:v>
                </c:pt>
              </c:numCache>
            </c:numRef>
          </c:val>
          <c:extLst>
            <c:ext xmlns:c16="http://schemas.microsoft.com/office/drawing/2014/chart" uri="{C3380CC4-5D6E-409C-BE32-E72D297353CC}">
              <c16:uniqueId val="{00000004-D616-47C7-ACF6-131322C87A8C}"/>
            </c:ext>
          </c:extLst>
        </c:ser>
        <c:ser>
          <c:idx val="6"/>
          <c:order val="6"/>
          <c:tx>
            <c:strRef>
              <c:f>'1.2 EUROZONE'!$A$10</c:f>
              <c:strCache>
                <c:ptCount val="1"/>
                <c:pt idx="0">
                  <c:v>Στατιστικές διαφορές και αποθέματα</c:v>
                </c:pt>
              </c:strCache>
            </c:strRef>
          </c:tx>
          <c:spPr>
            <a:solidFill>
              <a:schemeClr val="accent1">
                <a:lumMod val="75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EUROZONE'!$B$10:$AC$10</c:f>
              <c:numCache>
                <c:formatCode>0.0%</c:formatCode>
                <c:ptCount val="28"/>
                <c:pt idx="0">
                  <c:v>0</c:v>
                </c:pt>
                <c:pt idx="1">
                  <c:v>4.0632281843159812E-3</c:v>
                </c:pt>
                <c:pt idx="2">
                  <c:v>1.7082091914357445E-3</c:v>
                </c:pt>
                <c:pt idx="3">
                  <c:v>-8.3681078210093018E-3</c:v>
                </c:pt>
                <c:pt idx="4">
                  <c:v>-2.6863634574502276E-3</c:v>
                </c:pt>
                <c:pt idx="5">
                  <c:v>8.8656859011662058E-3</c:v>
                </c:pt>
                <c:pt idx="6">
                  <c:v>3.9256732357174379E-3</c:v>
                </c:pt>
                <c:pt idx="7">
                  <c:v>1.8276715581757291E-3</c:v>
                </c:pt>
                <c:pt idx="8">
                  <c:v>9.6134484598961248E-3</c:v>
                </c:pt>
                <c:pt idx="9">
                  <c:v>7.0638379748984986E-3</c:v>
                </c:pt>
                <c:pt idx="10">
                  <c:v>9.3702251342723045E-3</c:v>
                </c:pt>
                <c:pt idx="11">
                  <c:v>1.1487345923139804E-2</c:v>
                </c:pt>
                <c:pt idx="12">
                  <c:v>1.2379656662463254E-2</c:v>
                </c:pt>
                <c:pt idx="13">
                  <c:v>2.1530172411718049E-3</c:v>
                </c:pt>
                <c:pt idx="14">
                  <c:v>2.6331443203872276E-3</c:v>
                </c:pt>
                <c:pt idx="15">
                  <c:v>5.9641362041630563E-4</c:v>
                </c:pt>
                <c:pt idx="16">
                  <c:v>-3.2066535020679743E-3</c:v>
                </c:pt>
                <c:pt idx="17">
                  <c:v>-4.0073464864480088E-3</c:v>
                </c:pt>
                <c:pt idx="18">
                  <c:v>-2.0022457256837836E-3</c:v>
                </c:pt>
                <c:pt idx="19">
                  <c:v>3.1291184482517553E-3</c:v>
                </c:pt>
                <c:pt idx="20">
                  <c:v>-9.3414181510965977E-5</c:v>
                </c:pt>
                <c:pt idx="21">
                  <c:v>2.2156996967598319E-4</c:v>
                </c:pt>
                <c:pt idx="22">
                  <c:v>2.9806245450187119E-3</c:v>
                </c:pt>
                <c:pt idx="23">
                  <c:v>3.2549645451155629E-3</c:v>
                </c:pt>
                <c:pt idx="24">
                  <c:v>-7.4506791887871127E-4</c:v>
                </c:pt>
                <c:pt idx="25">
                  <c:v>3.7946624124718664E-3</c:v>
                </c:pt>
                <c:pt idx="26">
                  <c:v>-1.8740257794271076E-3</c:v>
                </c:pt>
              </c:numCache>
            </c:numRef>
          </c:val>
          <c:extLst>
            <c:ext xmlns:c16="http://schemas.microsoft.com/office/drawing/2014/chart" uri="{C3380CC4-5D6E-409C-BE32-E72D297353CC}">
              <c16:uniqueId val="{00000005-D616-47C7-ACF6-131322C87A8C}"/>
            </c:ext>
          </c:extLst>
        </c:ser>
        <c:dLbls>
          <c:showLegendKey val="0"/>
          <c:showVal val="0"/>
          <c:showCatName val="0"/>
          <c:showSerName val="0"/>
          <c:showPercent val="0"/>
          <c:showBubbleSize val="0"/>
        </c:dLbls>
        <c:gapWidth val="150"/>
        <c:overlap val="100"/>
        <c:axId val="2009380175"/>
        <c:axId val="1"/>
      </c:barChart>
      <c:lineChart>
        <c:grouping val="standard"/>
        <c:varyColors val="0"/>
        <c:ser>
          <c:idx val="0"/>
          <c:order val="0"/>
          <c:tx>
            <c:strRef>
              <c:f>'1.2 EUROZONE'!$A$4</c:f>
              <c:strCache>
                <c:ptCount val="1"/>
                <c:pt idx="0">
                  <c:v>ΑΕΠ</c:v>
                </c:pt>
              </c:strCache>
            </c:strRef>
          </c:tx>
          <c:spPr>
            <a:ln>
              <a:solidFill>
                <a:srgbClr val="4F81BD"/>
              </a:solidFill>
            </a:ln>
          </c:spPr>
          <c:marker>
            <c:symbol val="none"/>
          </c:marker>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EUROZONE'!$B$4:$AC$4</c:f>
              <c:numCache>
                <c:formatCode>0.0%</c:formatCode>
                <c:ptCount val="28"/>
                <c:pt idx="0">
                  <c:v>0</c:v>
                </c:pt>
                <c:pt idx="1">
                  <c:v>-3.1457257702876683E-2</c:v>
                </c:pt>
                <c:pt idx="2">
                  <c:v>-0.13924006087704688</c:v>
                </c:pt>
                <c:pt idx="3">
                  <c:v>-4.00644827316411E-2</c:v>
                </c:pt>
                <c:pt idx="4">
                  <c:v>-3.7443432211538841E-2</c:v>
                </c:pt>
                <c:pt idx="5">
                  <c:v>-2.8770990482564211E-2</c:v>
                </c:pt>
                <c:pt idx="6">
                  <c:v>-8.0229693667246676E-3</c:v>
                </c:pt>
                <c:pt idx="7">
                  <c:v>1.0174639287970902E-2</c:v>
                </c:pt>
                <c:pt idx="8">
                  <c:v>1.7441473464999149E-2</c:v>
                </c:pt>
                <c:pt idx="9">
                  <c:v>2.5164824543498276E-2</c:v>
                </c:pt>
                <c:pt idx="10">
                  <c:v>3.4838228740085436E-2</c:v>
                </c:pt>
                <c:pt idx="11">
                  <c:v>4.0452158000720939E-2</c:v>
                </c:pt>
                <c:pt idx="12">
                  <c:v>3.9876788234381157E-2</c:v>
                </c:pt>
                <c:pt idx="13">
                  <c:v>3.7875376563889541E-2</c:v>
                </c:pt>
                <c:pt idx="14">
                  <c:v>3.9990540530960177E-2</c:v>
                </c:pt>
                <c:pt idx="15">
                  <c:v>4.1915347439965334E-2</c:v>
                </c:pt>
                <c:pt idx="16">
                  <c:v>4.2037536525602472E-2</c:v>
                </c:pt>
                <c:pt idx="17">
                  <c:v>4.6566777008960551E-2</c:v>
                </c:pt>
                <c:pt idx="18">
                  <c:v>4.899987639943628E-2</c:v>
                </c:pt>
                <c:pt idx="19">
                  <c:v>5.4652525068410909E-2</c:v>
                </c:pt>
                <c:pt idx="20">
                  <c:v>5.8109427207143412E-2</c:v>
                </c:pt>
                <c:pt idx="21">
                  <c:v>6.3298180794101988E-2</c:v>
                </c:pt>
                <c:pt idx="22">
                  <c:v>6.3657722739972583E-2</c:v>
                </c:pt>
                <c:pt idx="23">
                  <c:v>6.6969691749561203E-2</c:v>
                </c:pt>
                <c:pt idx="24">
                  <c:v>6.9456651858016638E-2</c:v>
                </c:pt>
                <c:pt idx="25">
                  <c:v>6.9351175955266631E-2</c:v>
                </c:pt>
                <c:pt idx="26">
                  <c:v>7.6120111261679363E-2</c:v>
                </c:pt>
              </c:numCache>
            </c:numRef>
          </c:val>
          <c:smooth val="0"/>
          <c:extLst>
            <c:ext xmlns:c16="http://schemas.microsoft.com/office/drawing/2014/chart" uri="{C3380CC4-5D6E-409C-BE32-E72D297353CC}">
              <c16:uniqueId val="{00000006-D616-47C7-ACF6-131322C87A8C}"/>
            </c:ext>
          </c:extLst>
        </c:ser>
        <c:dLbls>
          <c:showLegendKey val="0"/>
          <c:showVal val="0"/>
          <c:showCatName val="0"/>
          <c:showSerName val="0"/>
          <c:showPercent val="0"/>
          <c:showBubbleSize val="0"/>
        </c:dLbls>
        <c:marker val="1"/>
        <c:smooth val="0"/>
        <c:axId val="2009380175"/>
        <c:axId val="1"/>
      </c:lineChart>
      <c:catAx>
        <c:axId val="2009380175"/>
        <c:scaling>
          <c:orientation val="minMax"/>
        </c:scaling>
        <c:delete val="0"/>
        <c:axPos val="b"/>
        <c:numFmt formatCode="General" sourceLinked="1"/>
        <c:majorTickMark val="out"/>
        <c:minorTickMark val="none"/>
        <c:tickLblPos val="nextTo"/>
        <c:txPr>
          <a:bodyPr rot="5400000" vert="horz"/>
          <a:lstStyle/>
          <a:p>
            <a:pPr>
              <a:defRPr/>
            </a:pPr>
            <a:endParaRPr lang="el-GR"/>
          </a:p>
        </c:txPr>
        <c:crossAx val="1"/>
        <c:crosses val="autoZero"/>
        <c:auto val="1"/>
        <c:lblAlgn val="ctr"/>
        <c:lblOffset val="100"/>
        <c:noMultiLvlLbl val="0"/>
      </c:catAx>
      <c:valAx>
        <c:axId val="1"/>
        <c:scaling>
          <c:orientation val="minMax"/>
        </c:scaling>
        <c:delete val="0"/>
        <c:axPos val="l"/>
        <c:majorGridlines>
          <c:spPr>
            <a:ln w="3175">
              <a:solidFill>
                <a:schemeClr val="bg1">
                  <a:lumMod val="85000"/>
                </a:schemeClr>
              </a:solidFill>
            </a:ln>
          </c:spPr>
        </c:majorGridlines>
        <c:numFmt formatCode="[$-408]0.0%" sourceLinked="0"/>
        <c:majorTickMark val="out"/>
        <c:minorTickMark val="none"/>
        <c:tickLblPos val="nextTo"/>
        <c:spPr>
          <a:ln>
            <a:noFill/>
          </a:ln>
        </c:spPr>
        <c:crossAx val="2009380175"/>
        <c:crosses val="autoZero"/>
        <c:crossBetween val="between"/>
      </c:valAx>
    </c:plotArea>
    <c:legend>
      <c:legendPos val="r"/>
      <c:layout>
        <c:manualLayout>
          <c:xMode val="edge"/>
          <c:yMode val="edge"/>
          <c:x val="0.27238642578718453"/>
          <c:y val="0.69753275765613876"/>
          <c:w val="0.71268126520681263"/>
          <c:h val="0.23860131233595794"/>
        </c:manualLayout>
      </c:layout>
      <c:overlay val="0"/>
    </c:legend>
    <c:plotVisOnly val="1"/>
    <c:dispBlanksAs val="gap"/>
    <c:showDLblsOverMax val="0"/>
  </c:chart>
  <c:spPr>
    <a:ln w="3175">
      <a:solidFill>
        <a:schemeClr val="bg1">
          <a:lumMod val="85000"/>
        </a:schemeClr>
      </a:solidFill>
    </a:ln>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'1.3 εγχώρια ζήτηση '!$C$3</c:f>
              <c:strCache>
                <c:ptCount val="1"/>
                <c:pt idx="0">
                  <c:v>2024</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'1.3 εγχώρια ζήτηση '!$B$4:$B$25</c:f>
              <c:strCache>
                <c:ptCount val="22"/>
                <c:pt idx="0">
                  <c:v>Ιρλανδία</c:v>
                </c:pt>
                <c:pt idx="1">
                  <c:v>Βουλγαρία</c:v>
                </c:pt>
                <c:pt idx="2">
                  <c:v>Λετονία</c:v>
                </c:pt>
                <c:pt idx="3">
                  <c:v>Μάλτα</c:v>
                </c:pt>
                <c:pt idx="4">
                  <c:v>Κροατία</c:v>
                </c:pt>
                <c:pt idx="5">
                  <c:v>Ισπανία</c:v>
                </c:pt>
                <c:pt idx="6">
                  <c:v>Λιθουανία</c:v>
                </c:pt>
                <c:pt idx="7">
                  <c:v>Πορτογαλία</c:v>
                </c:pt>
                <c:pt idx="8">
                  <c:v>Ελλάδα</c:v>
                </c:pt>
                <c:pt idx="9">
                  <c:v>Κύπρος</c:v>
                </c:pt>
                <c:pt idx="10">
                  <c:v>Σλοβενία</c:v>
                </c:pt>
                <c:pt idx="11">
                  <c:v>Λουξεμβούργο</c:v>
                </c:pt>
                <c:pt idx="12">
                  <c:v>Ευρωζώνη</c:v>
                </c:pt>
                <c:pt idx="13">
                  <c:v>Αυστρία</c:v>
                </c:pt>
                <c:pt idx="14">
                  <c:v>Ιταλία</c:v>
                </c:pt>
                <c:pt idx="15">
                  <c:v>Ολλανδία</c:v>
                </c:pt>
                <c:pt idx="16">
                  <c:v>Βέλγιο</c:v>
                </c:pt>
                <c:pt idx="17">
                  <c:v>Γερμανία</c:v>
                </c:pt>
                <c:pt idx="18">
                  <c:v>Εσθονία</c:v>
                </c:pt>
                <c:pt idx="19">
                  <c:v>Σλοβακία</c:v>
                </c:pt>
                <c:pt idx="20">
                  <c:v>Γαλλία</c:v>
                </c:pt>
                <c:pt idx="21">
                  <c:v>Φινλανδία</c:v>
                </c:pt>
              </c:strCache>
            </c:strRef>
          </c:cat>
          <c:val>
            <c:numRef>
              <c:f>'1.3 εγχώρια ζήτηση '!$C$4:$C$25</c:f>
              <c:numCache>
                <c:formatCode>0.0%</c:formatCode>
                <c:ptCount val="22"/>
                <c:pt idx="0">
                  <c:v>-8.1075999999999995E-2</c:v>
                </c:pt>
                <c:pt idx="1">
                  <c:v>4.0306000000000002E-2</c:v>
                </c:pt>
                <c:pt idx="2">
                  <c:v>-1.6802999999999998E-2</c:v>
                </c:pt>
                <c:pt idx="3">
                  <c:v>5.5336999999999997E-2</c:v>
                </c:pt>
                <c:pt idx="4">
                  <c:v>6.0763999999999999E-2</c:v>
                </c:pt>
                <c:pt idx="5">
                  <c:v>3.1488000000000002E-2</c:v>
                </c:pt>
                <c:pt idx="6">
                  <c:v>1.6102000000000002E-2</c:v>
                </c:pt>
                <c:pt idx="7">
                  <c:v>2.9715999999999999E-2</c:v>
                </c:pt>
                <c:pt idx="8">
                  <c:v>1.8038999999999999E-2</c:v>
                </c:pt>
                <c:pt idx="9">
                  <c:v>2.2131999999999999E-2</c:v>
                </c:pt>
                <c:pt idx="10">
                  <c:v>3.6283999999999997E-2</c:v>
                </c:pt>
                <c:pt idx="11">
                  <c:v>2.3998999999999999E-2</c:v>
                </c:pt>
                <c:pt idx="12">
                  <c:v>1.0222999999999999E-2</c:v>
                </c:pt>
                <c:pt idx="13">
                  <c:v>2.64E-3</c:v>
                </c:pt>
                <c:pt idx="14">
                  <c:v>2.689E-3</c:v>
                </c:pt>
                <c:pt idx="15">
                  <c:v>1.5976000000000001E-2</c:v>
                </c:pt>
                <c:pt idx="16">
                  <c:v>1.9392E-2</c:v>
                </c:pt>
                <c:pt idx="17">
                  <c:v>1.2033E-2</c:v>
                </c:pt>
                <c:pt idx="18">
                  <c:v>-1.2614E-2</c:v>
                </c:pt>
                <c:pt idx="19">
                  <c:v>3.1976999999999998E-2</c:v>
                </c:pt>
                <c:pt idx="20">
                  <c:v>5.9309999999999996E-3</c:v>
                </c:pt>
                <c:pt idx="21">
                  <c:v>-6.4190000000000002E-3</c:v>
                </c:pt>
              </c:numCache>
            </c:numRef>
          </c:val>
          <c:extLst>
            <c:ext xmlns:c16="http://schemas.microsoft.com/office/drawing/2014/chart" uri="{C3380CC4-5D6E-409C-BE32-E72D297353CC}">
              <c16:uniqueId val="{00000000-3647-476E-B85F-6BFDC8BE6C9F}"/>
            </c:ext>
          </c:extLst>
        </c:ser>
        <c:ser>
          <c:idx val="1"/>
          <c:order val="1"/>
          <c:tx>
            <c:strRef>
              <c:f>'1.3 εγχώρια ζήτηση '!$D$3</c:f>
              <c:strCache>
                <c:ptCount val="1"/>
                <c:pt idx="0">
                  <c:v>2025</c:v>
                </c:pt>
              </c:strCache>
            </c:strRef>
          </c:tx>
          <c:spPr>
            <a:solidFill>
              <a:schemeClr val="tx2">
                <a:lumMod val="75000"/>
              </a:schemeClr>
            </a:solidFill>
            <a:ln>
              <a:noFill/>
            </a:ln>
            <a:effectLst>
              <a:outerShdw blurRad="40000" dist="23000" dir="5400000" rotWithShape="0">
                <a:srgbClr val="000000">
                  <a:alpha val="35000"/>
                </a:srgbClr>
              </a:outerShdw>
            </a:effectLst>
          </c:spPr>
          <c:invertIfNegative val="0"/>
          <c:cat>
            <c:strRef>
              <c:f>'1.3 εγχώρια ζήτηση '!$B$4:$B$25</c:f>
              <c:strCache>
                <c:ptCount val="22"/>
                <c:pt idx="0">
                  <c:v>Ιρλανδία</c:v>
                </c:pt>
                <c:pt idx="1">
                  <c:v>Βουλγαρία</c:v>
                </c:pt>
                <c:pt idx="2">
                  <c:v>Λετονία</c:v>
                </c:pt>
                <c:pt idx="3">
                  <c:v>Μάλτα</c:v>
                </c:pt>
                <c:pt idx="4">
                  <c:v>Κροατία</c:v>
                </c:pt>
                <c:pt idx="5">
                  <c:v>Ισπανία</c:v>
                </c:pt>
                <c:pt idx="6">
                  <c:v>Λιθουανία</c:v>
                </c:pt>
                <c:pt idx="7">
                  <c:v>Πορτογαλία</c:v>
                </c:pt>
                <c:pt idx="8">
                  <c:v>Ελλάδα</c:v>
                </c:pt>
                <c:pt idx="9">
                  <c:v>Κύπρος</c:v>
                </c:pt>
                <c:pt idx="10">
                  <c:v>Σλοβενία</c:v>
                </c:pt>
                <c:pt idx="11">
                  <c:v>Λουξεμβούργο</c:v>
                </c:pt>
                <c:pt idx="12">
                  <c:v>Ευρωζώνη</c:v>
                </c:pt>
                <c:pt idx="13">
                  <c:v>Αυστρία</c:v>
                </c:pt>
                <c:pt idx="14">
                  <c:v>Ιταλία</c:v>
                </c:pt>
                <c:pt idx="15">
                  <c:v>Ολλανδία</c:v>
                </c:pt>
                <c:pt idx="16">
                  <c:v>Βέλγιο</c:v>
                </c:pt>
                <c:pt idx="17">
                  <c:v>Γερμανία</c:v>
                </c:pt>
                <c:pt idx="18">
                  <c:v>Εσθονία</c:v>
                </c:pt>
                <c:pt idx="19">
                  <c:v>Σλοβακία</c:v>
                </c:pt>
                <c:pt idx="20">
                  <c:v>Γαλλία</c:v>
                </c:pt>
                <c:pt idx="21">
                  <c:v>Φινλανδία</c:v>
                </c:pt>
              </c:strCache>
            </c:strRef>
          </c:cat>
          <c:val>
            <c:numRef>
              <c:f>'1.3 εγχώρια ζήτηση '!$D$4:$D$25</c:f>
              <c:numCache>
                <c:formatCode>0.0%</c:formatCode>
                <c:ptCount val="22"/>
                <c:pt idx="0">
                  <c:v>0.14024900000000001</c:v>
                </c:pt>
                <c:pt idx="1">
                  <c:v>8.3206000000000002E-2</c:v>
                </c:pt>
                <c:pt idx="2">
                  <c:v>4.0661999999999997E-2</c:v>
                </c:pt>
                <c:pt idx="3">
                  <c:v>3.9239999999999997E-2</c:v>
                </c:pt>
                <c:pt idx="4">
                  <c:v>3.7508E-2</c:v>
                </c:pt>
                <c:pt idx="5">
                  <c:v>3.6915999999999997E-2</c:v>
                </c:pt>
                <c:pt idx="6">
                  <c:v>3.3938999999999997E-2</c:v>
                </c:pt>
                <c:pt idx="7">
                  <c:v>3.2587999999999999E-2</c:v>
                </c:pt>
                <c:pt idx="8">
                  <c:v>2.7605999999999999E-2</c:v>
                </c:pt>
                <c:pt idx="9">
                  <c:v>2.3741000000000002E-2</c:v>
                </c:pt>
                <c:pt idx="10">
                  <c:v>2.2102E-2</c:v>
                </c:pt>
                <c:pt idx="11">
                  <c:v>2.1242E-2</c:v>
                </c:pt>
                <c:pt idx="12">
                  <c:v>1.7316999999999999E-2</c:v>
                </c:pt>
                <c:pt idx="13">
                  <c:v>1.5218000000000001E-2</c:v>
                </c:pt>
                <c:pt idx="14">
                  <c:v>1.5140000000000001E-2</c:v>
                </c:pt>
                <c:pt idx="15">
                  <c:v>1.3068E-2</c:v>
                </c:pt>
                <c:pt idx="16">
                  <c:v>1.2925000000000001E-2</c:v>
                </c:pt>
                <c:pt idx="17">
                  <c:v>1.0227E-2</c:v>
                </c:pt>
                <c:pt idx="18">
                  <c:v>9.1710000000000003E-3</c:v>
                </c:pt>
                <c:pt idx="19">
                  <c:v>8.4139999999999996E-3</c:v>
                </c:pt>
                <c:pt idx="20">
                  <c:v>4.4739999999999997E-3</c:v>
                </c:pt>
                <c:pt idx="21">
                  <c:v>-2.1299999999999999E-3</c:v>
                </c:pt>
              </c:numCache>
            </c:numRef>
          </c:val>
          <c:extLst>
            <c:ext xmlns:c16="http://schemas.microsoft.com/office/drawing/2014/chart" uri="{C3380CC4-5D6E-409C-BE32-E72D297353CC}">
              <c16:uniqueId val="{00000001-3647-476E-B85F-6BFDC8BE6C9F}"/>
            </c:ext>
          </c:extLst>
        </c:ser>
        <c:dLbls>
          <c:showLegendKey val="0"/>
          <c:showVal val="0"/>
          <c:showCatName val="0"/>
          <c:showSerName val="0"/>
          <c:showPercent val="0"/>
          <c:showBubbleSize val="0"/>
        </c:dLbls>
        <c:gapWidth val="100"/>
        <c:overlap val="-24"/>
        <c:axId val="184400128"/>
        <c:axId val="183967744"/>
      </c:barChart>
      <c:catAx>
        <c:axId val="184400128"/>
        <c:scaling>
          <c:orientation val="minMax"/>
        </c:scaling>
        <c:delete val="0"/>
        <c:axPos val="b"/>
        <c:numFmt formatCode="General" sourceLinked="0"/>
        <c:majorTickMark val="none"/>
        <c:minorTickMark val="none"/>
        <c:tickLblPos val="nextTo"/>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700" b="0" i="0" u="none" strike="noStrike" kern="1200" baseline="0">
                <a:solidFill>
                  <a:schemeClr val="tx2"/>
                </a:solidFill>
                <a:latin typeface="Arial" panose="020B0604020202020204" pitchFamily="34" charset="0"/>
                <a:ea typeface="+mn-ea"/>
                <a:cs typeface="Arial" panose="020B0604020202020204" pitchFamily="34" charset="0"/>
              </a:defRPr>
            </a:pPr>
            <a:endParaRPr lang="el-GR"/>
          </a:p>
        </c:txPr>
        <c:crossAx val="183967744"/>
        <c:crosses val="autoZero"/>
        <c:auto val="1"/>
        <c:lblAlgn val="ctr"/>
        <c:lblOffset val="100"/>
        <c:noMultiLvlLbl val="0"/>
      </c:catAx>
      <c:valAx>
        <c:axId val="183967744"/>
        <c:scaling>
          <c:orientation val="minMax"/>
        </c:scaling>
        <c:delete val="0"/>
        <c:axPos val="l"/>
        <c:majorGridlines>
          <c:spPr>
            <a:ln w="3175" cap="flat" cmpd="sng" algn="ctr">
              <a:solidFill>
                <a:schemeClr val="bg1">
                  <a:lumMod val="85000"/>
                </a:schemeClr>
              </a:solidFill>
              <a:round/>
            </a:ln>
            <a:effectLst/>
          </c:spPr>
        </c:majorGridlines>
        <c:numFmt formatCode="[$-408]0.0%" sourceLinked="0"/>
        <c:majorTickMark val="none"/>
        <c:minorTickMark val="none"/>
        <c:tickLblPos val="nextTo"/>
        <c:spPr>
          <a:noFill/>
          <a:ln w="3175">
            <a:noFill/>
          </a:ln>
          <a:effectLst/>
        </c:spPr>
        <c:txPr>
          <a:bodyPr rot="-60000000" spcFirstLastPara="1" vertOverflow="ellipsis" vert="horz" wrap="square" anchor="ctr" anchorCtr="1"/>
          <a:lstStyle/>
          <a:p>
            <a:pPr>
              <a:defRPr sz="700" b="0" i="0" u="none" strike="noStrike" kern="1200" baseline="0">
                <a:solidFill>
                  <a:schemeClr val="tx2"/>
                </a:solidFill>
                <a:latin typeface="Arial" panose="020B0604020202020204" pitchFamily="34" charset="0"/>
                <a:ea typeface="+mn-ea"/>
                <a:cs typeface="Arial" panose="020B0604020202020204" pitchFamily="34" charset="0"/>
              </a:defRPr>
            </a:pPr>
            <a:endParaRPr lang="el-GR"/>
          </a:p>
        </c:txPr>
        <c:crossAx val="18440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Arial" panose="020B0604020202020204" pitchFamily="34" charset="0"/>
              <a:ea typeface="+mn-ea"/>
              <a:cs typeface="Arial" panose="020B0604020202020204" pitchFamily="34" charset="0"/>
            </a:defRPr>
          </a:pPr>
          <a:endParaRPr lang="el-GR"/>
        </a:p>
      </c:txPr>
    </c:legend>
    <c:plotVisOnly val="1"/>
    <c:dispBlanksAs val="gap"/>
    <c:showDLblsOverMax val="0"/>
  </c:chart>
  <c:spPr>
    <a:solidFill>
      <a:schemeClr val="bg1"/>
    </a:solidFill>
    <a:ln w="3175" cap="flat" cmpd="sng" algn="ctr">
      <a:solidFill>
        <a:schemeClr val="bg1">
          <a:lumMod val="85000"/>
        </a:scheme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419067792931617E-2"/>
          <c:y val="7.9458673148573952E-2"/>
          <c:w val="0.90044474695975196"/>
          <c:h val="0.9019001277877271"/>
        </c:manualLayout>
      </c:layout>
      <c:barChart>
        <c:barDir val="col"/>
        <c:grouping val="stacked"/>
        <c:varyColors val="0"/>
        <c:ser>
          <c:idx val="2"/>
          <c:order val="2"/>
          <c:tx>
            <c:strRef>
              <c:f>'1.4 ΣΥΜΒΟΛΗ ΑΕΠ '!$D$4</c:f>
              <c:strCache>
                <c:ptCount val="1"/>
                <c:pt idx="0">
                  <c:v>Ιδιωτική κατανάλωση</c:v>
                </c:pt>
              </c:strCache>
            </c:strRef>
          </c:tx>
          <c:spPr>
            <a:solidFill>
              <a:schemeClr val="accent1"/>
            </a:solidFill>
            <a:ln w="25400">
              <a:no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'!$D$10:$D$31</c:f>
              <c:numCache>
                <c:formatCode>0.0%</c:formatCode>
                <c:ptCount val="22"/>
                <c:pt idx="0">
                  <c:v>-3.1583974096E-2</c:v>
                </c:pt>
                <c:pt idx="1">
                  <c:v>8.0818137343999993E-2</c:v>
                </c:pt>
                <c:pt idx="2">
                  <c:v>3.0069441471000002E-2</c:v>
                </c:pt>
                <c:pt idx="3">
                  <c:v>7.5739162533000004E-2</c:v>
                </c:pt>
                <c:pt idx="4">
                  <c:v>8.2819400621999995E-2</c:v>
                </c:pt>
                <c:pt idx="5">
                  <c:v>6.6078186427999994E-2</c:v>
                </c:pt>
                <c:pt idx="6">
                  <c:v>6.3323977215999999E-2</c:v>
                </c:pt>
                <c:pt idx="7">
                  <c:v>4.6232151369000003E-2</c:v>
                </c:pt>
                <c:pt idx="8">
                  <c:v>2.749523722E-2</c:v>
                </c:pt>
                <c:pt idx="9">
                  <c:v>1.7729120417000001E-2</c:v>
                </c:pt>
                <c:pt idx="10">
                  <c:v>1.1569973872999999E-2</c:v>
                </c:pt>
                <c:pt idx="11">
                  <c:v>1.2917491995999999E-2</c:v>
                </c:pt>
                <c:pt idx="12">
                  <c:v>1.3377216985000001E-2</c:v>
                </c:pt>
                <c:pt idx="13">
                  <c:v>2.2185494E-2</c:v>
                </c:pt>
                <c:pt idx="14">
                  <c:v>2.2547518143999998E-2</c:v>
                </c:pt>
                <c:pt idx="15">
                  <c:v>9.2962863990000005E-3</c:v>
                </c:pt>
                <c:pt idx="16">
                  <c:v>2.0530036868999998E-2</c:v>
                </c:pt>
                <c:pt idx="17">
                  <c:v>7.8421566250000008E-3</c:v>
                </c:pt>
                <c:pt idx="18">
                  <c:v>8.8626127870000005E-3</c:v>
                </c:pt>
                <c:pt idx="19">
                  <c:v>1.6129722095999999E-2</c:v>
                </c:pt>
                <c:pt idx="20">
                  <c:v>1.322561561E-3</c:v>
                </c:pt>
                <c:pt idx="21">
                  <c:v>1.2045267949E-2</c:v>
                </c:pt>
              </c:numCache>
            </c:numRef>
          </c:val>
          <c:extLst>
            <c:ext xmlns:c16="http://schemas.microsoft.com/office/drawing/2014/chart" uri="{C3380CC4-5D6E-409C-BE32-E72D297353CC}">
              <c16:uniqueId val="{00000000-EFF1-4681-9BD9-16CC8642E559}"/>
            </c:ext>
          </c:extLst>
        </c:ser>
        <c:ser>
          <c:idx val="3"/>
          <c:order val="3"/>
          <c:tx>
            <c:strRef>
              <c:f>'1.4 ΣΥΜΒΟΛΗ ΑΕΠ '!$E$4</c:f>
              <c:strCache>
                <c:ptCount val="1"/>
                <c:pt idx="0">
                  <c:v>Δημόσια κατανάλωση</c:v>
                </c:pt>
              </c:strCache>
            </c:strRef>
          </c:tx>
          <c:spPr>
            <a:solidFill>
              <a:schemeClr val="tx2">
                <a:lumMod val="75000"/>
              </a:schemeClr>
            </a:solidFill>
            <a:ln w="25400">
              <a:no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'!$E$10:$E$31</c:f>
              <c:numCache>
                <c:formatCode>0.0%</c:formatCode>
                <c:ptCount val="22"/>
                <c:pt idx="0">
                  <c:v>4.5290066239999996E-3</c:v>
                </c:pt>
                <c:pt idx="1">
                  <c:v>5.0149365099999999E-3</c:v>
                </c:pt>
                <c:pt idx="2">
                  <c:v>7.3403751309999996E-3</c:v>
                </c:pt>
                <c:pt idx="3">
                  <c:v>4.8952508599999997E-4</c:v>
                </c:pt>
                <c:pt idx="4">
                  <c:v>2.1131613220000001E-3</c:v>
                </c:pt>
                <c:pt idx="5">
                  <c:v>4.2531926580000002E-3</c:v>
                </c:pt>
                <c:pt idx="6">
                  <c:v>-1.752785917E-3</c:v>
                </c:pt>
                <c:pt idx="7">
                  <c:v>-4.1741832600000004E-3</c:v>
                </c:pt>
                <c:pt idx="8">
                  <c:v>7.5702096259999997E-3</c:v>
                </c:pt>
                <c:pt idx="9">
                  <c:v>4.1683166149999997E-3</c:v>
                </c:pt>
                <c:pt idx="10">
                  <c:v>-1.709478519E-3</c:v>
                </c:pt>
                <c:pt idx="11">
                  <c:v>1.1445361095E-2</c:v>
                </c:pt>
                <c:pt idx="12">
                  <c:v>-1.2747929692999999E-2</c:v>
                </c:pt>
                <c:pt idx="13">
                  <c:v>-5.9064202250000003E-3</c:v>
                </c:pt>
                <c:pt idx="14">
                  <c:v>1.833030389E-3</c:v>
                </c:pt>
                <c:pt idx="15">
                  <c:v>-3.7788135039999999E-3</c:v>
                </c:pt>
                <c:pt idx="16">
                  <c:v>6.2651860740000004E-3</c:v>
                </c:pt>
                <c:pt idx="17">
                  <c:v>1.6496370940000001E-3</c:v>
                </c:pt>
                <c:pt idx="18">
                  <c:v>-5.0122380200000002E-4</c:v>
                </c:pt>
                <c:pt idx="19">
                  <c:v>-4.0615079340000004E-3</c:v>
                </c:pt>
                <c:pt idx="20">
                  <c:v>7.424133397E-3</c:v>
                </c:pt>
                <c:pt idx="21">
                  <c:v>1.9529578279999999E-3</c:v>
                </c:pt>
              </c:numCache>
            </c:numRef>
          </c:val>
          <c:extLst>
            <c:ext xmlns:c16="http://schemas.microsoft.com/office/drawing/2014/chart" uri="{C3380CC4-5D6E-409C-BE32-E72D297353CC}">
              <c16:uniqueId val="{00000001-EFF1-4681-9BD9-16CC8642E559}"/>
            </c:ext>
          </c:extLst>
        </c:ser>
        <c:ser>
          <c:idx val="5"/>
          <c:order val="5"/>
          <c:tx>
            <c:strRef>
              <c:f>'1.4 ΣΥΜΒΟΛΗ ΑΕΠ '!$G$4</c:f>
              <c:strCache>
                <c:ptCount val="1"/>
                <c:pt idx="0">
                  <c:v>Επενδύσεις</c:v>
                </c:pt>
              </c:strCache>
            </c:strRef>
          </c:tx>
          <c:spPr>
            <a:solidFill>
              <a:schemeClr val="accent1">
                <a:lumMod val="40000"/>
                <a:lumOff val="60000"/>
              </a:schemeClr>
            </a:solidFill>
            <a:ln w="19050">
              <a:no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'!$G$10:$G$31</c:f>
              <c:numCache>
                <c:formatCode>0.0%</c:formatCode>
                <c:ptCount val="22"/>
                <c:pt idx="0">
                  <c:v>1.1619452838E-2</c:v>
                </c:pt>
                <c:pt idx="1">
                  <c:v>2.8722153976E-2</c:v>
                </c:pt>
                <c:pt idx="2">
                  <c:v>2.7239457477E-2</c:v>
                </c:pt>
                <c:pt idx="3">
                  <c:v>3.6051669917999997E-2</c:v>
                </c:pt>
                <c:pt idx="4">
                  <c:v>3.3445714187E-2</c:v>
                </c:pt>
                <c:pt idx="5">
                  <c:v>2.9916780050000001E-2</c:v>
                </c:pt>
                <c:pt idx="6">
                  <c:v>2.6497411681000001E-2</c:v>
                </c:pt>
                <c:pt idx="7">
                  <c:v>3.0960501178000002E-2</c:v>
                </c:pt>
                <c:pt idx="8">
                  <c:v>2.1019075006000001E-2</c:v>
                </c:pt>
                <c:pt idx="9">
                  <c:v>1.2080447189999999E-2</c:v>
                </c:pt>
                <c:pt idx="10">
                  <c:v>1.1016901987E-2</c:v>
                </c:pt>
                <c:pt idx="11">
                  <c:v>-6.0241110999999996E-4</c:v>
                </c:pt>
                <c:pt idx="12">
                  <c:v>5.2804773499999999E-3</c:v>
                </c:pt>
                <c:pt idx="13">
                  <c:v>8.7596326079999991E-3</c:v>
                </c:pt>
                <c:pt idx="14">
                  <c:v>2.3599047619999999E-3</c:v>
                </c:pt>
                <c:pt idx="15">
                  <c:v>1.0062300434999999E-2</c:v>
                </c:pt>
                <c:pt idx="16">
                  <c:v>-8.5261803399999995E-4</c:v>
                </c:pt>
                <c:pt idx="17">
                  <c:v>1.3269538391999999E-2</c:v>
                </c:pt>
                <c:pt idx="18">
                  <c:v>2.1083333964999999E-2</c:v>
                </c:pt>
                <c:pt idx="19">
                  <c:v>2.2208983179E-2</c:v>
                </c:pt>
                <c:pt idx="20">
                  <c:v>2.0186143127000001E-2</c:v>
                </c:pt>
                <c:pt idx="21">
                  <c:v>1.0929401566E-2</c:v>
                </c:pt>
              </c:numCache>
            </c:numRef>
          </c:val>
          <c:extLst>
            <c:ext xmlns:c16="http://schemas.microsoft.com/office/drawing/2014/chart" uri="{C3380CC4-5D6E-409C-BE32-E72D297353CC}">
              <c16:uniqueId val="{00000002-EFF1-4681-9BD9-16CC8642E559}"/>
            </c:ext>
          </c:extLst>
        </c:ser>
        <c:ser>
          <c:idx val="11"/>
          <c:order val="12"/>
          <c:tx>
            <c:strRef>
              <c:f>'1.4 ΣΥΜΒΟΛΗ ΑΕΠ '!$N$4</c:f>
              <c:strCache>
                <c:ptCount val="1"/>
                <c:pt idx="0">
                  <c:v>Καθαρές εξαγωγές</c:v>
                </c:pt>
              </c:strCache>
            </c:strRef>
          </c:tx>
          <c:spPr>
            <a:solidFill>
              <a:schemeClr val="bg1">
                <a:lumMod val="75000"/>
              </a:schemeClr>
            </a:solidFill>
            <a:ln>
              <a:solidFill>
                <a:schemeClr val="accent1">
                  <a:lumMod val="60000"/>
                  <a:lumOff val="40000"/>
                </a:schemeClr>
              </a:solid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'!$N$10:$N$31</c:f>
              <c:numCache>
                <c:formatCode>0.0%</c:formatCode>
                <c:ptCount val="22"/>
                <c:pt idx="0">
                  <c:v>1.020458642E-2</c:v>
                </c:pt>
                <c:pt idx="1">
                  <c:v>7.8216403180000008E-3</c:v>
                </c:pt>
                <c:pt idx="2">
                  <c:v>6.3715727316999995E-2</c:v>
                </c:pt>
                <c:pt idx="3">
                  <c:v>-4.1366340890999997E-2</c:v>
                </c:pt>
                <c:pt idx="4">
                  <c:v>-3.7338215627000002E-2</c:v>
                </c:pt>
                <c:pt idx="5">
                  <c:v>-2.6936390899999999E-2</c:v>
                </c:pt>
                <c:pt idx="6">
                  <c:v>-1.5749783749999999E-2</c:v>
                </c:pt>
                <c:pt idx="7">
                  <c:v>-3.0722302704999999E-2</c:v>
                </c:pt>
                <c:pt idx="8">
                  <c:v>2.8148641600000003E-4</c:v>
                </c:pt>
                <c:pt idx="9">
                  <c:v>9.2750674300000006E-3</c:v>
                </c:pt>
                <c:pt idx="10">
                  <c:v>1.9760134800000001E-4</c:v>
                </c:pt>
                <c:pt idx="11">
                  <c:v>1.8818025134999999E-2</c:v>
                </c:pt>
                <c:pt idx="12">
                  <c:v>-1.1997720852E-2</c:v>
                </c:pt>
                <c:pt idx="13">
                  <c:v>-2.4505920061999999E-2</c:v>
                </c:pt>
                <c:pt idx="14">
                  <c:v>-1.1613615973000001E-2</c:v>
                </c:pt>
                <c:pt idx="15">
                  <c:v>-3.3784759259999999E-3</c:v>
                </c:pt>
                <c:pt idx="16">
                  <c:v>-2.5175341900000002E-3</c:v>
                </c:pt>
                <c:pt idx="17">
                  <c:v>1.8265269591999998E-2</c:v>
                </c:pt>
                <c:pt idx="18">
                  <c:v>2.2732193533E-2</c:v>
                </c:pt>
                <c:pt idx="19">
                  <c:v>4.2691576650000004E-3</c:v>
                </c:pt>
                <c:pt idx="20">
                  <c:v>-6.15616253E-4</c:v>
                </c:pt>
                <c:pt idx="21">
                  <c:v>-7.9519507509999993E-3</c:v>
                </c:pt>
              </c:numCache>
            </c:numRef>
          </c:val>
          <c:extLst>
            <c:ext xmlns:c16="http://schemas.microsoft.com/office/drawing/2014/chart" uri="{C3380CC4-5D6E-409C-BE32-E72D297353CC}">
              <c16:uniqueId val="{00000003-EFF1-4681-9BD9-16CC8642E559}"/>
            </c:ext>
          </c:extLst>
        </c:ser>
        <c:dLbls>
          <c:showLegendKey val="0"/>
          <c:showVal val="0"/>
          <c:showCatName val="0"/>
          <c:showSerName val="0"/>
          <c:showPercent val="0"/>
          <c:showBubbleSize val="0"/>
        </c:dLbls>
        <c:gapWidth val="150"/>
        <c:overlap val="100"/>
        <c:axId val="467660888"/>
        <c:axId val="469214824"/>
        <c:extLst>
          <c:ext xmlns:c15="http://schemas.microsoft.com/office/drawing/2012/chart" uri="{02D57815-91ED-43cb-92C2-25804820EDAC}">
            <c15:filteredBarSeries>
              <c15:ser>
                <c:idx val="1"/>
                <c:order val="1"/>
                <c:tx>
                  <c:strRef>
                    <c:extLst>
                      <c:ext uri="{02D57815-91ED-43cb-92C2-25804820EDAC}">
                        <c15:formulaRef>
                          <c15:sqref>'1.4 ΣΥΜΒΟΛΗ ΑΕΠ '!$C$5</c15:sqref>
                        </c15:formulaRef>
                      </c:ext>
                    </c:extLst>
                    <c:strCache>
                      <c:ptCount val="1"/>
                      <c:pt idx="0">
                        <c:v>Total Consumption</c:v>
                      </c:pt>
                    </c:strCache>
                  </c:strRef>
                </c:tx>
                <c:spPr>
                  <a:solidFill>
                    <a:srgbClr val="89A54E"/>
                  </a:solidFill>
                  <a:ln w="25400">
                    <a:noFill/>
                  </a:ln>
                </c:spPr>
                <c:invertIfNegative val="0"/>
                <c:cat>
                  <c:strRef>
                    <c:extLst>
                      <c:ex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c:ext uri="{02D57815-91ED-43cb-92C2-25804820EDAC}">
                        <c15:formulaRef>
                          <c15:sqref>'1.4 ΣΥΜΒΟΛΗ ΑΕΠ '!$C$10:$C$25</c15:sqref>
                        </c15:formulaRef>
                      </c:ext>
                    </c:extLst>
                    <c:numCache>
                      <c:formatCode>0.0%</c:formatCode>
                      <c:ptCount val="16"/>
                      <c:pt idx="0">
                        <c:v>-2.5747827841E-2</c:v>
                      </c:pt>
                      <c:pt idx="1">
                        <c:v>8.7026652546999997E-2</c:v>
                      </c:pt>
                      <c:pt idx="2">
                        <c:v>3.2973136445000002E-2</c:v>
                      </c:pt>
                      <c:pt idx="3">
                        <c:v>7.7175585990000004E-2</c:v>
                      </c:pt>
                      <c:pt idx="4">
                        <c:v>8.5581501308999997E-2</c:v>
                      </c:pt>
                      <c:pt idx="5">
                        <c:v>6.8972142646999995E-2</c:v>
                      </c:pt>
                      <c:pt idx="6">
                        <c:v>6.1558034789000002E-2</c:v>
                      </c:pt>
                      <c:pt idx="7">
                        <c:v>4.2512784964000003E-2</c:v>
                      </c:pt>
                      <c:pt idx="8">
                        <c:v>3.4920219882000003E-2</c:v>
                      </c:pt>
                      <c:pt idx="9">
                        <c:v>2.1219307699E-2</c:v>
                      </c:pt>
                      <c:pt idx="10">
                        <c:v>1.0783608970000001E-2</c:v>
                      </c:pt>
                      <c:pt idx="11">
                        <c:v>2.1962092198000001E-2</c:v>
                      </c:pt>
                      <c:pt idx="12">
                        <c:v>2.4505971130000001E-3</c:v>
                      </c:pt>
                      <c:pt idx="13">
                        <c:v>1.7845181562E-2</c:v>
                      </c:pt>
                      <c:pt idx="14">
                        <c:v>2.4380765725999998E-2</c:v>
                      </c:pt>
                      <c:pt idx="15">
                        <c:v>5.0331601829999998E-3</c:v>
                      </c:pt>
                    </c:numCache>
                  </c:numRef>
                </c:val>
                <c:extLst>
                  <c:ext xmlns:c16="http://schemas.microsoft.com/office/drawing/2014/chart" uri="{C3380CC4-5D6E-409C-BE32-E72D297353CC}">
                    <c16:uniqueId val="{00000005-EFF1-4681-9BD9-16CC8642E559}"/>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'1.4 ΣΥΜΒΟΛΗ ΑΕΠ '!$F$5</c15:sqref>
                        </c15:formulaRef>
                      </c:ext>
                    </c:extLst>
                    <c:strCache>
                      <c:ptCount val="1"/>
                      <c:pt idx="0">
                        <c:v>Gross Capital Formation</c:v>
                      </c:pt>
                    </c:strCache>
                  </c:strRef>
                </c:tx>
                <c:spPr>
                  <a:ln w="19050">
                    <a:noFill/>
                  </a:ln>
                </c:spPr>
                <c:invertIfNegative val="0"/>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'!$F$10:$F$25</c15:sqref>
                        </c15:formulaRef>
                      </c:ext>
                    </c:extLst>
                    <c:numCache>
                      <c:formatCode>0.0%</c:formatCode>
                      <c:ptCount val="16"/>
                      <c:pt idx="0">
                        <c:v>-1.3442206502000001E-2</c:v>
                      </c:pt>
                      <c:pt idx="1">
                        <c:v>7.6899047242999993E-2</c:v>
                      </c:pt>
                      <c:pt idx="2">
                        <c:v>1.7876549961999999E-2</c:v>
                      </c:pt>
                      <c:pt idx="3">
                        <c:v>7.1053363881999995E-2</c:v>
                      </c:pt>
                      <c:pt idx="4">
                        <c:v>3.5600137959000001E-2</c:v>
                      </c:pt>
                      <c:pt idx="5">
                        <c:v>3.265811323E-3</c:v>
                      </c:pt>
                      <c:pt idx="6">
                        <c:v>7.2616577289999996E-3</c:v>
                      </c:pt>
                      <c:pt idx="7">
                        <c:v>2.4452743565999999E-2</c:v>
                      </c:pt>
                      <c:pt idx="8">
                        <c:v>-1.5329988891E-2</c:v>
                      </c:pt>
                      <c:pt idx="9">
                        <c:v>-7.4395006750000003E-3</c:v>
                      </c:pt>
                      <c:pt idx="10">
                        <c:v>-3.440988297E-3</c:v>
                      </c:pt>
                      <c:pt idx="11">
                        <c:v>-1.1291271996E-2</c:v>
                      </c:pt>
                      <c:pt idx="12">
                        <c:v>2.9239040753999999E-2</c:v>
                      </c:pt>
                      <c:pt idx="13">
                        <c:v>2.5326584031999999E-2</c:v>
                      </c:pt>
                      <c:pt idx="14">
                        <c:v>2.6925900381000002E-2</c:v>
                      </c:pt>
                      <c:pt idx="15">
                        <c:v>2.6032568249E-2</c:v>
                      </c:pt>
                    </c:numCache>
                  </c:numRef>
                </c:val>
                <c:extLst xmlns:c15="http://schemas.microsoft.com/office/drawing/2012/chart">
                  <c:ext xmlns:c16="http://schemas.microsoft.com/office/drawing/2014/chart" uri="{C3380CC4-5D6E-409C-BE32-E72D297353CC}">
                    <c16:uniqueId val="{00000006-EFF1-4681-9BD9-16CC8642E559}"/>
                  </c:ext>
                </c:extLst>
              </c15:ser>
            </c15:filteredBarSeries>
          </c:ext>
        </c:extLst>
      </c:barChart>
      <c:lineChart>
        <c:grouping val="stacked"/>
        <c:varyColors val="0"/>
        <c:ser>
          <c:idx val="0"/>
          <c:order val="0"/>
          <c:tx>
            <c:strRef>
              <c:f>'1.4 ΣΥΜΒΟΛΗ ΑΕΠ '!$B$4</c:f>
              <c:strCache>
                <c:ptCount val="1"/>
                <c:pt idx="0">
                  <c:v>Ακαθάριστο Εγχώριο Προϊόν</c:v>
                </c:pt>
              </c:strCache>
            </c:strRef>
          </c:tx>
          <c:spPr>
            <a:ln w="25400">
              <a:solidFill>
                <a:srgbClr val="00B0F0"/>
              </a:solidFill>
            </a:ln>
          </c:spPr>
          <c:marker>
            <c:symbol val="none"/>
          </c:marker>
          <c:dLbls>
            <c:dLbl>
              <c:idx val="0"/>
              <c:layout>
                <c:manualLayout>
                  <c:x val="-6.3164364652874852E-2"/>
                  <c:y val="-0.1050057717755482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FF1-4681-9BD9-16CC8642E559}"/>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'!$B$10:$B$31</c:f>
              <c:numCache>
                <c:formatCode>0.0%</c:formatCode>
                <c:ptCount val="22"/>
                <c:pt idx="0">
                  <c:v>-2.1874429965000001E-2</c:v>
                </c:pt>
                <c:pt idx="1">
                  <c:v>0.15017823113699999</c:v>
                </c:pt>
                <c:pt idx="2">
                  <c:v>0.115372902818</c:v>
                </c:pt>
                <c:pt idx="3">
                  <c:v>0.101869638465</c:v>
                </c:pt>
                <c:pt idx="4">
                  <c:v>7.7451074916999998E-2</c:v>
                </c:pt>
                <c:pt idx="5">
                  <c:v>6.4520780979999998E-2</c:v>
                </c:pt>
                <c:pt idx="6">
                  <c:v>4.4809387806000002E-2</c:v>
                </c:pt>
                <c:pt idx="7">
                  <c:v>4.0763139527000003E-2</c:v>
                </c:pt>
                <c:pt idx="8">
                  <c:v>2.1804715318999999E-2</c:v>
                </c:pt>
                <c:pt idx="9">
                  <c:v>3.1176798376000001E-2</c:v>
                </c:pt>
                <c:pt idx="10">
                  <c:v>1.7745007019999998E-2</c:v>
                </c:pt>
                <c:pt idx="11">
                  <c:v>1.5309135195E-2</c:v>
                </c:pt>
                <c:pt idx="12">
                  <c:v>1.7941868618000002E-2</c:v>
                </c:pt>
                <c:pt idx="13">
                  <c:v>1.8370349931999999E-2</c:v>
                </c:pt>
                <c:pt idx="14">
                  <c:v>2.4242589546000001E-2</c:v>
                </c:pt>
                <c:pt idx="15">
                  <c:v>2.2057969303E-2</c:v>
                </c:pt>
                <c:pt idx="16">
                  <c:v>2.4391864568E-2</c:v>
                </c:pt>
                <c:pt idx="17">
                  <c:v>1.7653749154999999E-2</c:v>
                </c:pt>
                <c:pt idx="18">
                  <c:v>2.0811204906000001E-2</c:v>
                </c:pt>
                <c:pt idx="19">
                  <c:v>2.3185153066000001E-2</c:v>
                </c:pt>
                <c:pt idx="20">
                  <c:v>2.0114704810000002E-2</c:v>
                </c:pt>
                <c:pt idx="21">
                  <c:v>1.8635936084E-2</c:v>
                </c:pt>
              </c:numCache>
            </c:numRef>
          </c:val>
          <c:smooth val="0"/>
          <c:extLst>
            <c:ext xmlns:c16="http://schemas.microsoft.com/office/drawing/2014/chart" uri="{C3380CC4-5D6E-409C-BE32-E72D297353CC}">
              <c16:uniqueId val="{00000004-EFF1-4681-9BD9-16CC8642E559}"/>
            </c:ext>
          </c:extLst>
        </c:ser>
        <c:dLbls>
          <c:showLegendKey val="0"/>
          <c:showVal val="0"/>
          <c:showCatName val="0"/>
          <c:showSerName val="0"/>
          <c:showPercent val="0"/>
          <c:showBubbleSize val="0"/>
        </c:dLbls>
        <c:marker val="1"/>
        <c:smooth val="0"/>
        <c:axId val="467660888"/>
        <c:axId val="469214824"/>
        <c:extLst>
          <c:ext xmlns:c15="http://schemas.microsoft.com/office/drawing/2012/chart" uri="{02D57815-91ED-43cb-92C2-25804820EDAC}">
            <c15:filteredLineSeries>
              <c15:ser>
                <c:idx val="1"/>
                <c:order val="6"/>
                <c:tx>
                  <c:strRef>
                    <c:extLst>
                      <c:ext uri="{02D57815-91ED-43cb-92C2-25804820EDAC}">
                        <c15:formulaRef>
                          <c15:sqref>'1.4 ΣΥΜΒΟΛΗ ΑΕΠ '!$H$5</c15:sqref>
                        </c15:formulaRef>
                      </c:ext>
                    </c:extLst>
                    <c:strCache>
                      <c:ptCount val="1"/>
                      <c:pt idx="0">
                        <c:v>Total Exports</c:v>
                      </c:pt>
                    </c:strCache>
                  </c:strRef>
                </c:tx>
                <c:spPr>
                  <a:ln w="25400">
                    <a:solidFill>
                      <a:srgbClr val="666699"/>
                    </a:solidFill>
                    <a:prstDash val="solid"/>
                  </a:ln>
                </c:spPr>
                <c:cat>
                  <c:strRef>
                    <c:extLst>
                      <c:ex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c:ext uri="{02D57815-91ED-43cb-92C2-25804820EDAC}">
                        <c15:formulaRef>
                          <c15:sqref>'1.4 ΣΥΜΒΟΛΗ ΑΕΠ '!$H$10:$H$25</c15:sqref>
                        </c15:formulaRef>
                      </c:ext>
                    </c:extLst>
                    <c:numCache>
                      <c:formatCode>0.0%</c:formatCode>
                      <c:ptCount val="16"/>
                      <c:pt idx="0">
                        <c:v>-1.1046538961E-2</c:v>
                      </c:pt>
                      <c:pt idx="1">
                        <c:v>0.102661056345</c:v>
                      </c:pt>
                      <c:pt idx="2">
                        <c:v>0.149685420121</c:v>
                      </c:pt>
                      <c:pt idx="3">
                        <c:v>7.4825030203999998E-2</c:v>
                      </c:pt>
                      <c:pt idx="4">
                        <c:v>3.6145950465E-2</c:v>
                      </c:pt>
                      <c:pt idx="5">
                        <c:v>3.9859062217000002E-2</c:v>
                      </c:pt>
                      <c:pt idx="6">
                        <c:v>1.0200134203E-2</c:v>
                      </c:pt>
                      <c:pt idx="7">
                        <c:v>4.5259359019999999E-3</c:v>
                      </c:pt>
                      <c:pt idx="8">
                        <c:v>1.5711720472999999E-2</c:v>
                      </c:pt>
                      <c:pt idx="9">
                        <c:v>2.78976584E-4</c:v>
                      </c:pt>
                      <c:pt idx="10">
                        <c:v>9.9161052979999994E-3</c:v>
                      </c:pt>
                      <c:pt idx="11">
                        <c:v>5.4582868239999999E-3</c:v>
                      </c:pt>
                      <c:pt idx="12">
                        <c:v>-9.6520053099999998E-4</c:v>
                      </c:pt>
                      <c:pt idx="13">
                        <c:v>7.6195490019999998E-3</c:v>
                      </c:pt>
                      <c:pt idx="14">
                        <c:v>3.9271066390000001E-3</c:v>
                      </c:pt>
                      <c:pt idx="15">
                        <c:v>3.427036768E-3</c:v>
                      </c:pt>
                    </c:numCache>
                  </c:numRef>
                </c:val>
                <c:smooth val="0"/>
                <c:extLst>
                  <c:ext xmlns:c16="http://schemas.microsoft.com/office/drawing/2014/chart" uri="{C3380CC4-5D6E-409C-BE32-E72D297353CC}">
                    <c16:uniqueId val="{00000007-EFF1-4681-9BD9-16CC8642E559}"/>
                  </c:ext>
                </c:extLst>
              </c15:ser>
            </c15:filteredLineSeries>
            <c15:filteredLineSeries>
              <c15:ser>
                <c:idx val="6"/>
                <c:order val="7"/>
                <c:tx>
                  <c:strRef>
                    <c:extLst xmlns:c15="http://schemas.microsoft.com/office/drawing/2012/chart">
                      <c:ext xmlns:c15="http://schemas.microsoft.com/office/drawing/2012/chart" uri="{02D57815-91ED-43cb-92C2-25804820EDAC}">
                        <c15:formulaRef>
                          <c15:sqref>'1.4 ΣΥΜΒΟΛΗ ΑΕΠ '!$I$5</c15:sqref>
                        </c15:formulaRef>
                      </c:ext>
                    </c:extLst>
                    <c:strCache>
                      <c:ptCount val="1"/>
                      <c:pt idx="0">
                        <c:v>Goods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'!$I$10:$I$25</c15:sqref>
                        </c15:formulaRef>
                      </c:ext>
                    </c:extLst>
                    <c:numCache>
                      <c:formatCode>0.0%</c:formatCode>
                      <c:ptCount val="16"/>
                      <c:pt idx="0">
                        <c:v>1.9415457915999999E-2</c:v>
                      </c:pt>
                      <c:pt idx="1">
                        <c:v>3.8306188951999998E-2</c:v>
                      </c:pt>
                      <c:pt idx="2">
                        <c:v>2.8425875497999999E-2</c:v>
                      </c:pt>
                      <c:pt idx="3">
                        <c:v>1.8930437945999998E-2</c:v>
                      </c:pt>
                      <c:pt idx="4">
                        <c:v>1.0870823958E-2</c:v>
                      </c:pt>
                      <c:pt idx="5">
                        <c:v>7.5908572269999999E-3</c:v>
                      </c:pt>
                      <c:pt idx="6">
                        <c:v>3.3808123449999999E-3</c:v>
                      </c:pt>
                      <c:pt idx="7">
                        <c:v>4.4454940549999997E-3</c:v>
                      </c:pt>
                      <c:pt idx="8">
                        <c:v>1.3065419234E-2</c:v>
                      </c:pt>
                      <c:pt idx="9">
                        <c:v>-4.6035563980000001E-3</c:v>
                      </c:pt>
                      <c:pt idx="10">
                        <c:v>2.61940041E-4</c:v>
                      </c:pt>
                      <c:pt idx="11">
                        <c:v>-4.7601013099999997E-3</c:v>
                      </c:pt>
                      <c:pt idx="12">
                        <c:v>-1.3230897009000001E-2</c:v>
                      </c:pt>
                      <c:pt idx="13">
                        <c:v>4.9184084719999998E-3</c:v>
                      </c:pt>
                      <c:pt idx="14">
                        <c:v>-2.23176185E-4</c:v>
                      </c:pt>
                      <c:pt idx="15">
                        <c:v>-6.1105772299999996E-4</c:v>
                      </c:pt>
                    </c:numCache>
                  </c:numRef>
                </c:val>
                <c:smooth val="0"/>
                <c:extLst xmlns:c15="http://schemas.microsoft.com/office/drawing/2012/chart">
                  <c:ext xmlns:c16="http://schemas.microsoft.com/office/drawing/2014/chart" uri="{C3380CC4-5D6E-409C-BE32-E72D297353CC}">
                    <c16:uniqueId val="{00000008-EFF1-4681-9BD9-16CC8642E559}"/>
                  </c:ext>
                </c:extLst>
              </c15:ser>
            </c15:filteredLineSeries>
            <c15:filteredLineSeries>
              <c15:ser>
                <c:idx val="7"/>
                <c:order val="8"/>
                <c:tx>
                  <c:strRef>
                    <c:extLst xmlns:c15="http://schemas.microsoft.com/office/drawing/2012/chart">
                      <c:ext xmlns:c15="http://schemas.microsoft.com/office/drawing/2012/chart" uri="{02D57815-91ED-43cb-92C2-25804820EDAC}">
                        <c15:formulaRef>
                          <c15:sqref>'1.4 ΣΥΜΒΟΛΗ ΑΕΠ '!$J$5</c15:sqref>
                        </c15:formulaRef>
                      </c:ext>
                    </c:extLst>
                    <c:strCache>
                      <c:ptCount val="1"/>
                      <c:pt idx="0">
                        <c:v>Services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'!$J$10:$J$25</c15:sqref>
                        </c15:formulaRef>
                      </c:ext>
                    </c:extLst>
                    <c:numCache>
                      <c:formatCode>0.0%</c:formatCode>
                      <c:ptCount val="16"/>
                      <c:pt idx="0">
                        <c:v>-3.4085299711000001E-2</c:v>
                      </c:pt>
                      <c:pt idx="1">
                        <c:v>6.4505849801000006E-2</c:v>
                      </c:pt>
                      <c:pt idx="2">
                        <c:v>0.104690592922</c:v>
                      </c:pt>
                      <c:pt idx="3">
                        <c:v>7.5772760575000001E-2</c:v>
                      </c:pt>
                      <c:pt idx="4">
                        <c:v>3.1996840221000002E-2</c:v>
                      </c:pt>
                      <c:pt idx="5">
                        <c:v>3.6070704603999998E-2</c:v>
                      </c:pt>
                      <c:pt idx="6">
                        <c:v>4.3598457950000001E-3</c:v>
                      </c:pt>
                      <c:pt idx="7">
                        <c:v>-7.0541254239999997E-3</c:v>
                      </c:pt>
                      <c:pt idx="8">
                        <c:v>1.0336617207E-2</c:v>
                      </c:pt>
                      <c:pt idx="9">
                        <c:v>1.6284093460000001E-3</c:v>
                      </c:pt>
                      <c:pt idx="10">
                        <c:v>7.2649523640000001E-3</c:v>
                      </c:pt>
                      <c:pt idx="11">
                        <c:v>9.2882491879999994E-3</c:v>
                      </c:pt>
                      <c:pt idx="12">
                        <c:v>6.7114751550000004E-3</c:v>
                      </c:pt>
                      <c:pt idx="13">
                        <c:v>3.3661150939999999E-3</c:v>
                      </c:pt>
                      <c:pt idx="14">
                        <c:v>6.2385381059999996E-3</c:v>
                      </c:pt>
                      <c:pt idx="15">
                        <c:v>6.8287310830000003E-3</c:v>
                      </c:pt>
                    </c:numCache>
                  </c:numRef>
                </c:val>
                <c:smooth val="0"/>
                <c:extLst xmlns:c15="http://schemas.microsoft.com/office/drawing/2012/chart">
                  <c:ext xmlns:c16="http://schemas.microsoft.com/office/drawing/2014/chart" uri="{C3380CC4-5D6E-409C-BE32-E72D297353CC}">
                    <c16:uniqueId val="{00000009-EFF1-4681-9BD9-16CC8642E559}"/>
                  </c:ext>
                </c:extLst>
              </c15:ser>
            </c15:filteredLineSeries>
            <c15:filteredLineSeries>
              <c15:ser>
                <c:idx val="8"/>
                <c:order val="9"/>
                <c:tx>
                  <c:strRef>
                    <c:extLst xmlns:c15="http://schemas.microsoft.com/office/drawing/2012/chart">
                      <c:ext xmlns:c15="http://schemas.microsoft.com/office/drawing/2012/chart" uri="{02D57815-91ED-43cb-92C2-25804820EDAC}">
                        <c15:formulaRef>
                          <c15:sqref>'1.4 ΣΥΜΒΟΛΗ ΑΕΠ '!$K$5</c15:sqref>
                        </c15:formulaRef>
                      </c:ext>
                    </c:extLst>
                    <c:strCache>
                      <c:ptCount val="1"/>
                      <c:pt idx="0">
                        <c:v>Total Imports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'!$K$10:$K$25</c15:sqref>
                        </c15:formulaRef>
                      </c:ext>
                    </c:extLst>
                    <c:numCache>
                      <c:formatCode>0.0%</c:formatCode>
                      <c:ptCount val="16"/>
                      <c:pt idx="0">
                        <c:v>-2.1251125382E-2</c:v>
                      </c:pt>
                      <c:pt idx="1">
                        <c:v>9.4839416026000004E-2</c:v>
                      </c:pt>
                      <c:pt idx="2">
                        <c:v>8.5969692804000006E-2</c:v>
                      </c:pt>
                      <c:pt idx="3">
                        <c:v>0.116191371095</c:v>
                      </c:pt>
                      <c:pt idx="4">
                        <c:v>7.3484166091999994E-2</c:v>
                      </c:pt>
                      <c:pt idx="5">
                        <c:v>6.6795453118000003E-2</c:v>
                      </c:pt>
                      <c:pt idx="6">
                        <c:v>2.5949917953000001E-2</c:v>
                      </c:pt>
                      <c:pt idx="7">
                        <c:v>3.5248238607E-2</c:v>
                      </c:pt>
                      <c:pt idx="8">
                        <c:v>1.5430234056999999E-2</c:v>
                      </c:pt>
                      <c:pt idx="9">
                        <c:v>-8.9960908469999996E-3</c:v>
                      </c:pt>
                      <c:pt idx="10">
                        <c:v>9.7185039500000004E-3</c:v>
                      </c:pt>
                      <c:pt idx="11">
                        <c:v>-1.3359738311E-2</c:v>
                      </c:pt>
                      <c:pt idx="12">
                        <c:v>1.1032520321E-2</c:v>
                      </c:pt>
                      <c:pt idx="13">
                        <c:v>3.2125469064000003E-2</c:v>
                      </c:pt>
                      <c:pt idx="14">
                        <c:v>1.5540722611999999E-2</c:v>
                      </c:pt>
                      <c:pt idx="15">
                        <c:v>6.8055126940000004E-3</c:v>
                      </c:pt>
                    </c:numCache>
                  </c:numRef>
                </c:val>
                <c:smooth val="0"/>
                <c:extLst xmlns:c15="http://schemas.microsoft.com/office/drawing/2012/chart">
                  <c:ext xmlns:c16="http://schemas.microsoft.com/office/drawing/2014/chart" uri="{C3380CC4-5D6E-409C-BE32-E72D297353CC}">
                    <c16:uniqueId val="{0000000A-EFF1-4681-9BD9-16CC8642E559}"/>
                  </c:ext>
                </c:extLst>
              </c15:ser>
            </c15:filteredLineSeries>
            <c15:filteredLineSeries>
              <c15:ser>
                <c:idx val="9"/>
                <c:order val="10"/>
                <c:tx>
                  <c:strRef>
                    <c:extLst xmlns:c15="http://schemas.microsoft.com/office/drawing/2012/chart">
                      <c:ext xmlns:c15="http://schemas.microsoft.com/office/drawing/2012/chart" uri="{02D57815-91ED-43cb-92C2-25804820EDAC}">
                        <c15:formulaRef>
                          <c15:sqref>'1.4 ΣΥΜΒΟΛΗ ΑΕΠ '!$L$5</c15:sqref>
                        </c15:formulaRef>
                      </c:ext>
                    </c:extLst>
                    <c:strCache>
                      <c:ptCount val="1"/>
                      <c:pt idx="0">
                        <c:v>Goods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'!$L$10:$L$25</c15:sqref>
                        </c15:formulaRef>
                      </c:ext>
                    </c:extLst>
                    <c:numCache>
                      <c:formatCode>0.0%</c:formatCode>
                      <c:ptCount val="16"/>
                      <c:pt idx="0">
                        <c:v>-6.4732759509999998E-3</c:v>
                      </c:pt>
                      <c:pt idx="1">
                        <c:v>7.1827180685999997E-2</c:v>
                      </c:pt>
                      <c:pt idx="2">
                        <c:v>5.1696297074000003E-2</c:v>
                      </c:pt>
                      <c:pt idx="3">
                        <c:v>8.2497990228000001E-2</c:v>
                      </c:pt>
                      <c:pt idx="4">
                        <c:v>5.8475037810999997E-2</c:v>
                      </c:pt>
                      <c:pt idx="5">
                        <c:v>5.8681550830999997E-2</c:v>
                      </c:pt>
                      <c:pt idx="6">
                        <c:v>3.1359681288999998E-2</c:v>
                      </c:pt>
                      <c:pt idx="7">
                        <c:v>1.937856659E-2</c:v>
                      </c:pt>
                      <c:pt idx="8">
                        <c:v>2.6567154150000001E-3</c:v>
                      </c:pt>
                      <c:pt idx="9">
                        <c:v>-1.8302353628999998E-2</c:v>
                      </c:pt>
                      <c:pt idx="10">
                        <c:v>5.1694044519999998E-3</c:v>
                      </c:pt>
                      <c:pt idx="11">
                        <c:v>-8.9763524890000002E-3</c:v>
                      </c:pt>
                      <c:pt idx="12">
                        <c:v>8.7566762530000009E-3</c:v>
                      </c:pt>
                      <c:pt idx="13">
                        <c:v>3.100236076E-2</c:v>
                      </c:pt>
                      <c:pt idx="14">
                        <c:v>8.684360294E-3</c:v>
                      </c:pt>
                      <c:pt idx="15">
                        <c:v>6.8751969210000003E-3</c:v>
                      </c:pt>
                    </c:numCache>
                  </c:numRef>
                </c:val>
                <c:smooth val="0"/>
                <c:extLst xmlns:c15="http://schemas.microsoft.com/office/drawing/2012/chart">
                  <c:ext xmlns:c16="http://schemas.microsoft.com/office/drawing/2014/chart" uri="{C3380CC4-5D6E-409C-BE32-E72D297353CC}">
                    <c16:uniqueId val="{0000000B-EFF1-4681-9BD9-16CC8642E559}"/>
                  </c:ext>
                </c:extLst>
              </c15:ser>
            </c15:filteredLineSeries>
            <c15:filteredLineSeries>
              <c15:ser>
                <c:idx val="10"/>
                <c:order val="11"/>
                <c:tx>
                  <c:strRef>
                    <c:extLst xmlns:c15="http://schemas.microsoft.com/office/drawing/2012/chart">
                      <c:ext xmlns:c15="http://schemas.microsoft.com/office/drawing/2012/chart" uri="{02D57815-91ED-43cb-92C2-25804820EDAC}">
                        <c15:formulaRef>
                          <c15:sqref>'1.4 ΣΥΜΒΟΛΗ ΑΕΠ '!$M$5</c15:sqref>
                        </c15:formulaRef>
                      </c:ext>
                    </c:extLst>
                    <c:strCache>
                      <c:ptCount val="1"/>
                      <c:pt idx="0">
                        <c:v>Servicies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'!$M$10:$M$25</c15:sqref>
                        </c15:formulaRef>
                      </c:ext>
                    </c:extLst>
                    <c:numCache>
                      <c:formatCode>0.0%</c:formatCode>
                      <c:ptCount val="16"/>
                      <c:pt idx="0">
                        <c:v>-1.5443368169999999E-2</c:v>
                      </c:pt>
                      <c:pt idx="1">
                        <c:v>2.3717394661999999E-2</c:v>
                      </c:pt>
                      <c:pt idx="2">
                        <c:v>3.4518821821000002E-2</c:v>
                      </c:pt>
                      <c:pt idx="3">
                        <c:v>3.3404903494E-2</c:v>
                      </c:pt>
                      <c:pt idx="4">
                        <c:v>1.2542499036E-2</c:v>
                      </c:pt>
                      <c:pt idx="5">
                        <c:v>4.7256878280000003E-3</c:v>
                      </c:pt>
                      <c:pt idx="6">
                        <c:v>-8.8222504560000001E-3</c:v>
                      </c:pt>
                      <c:pt idx="7">
                        <c:v>1.0439760112000001E-2</c:v>
                      </c:pt>
                      <c:pt idx="8">
                        <c:v>1.2819474245E-2</c:v>
                      </c:pt>
                      <c:pt idx="9">
                        <c:v>8.2837814829999998E-3</c:v>
                      </c:pt>
                      <c:pt idx="10">
                        <c:v>2.6401767790000001E-3</c:v>
                      </c:pt>
                      <c:pt idx="11">
                        <c:v>-2.405844499E-3</c:v>
                      </c:pt>
                      <c:pt idx="12">
                        <c:v>4.4775064799999998E-3</c:v>
                      </c:pt>
                      <c:pt idx="13">
                        <c:v>5.269680132E-3</c:v>
                      </c:pt>
                      <c:pt idx="14">
                        <c:v>1.2683172135E-2</c:v>
                      </c:pt>
                      <c:pt idx="15">
                        <c:v>4.6307155520000001E-3</c:v>
                      </c:pt>
                    </c:numCache>
                  </c:numRef>
                </c:val>
                <c:smooth val="0"/>
                <c:extLst xmlns:c15="http://schemas.microsoft.com/office/drawing/2012/chart">
                  <c:ext xmlns:c16="http://schemas.microsoft.com/office/drawing/2014/chart" uri="{C3380CC4-5D6E-409C-BE32-E72D297353CC}">
                    <c16:uniqueId val="{0000000C-EFF1-4681-9BD9-16CC8642E559}"/>
                  </c:ext>
                </c:extLst>
              </c15:ser>
            </c15:filteredLineSeries>
          </c:ext>
        </c:extLst>
      </c:lineChart>
      <c:catAx>
        <c:axId val="467660888"/>
        <c:scaling>
          <c:orientation val="minMax"/>
        </c:scaling>
        <c:delete val="0"/>
        <c:axPos val="b"/>
        <c:numFmt formatCode="General" sourceLinked="1"/>
        <c:majorTickMark val="out"/>
        <c:minorTickMark val="none"/>
        <c:tickLblPos val="nextTo"/>
        <c:spPr>
          <a:ln w="3175">
            <a:solidFill>
              <a:srgbClr val="808080"/>
            </a:solidFill>
            <a:prstDash val="solid"/>
          </a:ln>
        </c:spPr>
        <c:txPr>
          <a:bodyPr rot="-5400000" vert="horz"/>
          <a:lstStyle/>
          <a:p>
            <a:pPr>
              <a:defRPr/>
            </a:pPr>
            <a:endParaRPr lang="el-GR"/>
          </a:p>
        </c:txPr>
        <c:crossAx val="469214824"/>
        <c:crossesAt val="0"/>
        <c:auto val="1"/>
        <c:lblAlgn val="ctr"/>
        <c:lblOffset val="100"/>
        <c:tickLblSkip val="1"/>
        <c:tickMarkSkip val="1"/>
        <c:noMultiLvlLbl val="0"/>
      </c:catAx>
      <c:valAx>
        <c:axId val="469214824"/>
        <c:scaling>
          <c:orientation val="minMax"/>
          <c:max val="0.16000000000000003"/>
          <c:min val="-6.0000000000000012E-2"/>
        </c:scaling>
        <c:delete val="0"/>
        <c:axPos val="l"/>
        <c:majorGridlines>
          <c:spPr>
            <a:ln w="3175">
              <a:solidFill>
                <a:schemeClr val="bg1">
                  <a:lumMod val="85000"/>
                </a:schemeClr>
              </a:solidFill>
              <a:prstDash val="solid"/>
            </a:ln>
          </c:spPr>
        </c:majorGridlines>
        <c:numFmt formatCode="[$-408]0.0%" sourceLinked="0"/>
        <c:majorTickMark val="out"/>
        <c:minorTickMark val="none"/>
        <c:tickLblPos val="nextTo"/>
        <c:spPr>
          <a:ln w="3175">
            <a:noFill/>
            <a:prstDash val="solid"/>
          </a:ln>
        </c:spPr>
        <c:txPr>
          <a:bodyPr rot="0" vert="horz"/>
          <a:lstStyle/>
          <a:p>
            <a:pPr>
              <a:defRPr/>
            </a:pPr>
            <a:endParaRPr lang="el-GR"/>
          </a:p>
        </c:txPr>
        <c:crossAx val="467660888"/>
        <c:crossesAt val="1"/>
        <c:crossBetween val="between"/>
      </c:valAx>
      <c:spPr>
        <a:solidFill>
          <a:srgbClr val="FFFFFF"/>
        </a:solidFill>
        <a:ln w="25400">
          <a:noFill/>
        </a:ln>
      </c:spPr>
    </c:plotArea>
    <c:legend>
      <c:legendPos val="r"/>
      <c:layout>
        <c:manualLayout>
          <c:xMode val="edge"/>
          <c:yMode val="edge"/>
          <c:x val="0.28876177412773796"/>
          <c:y val="3.542687676555329E-2"/>
          <c:w val="0.70863203272975972"/>
          <c:h val="0.19222508986138354"/>
        </c:manualLayout>
      </c:layout>
      <c:overlay val="0"/>
      <c:spPr>
        <a:noFill/>
        <a:ln w="25400">
          <a:noFill/>
        </a:ln>
      </c:spPr>
    </c:legend>
    <c:plotVisOnly val="1"/>
    <c:dispBlanksAs val="gap"/>
    <c:showDLblsOverMax val="0"/>
  </c:chart>
  <c:spPr>
    <a:solidFill>
      <a:srgbClr val="FFFFFF"/>
    </a:solidFill>
    <a:ln w="3175">
      <a:solidFill>
        <a:schemeClr val="bg1">
          <a:lumMod val="85000"/>
        </a:schemeClr>
      </a:solidFill>
      <a:prstDash val="solid"/>
    </a:ln>
  </c:spPr>
  <c:txPr>
    <a:bodyPr/>
    <a:lstStyle/>
    <a:p>
      <a:pPr>
        <a:defRPr sz="700" b="0" i="0" u="none" strike="noStrike" baseline="0">
          <a:solidFill>
            <a:srgbClr val="000000"/>
          </a:solidFill>
          <a:latin typeface="Arial" panose="020B0604020202020204" pitchFamily="34" charset="0"/>
          <a:ea typeface="Arial Greek"/>
          <a:cs typeface="Arial" panose="020B0604020202020204" pitchFamily="34" charset="0"/>
        </a:defRPr>
      </a:pPr>
      <a:endParaRPr lang="el-G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022996987559574E-2"/>
          <c:y val="4.5577643330452319E-2"/>
          <c:w val="0.56688294889268931"/>
          <c:h val="0.79764528137526458"/>
        </c:manualLayout>
      </c:layout>
      <c:barChart>
        <c:barDir val="col"/>
        <c:grouping val="stacked"/>
        <c:varyColors val="0"/>
        <c:ser>
          <c:idx val="0"/>
          <c:order val="0"/>
          <c:tx>
            <c:strRef>
              <c:f>'1.5 ΑΠΑ κλαδοι ΣΤΑΘΕΡΕΣ '!$A$7</c:f>
              <c:strCache>
                <c:ptCount val="1"/>
                <c:pt idx="0">
                  <c:v>Πρωτογενής τομέας</c:v>
                </c:pt>
              </c:strCache>
            </c:strRef>
          </c:tx>
          <c:spPr>
            <a:solidFill>
              <a:schemeClr val="accent1">
                <a:lumMod val="5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'!$R$7:$AI$7</c:f>
              <c:numCache>
                <c:formatCode>0.0</c:formatCode>
                <c:ptCount val="18"/>
                <c:pt idx="0">
                  <c:v>1792.7</c:v>
                </c:pt>
                <c:pt idx="1">
                  <c:v>1869.3</c:v>
                </c:pt>
                <c:pt idx="2">
                  <c:v>1915.5</c:v>
                </c:pt>
                <c:pt idx="3">
                  <c:v>1734.4</c:v>
                </c:pt>
                <c:pt idx="4">
                  <c:v>1718</c:v>
                </c:pt>
                <c:pt idx="5">
                  <c:v>1572.5</c:v>
                </c:pt>
                <c:pt idx="6">
                  <c:v>1466.3</c:v>
                </c:pt>
                <c:pt idx="7">
                  <c:v>1533.2</c:v>
                </c:pt>
                <c:pt idx="8">
                  <c:v>1491.5</c:v>
                </c:pt>
                <c:pt idx="9">
                  <c:v>1533.6</c:v>
                </c:pt>
                <c:pt idx="10">
                  <c:v>1590.1</c:v>
                </c:pt>
                <c:pt idx="11">
                  <c:v>1700.9</c:v>
                </c:pt>
                <c:pt idx="12">
                  <c:v>1596.6</c:v>
                </c:pt>
                <c:pt idx="13">
                  <c:v>1600.6</c:v>
                </c:pt>
                <c:pt idx="14">
                  <c:v>1638.8</c:v>
                </c:pt>
                <c:pt idx="15">
                  <c:v>1543.3</c:v>
                </c:pt>
                <c:pt idx="16">
                  <c:v>1583.9</c:v>
                </c:pt>
                <c:pt idx="17">
                  <c:v>1672.2</c:v>
                </c:pt>
              </c:numCache>
            </c:numRef>
          </c:val>
          <c:extLst>
            <c:ext xmlns:c16="http://schemas.microsoft.com/office/drawing/2014/chart" uri="{C3380CC4-5D6E-409C-BE32-E72D297353CC}">
              <c16:uniqueId val="{00000000-2566-479F-8175-946FE085D4B5}"/>
            </c:ext>
          </c:extLst>
        </c:ser>
        <c:ser>
          <c:idx val="2"/>
          <c:order val="1"/>
          <c:tx>
            <c:strRef>
              <c:f>'1.5 ΑΠΑ κλαδοι ΣΤΑΘΕΡΕΣ '!$A$9</c:f>
              <c:strCache>
                <c:ptCount val="1"/>
                <c:pt idx="0">
                  <c:v>Βιομηχανία συμπεριλαμβανομένης της ενέργειας</c:v>
                </c:pt>
              </c:strCache>
            </c:strRef>
          </c:tx>
          <c:spPr>
            <a:solidFill>
              <a:schemeClr val="bg1">
                <a:lumMod val="8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'!$R$9:$AI$9</c:f>
              <c:numCache>
                <c:formatCode>0</c:formatCode>
                <c:ptCount val="18"/>
                <c:pt idx="0">
                  <c:v>6086.5</c:v>
                </c:pt>
                <c:pt idx="1">
                  <c:v>6127.8</c:v>
                </c:pt>
                <c:pt idx="2">
                  <c:v>6049.3</c:v>
                </c:pt>
                <c:pt idx="3">
                  <c:v>5868.5</c:v>
                </c:pt>
                <c:pt idx="4">
                  <c:v>6107.3</c:v>
                </c:pt>
                <c:pt idx="5">
                  <c:v>6000.2</c:v>
                </c:pt>
                <c:pt idx="6">
                  <c:v>6201.1</c:v>
                </c:pt>
                <c:pt idx="7">
                  <c:v>6366.1</c:v>
                </c:pt>
                <c:pt idx="8">
                  <c:v>6593</c:v>
                </c:pt>
                <c:pt idx="9">
                  <c:v>6918</c:v>
                </c:pt>
                <c:pt idx="10">
                  <c:v>6871.8</c:v>
                </c:pt>
                <c:pt idx="11">
                  <c:v>6889.3</c:v>
                </c:pt>
                <c:pt idx="12">
                  <c:v>6839.6</c:v>
                </c:pt>
                <c:pt idx="13">
                  <c:v>6938.6</c:v>
                </c:pt>
                <c:pt idx="14">
                  <c:v>7039.3</c:v>
                </c:pt>
                <c:pt idx="15">
                  <c:v>7179.2</c:v>
                </c:pt>
                <c:pt idx="16">
                  <c:v>7073.9</c:v>
                </c:pt>
                <c:pt idx="17">
                  <c:v>7083.7</c:v>
                </c:pt>
              </c:numCache>
            </c:numRef>
          </c:val>
          <c:extLst>
            <c:ext xmlns:c16="http://schemas.microsoft.com/office/drawing/2014/chart" uri="{C3380CC4-5D6E-409C-BE32-E72D297353CC}">
              <c16:uniqueId val="{00000001-2566-479F-8175-946FE085D4B5}"/>
            </c:ext>
          </c:extLst>
        </c:ser>
        <c:ser>
          <c:idx val="3"/>
          <c:order val="2"/>
          <c:tx>
            <c:strRef>
              <c:f>'1.5 ΑΠΑ κλαδοι ΣΤΑΘΕΡΕΣ '!$A$10</c:f>
              <c:strCache>
                <c:ptCount val="1"/>
                <c:pt idx="0">
                  <c:v>Κατασκευές</c:v>
                </c:pt>
              </c:strCache>
            </c:strRef>
          </c:tx>
          <c:spPr>
            <a:solidFill>
              <a:schemeClr val="accent4"/>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'!$R$10:$AI$10</c:f>
              <c:numCache>
                <c:formatCode>0</c:formatCode>
                <c:ptCount val="18"/>
                <c:pt idx="0">
                  <c:v>964.1</c:v>
                </c:pt>
                <c:pt idx="1">
                  <c:v>788.2</c:v>
                </c:pt>
                <c:pt idx="2">
                  <c:v>824</c:v>
                </c:pt>
                <c:pt idx="3">
                  <c:v>892.3</c:v>
                </c:pt>
                <c:pt idx="4">
                  <c:v>879.3</c:v>
                </c:pt>
                <c:pt idx="5">
                  <c:v>936.1</c:v>
                </c:pt>
                <c:pt idx="6">
                  <c:v>926.7</c:v>
                </c:pt>
                <c:pt idx="7">
                  <c:v>959.5</c:v>
                </c:pt>
                <c:pt idx="8">
                  <c:v>1045.3</c:v>
                </c:pt>
                <c:pt idx="9">
                  <c:v>973.9</c:v>
                </c:pt>
                <c:pt idx="10">
                  <c:v>949.4</c:v>
                </c:pt>
                <c:pt idx="11">
                  <c:v>981.2</c:v>
                </c:pt>
                <c:pt idx="12">
                  <c:v>968</c:v>
                </c:pt>
                <c:pt idx="13">
                  <c:v>1084.4000000000001</c:v>
                </c:pt>
                <c:pt idx="14">
                  <c:v>1191.0999999999999</c:v>
                </c:pt>
                <c:pt idx="15">
                  <c:v>1174.0999999999999</c:v>
                </c:pt>
                <c:pt idx="16">
                  <c:v>1101.5</c:v>
                </c:pt>
                <c:pt idx="17">
                  <c:v>1224.4000000000001</c:v>
                </c:pt>
              </c:numCache>
            </c:numRef>
          </c:val>
          <c:extLst>
            <c:ext xmlns:c16="http://schemas.microsoft.com/office/drawing/2014/chart" uri="{C3380CC4-5D6E-409C-BE32-E72D297353CC}">
              <c16:uniqueId val="{00000002-2566-479F-8175-946FE085D4B5}"/>
            </c:ext>
          </c:extLst>
        </c:ser>
        <c:ser>
          <c:idx val="5"/>
          <c:order val="3"/>
          <c:tx>
            <c:strRef>
              <c:f>'1.5 ΑΠΑ κλαδοι ΣΤΑΘΕΡΕΣ '!$A$12</c:f>
              <c:strCache>
                <c:ptCount val="1"/>
                <c:pt idx="0">
                  <c:v>Εμπόριο, ξενοδοχεία και εστιατόρια, μεταφορές</c:v>
                </c:pt>
              </c:strCache>
            </c:strRef>
          </c:tx>
          <c:spPr>
            <a:solidFill>
              <a:schemeClr val="bg1">
                <a:lumMod val="6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'!$R$12:$AI$12</c:f>
              <c:numCache>
                <c:formatCode>General</c:formatCode>
                <c:ptCount val="18"/>
                <c:pt idx="0">
                  <c:v>9470.6</c:v>
                </c:pt>
                <c:pt idx="1">
                  <c:v>9915.5</c:v>
                </c:pt>
                <c:pt idx="2">
                  <c:v>9820.6</c:v>
                </c:pt>
                <c:pt idx="3">
                  <c:v>9796.1</c:v>
                </c:pt>
                <c:pt idx="4">
                  <c:v>10042</c:v>
                </c:pt>
                <c:pt idx="5">
                  <c:v>9892.2999999999993</c:v>
                </c:pt>
                <c:pt idx="6">
                  <c:v>9863.9</c:v>
                </c:pt>
                <c:pt idx="7">
                  <c:v>9789.4</c:v>
                </c:pt>
                <c:pt idx="8">
                  <c:v>9906.1</c:v>
                </c:pt>
                <c:pt idx="9">
                  <c:v>10011.4</c:v>
                </c:pt>
                <c:pt idx="10">
                  <c:v>9930.7999999999993</c:v>
                </c:pt>
                <c:pt idx="11">
                  <c:v>9975.7999999999993</c:v>
                </c:pt>
                <c:pt idx="12">
                  <c:v>9857.9</c:v>
                </c:pt>
                <c:pt idx="13">
                  <c:v>9873.2000000000007</c:v>
                </c:pt>
                <c:pt idx="14">
                  <c:v>9841.2000000000007</c:v>
                </c:pt>
                <c:pt idx="15">
                  <c:v>9747.9</c:v>
                </c:pt>
                <c:pt idx="16">
                  <c:v>9713</c:v>
                </c:pt>
                <c:pt idx="17">
                  <c:v>9736.6</c:v>
                </c:pt>
              </c:numCache>
            </c:numRef>
          </c:val>
          <c:extLst>
            <c:ext xmlns:c16="http://schemas.microsoft.com/office/drawing/2014/chart" uri="{C3380CC4-5D6E-409C-BE32-E72D297353CC}">
              <c16:uniqueId val="{00000003-2566-479F-8175-946FE085D4B5}"/>
            </c:ext>
          </c:extLst>
        </c:ser>
        <c:ser>
          <c:idx val="6"/>
          <c:order val="4"/>
          <c:tx>
            <c:strRef>
              <c:f>'1.5 ΑΠΑ κλαδοι ΣΤΑΘΕΡΕΣ '!$A$13</c:f>
              <c:strCache>
                <c:ptCount val="1"/>
                <c:pt idx="0">
                  <c:v>Ενημέρωση και επικοινωνία</c:v>
                </c:pt>
              </c:strCache>
            </c:strRef>
          </c:tx>
          <c:spPr>
            <a:solidFill>
              <a:schemeClr val="tx2">
                <a:lumMod val="40000"/>
                <a:lumOff val="6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'!$R$13:$AI$13</c:f>
              <c:numCache>
                <c:formatCode>General</c:formatCode>
                <c:ptCount val="18"/>
                <c:pt idx="0">
                  <c:v>1655.4</c:v>
                </c:pt>
                <c:pt idx="1">
                  <c:v>1739.2</c:v>
                </c:pt>
                <c:pt idx="2">
                  <c:v>1836.7</c:v>
                </c:pt>
                <c:pt idx="3">
                  <c:v>1844.7</c:v>
                </c:pt>
                <c:pt idx="4">
                  <c:v>1818.8</c:v>
                </c:pt>
                <c:pt idx="5">
                  <c:v>1829.7</c:v>
                </c:pt>
                <c:pt idx="6">
                  <c:v>1788.7</c:v>
                </c:pt>
                <c:pt idx="7">
                  <c:v>1854.8</c:v>
                </c:pt>
                <c:pt idx="8">
                  <c:v>1938.8</c:v>
                </c:pt>
                <c:pt idx="9">
                  <c:v>1954.1</c:v>
                </c:pt>
                <c:pt idx="10">
                  <c:v>1962.4</c:v>
                </c:pt>
                <c:pt idx="11">
                  <c:v>1986.3</c:v>
                </c:pt>
                <c:pt idx="12">
                  <c:v>1956.2</c:v>
                </c:pt>
                <c:pt idx="13">
                  <c:v>2003.5</c:v>
                </c:pt>
                <c:pt idx="14">
                  <c:v>2033.3</c:v>
                </c:pt>
                <c:pt idx="15">
                  <c:v>2069.1</c:v>
                </c:pt>
                <c:pt idx="16">
                  <c:v>2069.1</c:v>
                </c:pt>
                <c:pt idx="17">
                  <c:v>2088.8000000000002</c:v>
                </c:pt>
              </c:numCache>
            </c:numRef>
          </c:val>
          <c:extLst>
            <c:ext xmlns:c16="http://schemas.microsoft.com/office/drawing/2014/chart" uri="{C3380CC4-5D6E-409C-BE32-E72D297353CC}">
              <c16:uniqueId val="{00000004-2566-479F-8175-946FE085D4B5}"/>
            </c:ext>
          </c:extLst>
        </c:ser>
        <c:ser>
          <c:idx val="7"/>
          <c:order val="5"/>
          <c:tx>
            <c:strRef>
              <c:f>'1.5 ΑΠΑ κλαδοι ΣΤΑΘΕΡΕΣ '!$A$14</c:f>
              <c:strCache>
                <c:ptCount val="1"/>
                <c:pt idx="0">
                  <c:v>Χρηματοπιστωτικές και ασφαλιστικές δραστηριότητες</c:v>
                </c:pt>
              </c:strCache>
            </c:strRef>
          </c:tx>
          <c:spPr>
            <a:solidFill>
              <a:srgbClr val="0070C0"/>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'!$R$14:$AI$14</c:f>
              <c:numCache>
                <c:formatCode>General</c:formatCode>
                <c:ptCount val="18"/>
                <c:pt idx="0">
                  <c:v>1880.3</c:v>
                </c:pt>
                <c:pt idx="1">
                  <c:v>1856.9</c:v>
                </c:pt>
                <c:pt idx="2">
                  <c:v>1922.7</c:v>
                </c:pt>
                <c:pt idx="3">
                  <c:v>2078.1999999999998</c:v>
                </c:pt>
                <c:pt idx="4">
                  <c:v>2060.5</c:v>
                </c:pt>
                <c:pt idx="5">
                  <c:v>2146.8000000000002</c:v>
                </c:pt>
                <c:pt idx="6">
                  <c:v>2157.9</c:v>
                </c:pt>
                <c:pt idx="7">
                  <c:v>2160.5</c:v>
                </c:pt>
                <c:pt idx="8">
                  <c:v>2122.5</c:v>
                </c:pt>
                <c:pt idx="9">
                  <c:v>2108.1999999999998</c:v>
                </c:pt>
                <c:pt idx="10">
                  <c:v>2113.1</c:v>
                </c:pt>
                <c:pt idx="11">
                  <c:v>2134.1999999999998</c:v>
                </c:pt>
                <c:pt idx="12">
                  <c:v>2177.4</c:v>
                </c:pt>
                <c:pt idx="13">
                  <c:v>2196.8000000000002</c:v>
                </c:pt>
                <c:pt idx="14">
                  <c:v>2231.8000000000002</c:v>
                </c:pt>
                <c:pt idx="15">
                  <c:v>2260.3000000000002</c:v>
                </c:pt>
                <c:pt idx="16">
                  <c:v>2300.1999999999998</c:v>
                </c:pt>
                <c:pt idx="17">
                  <c:v>2344.9</c:v>
                </c:pt>
              </c:numCache>
            </c:numRef>
          </c:val>
          <c:extLst>
            <c:ext xmlns:c16="http://schemas.microsoft.com/office/drawing/2014/chart" uri="{C3380CC4-5D6E-409C-BE32-E72D297353CC}">
              <c16:uniqueId val="{00000005-2566-479F-8175-946FE085D4B5}"/>
            </c:ext>
          </c:extLst>
        </c:ser>
        <c:ser>
          <c:idx val="8"/>
          <c:order val="6"/>
          <c:tx>
            <c:strRef>
              <c:f>'1.5 ΑΠΑ κλαδοι ΣΤΑΘΕΡΕΣ '!$A$15</c:f>
              <c:strCache>
                <c:ptCount val="1"/>
                <c:pt idx="0">
                  <c:v>Δραστηριότητες σχετικές με την ακίνητη περιουσία</c:v>
                </c:pt>
              </c:strCache>
            </c:strRef>
          </c:tx>
          <c:spPr>
            <a:solidFill>
              <a:schemeClr val="accent1">
                <a:lumMod val="7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'!$R$15:$AI$15</c:f>
              <c:numCache>
                <c:formatCode>General</c:formatCode>
                <c:ptCount val="18"/>
                <c:pt idx="0">
                  <c:v>7185.1</c:v>
                </c:pt>
                <c:pt idx="1">
                  <c:v>7195.4</c:v>
                </c:pt>
                <c:pt idx="2">
                  <c:v>7261.9</c:v>
                </c:pt>
                <c:pt idx="3">
                  <c:v>7385.4</c:v>
                </c:pt>
                <c:pt idx="4">
                  <c:v>7563.2</c:v>
                </c:pt>
                <c:pt idx="5">
                  <c:v>7662.8</c:v>
                </c:pt>
                <c:pt idx="6">
                  <c:v>7677.8</c:v>
                </c:pt>
                <c:pt idx="7">
                  <c:v>7606.7</c:v>
                </c:pt>
                <c:pt idx="8">
                  <c:v>7450.4</c:v>
                </c:pt>
                <c:pt idx="9">
                  <c:v>7333.4</c:v>
                </c:pt>
                <c:pt idx="10">
                  <c:v>7257</c:v>
                </c:pt>
                <c:pt idx="11">
                  <c:v>7222.3</c:v>
                </c:pt>
                <c:pt idx="12">
                  <c:v>7483.9</c:v>
                </c:pt>
                <c:pt idx="13">
                  <c:v>7366.5</c:v>
                </c:pt>
                <c:pt idx="14">
                  <c:v>7289.8</c:v>
                </c:pt>
                <c:pt idx="15">
                  <c:v>7255</c:v>
                </c:pt>
                <c:pt idx="16">
                  <c:v>7518</c:v>
                </c:pt>
                <c:pt idx="17">
                  <c:v>7400.6</c:v>
                </c:pt>
              </c:numCache>
            </c:numRef>
          </c:val>
          <c:extLst>
            <c:ext xmlns:c16="http://schemas.microsoft.com/office/drawing/2014/chart" uri="{C3380CC4-5D6E-409C-BE32-E72D297353CC}">
              <c16:uniqueId val="{00000006-2566-479F-8175-946FE085D4B5}"/>
            </c:ext>
          </c:extLst>
        </c:ser>
        <c:ser>
          <c:idx val="9"/>
          <c:order val="7"/>
          <c:tx>
            <c:strRef>
              <c:f>'1.5 ΑΠΑ κλαδοι ΣΤΑΘΕΡΕΣ '!$A$16</c:f>
              <c:strCache>
                <c:ptCount val="1"/>
                <c:pt idx="0">
                  <c:v>Επαγγελματικές, επιστημονικές, τεχνικές και διοικητικές δραστηριότητες</c:v>
                </c:pt>
              </c:strCache>
            </c:strRef>
          </c:tx>
          <c:spPr>
            <a:solidFill>
              <a:schemeClr val="accent4">
                <a:lumMod val="7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'!$R$16:$AI$16</c:f>
              <c:numCache>
                <c:formatCode>General</c:formatCode>
                <c:ptCount val="18"/>
                <c:pt idx="0">
                  <c:v>2554.4</c:v>
                </c:pt>
                <c:pt idx="1">
                  <c:v>2662.9</c:v>
                </c:pt>
                <c:pt idx="2">
                  <c:v>2805.6</c:v>
                </c:pt>
                <c:pt idx="3">
                  <c:v>2941.7</c:v>
                </c:pt>
                <c:pt idx="4">
                  <c:v>2971.2</c:v>
                </c:pt>
                <c:pt idx="5">
                  <c:v>3001</c:v>
                </c:pt>
                <c:pt idx="6">
                  <c:v>2905.9</c:v>
                </c:pt>
                <c:pt idx="7">
                  <c:v>3025.6</c:v>
                </c:pt>
                <c:pt idx="8">
                  <c:v>2910.7</c:v>
                </c:pt>
                <c:pt idx="9">
                  <c:v>2902.6</c:v>
                </c:pt>
                <c:pt idx="10">
                  <c:v>3013.7</c:v>
                </c:pt>
                <c:pt idx="11">
                  <c:v>2955.8</c:v>
                </c:pt>
                <c:pt idx="12">
                  <c:v>3035.8</c:v>
                </c:pt>
                <c:pt idx="13">
                  <c:v>3048.5</c:v>
                </c:pt>
                <c:pt idx="14">
                  <c:v>3005.6</c:v>
                </c:pt>
                <c:pt idx="15">
                  <c:v>3028.8</c:v>
                </c:pt>
                <c:pt idx="16">
                  <c:v>3080.7</c:v>
                </c:pt>
                <c:pt idx="17">
                  <c:v>3068.5</c:v>
                </c:pt>
              </c:numCache>
            </c:numRef>
          </c:val>
          <c:extLst>
            <c:ext xmlns:c16="http://schemas.microsoft.com/office/drawing/2014/chart" uri="{C3380CC4-5D6E-409C-BE32-E72D297353CC}">
              <c16:uniqueId val="{00000007-2566-479F-8175-946FE085D4B5}"/>
            </c:ext>
          </c:extLst>
        </c:ser>
        <c:ser>
          <c:idx val="10"/>
          <c:order val="8"/>
          <c:tx>
            <c:strRef>
              <c:f>'1.5 ΑΠΑ κλαδοι ΣΤΑΘΕΡΕΣ '!$A$17</c:f>
              <c:strCache>
                <c:ptCount val="1"/>
                <c:pt idx="0">
                  <c:v>Δημόσια διοίκηση, εκπαίδευση και υγεία</c:v>
                </c:pt>
              </c:strCache>
            </c:strRef>
          </c:tx>
          <c:spPr>
            <a:solidFill>
              <a:schemeClr val="tx2">
                <a:lumMod val="60000"/>
                <a:lumOff val="4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'!$R$17:$AI$17</c:f>
              <c:numCache>
                <c:formatCode>General</c:formatCode>
                <c:ptCount val="18"/>
                <c:pt idx="0">
                  <c:v>8019</c:v>
                </c:pt>
                <c:pt idx="1">
                  <c:v>7976.5</c:v>
                </c:pt>
                <c:pt idx="2">
                  <c:v>8119.1</c:v>
                </c:pt>
                <c:pt idx="3">
                  <c:v>8078.5</c:v>
                </c:pt>
                <c:pt idx="4">
                  <c:v>8090.5</c:v>
                </c:pt>
                <c:pt idx="5">
                  <c:v>8060.5</c:v>
                </c:pt>
                <c:pt idx="6">
                  <c:v>7917.2</c:v>
                </c:pt>
                <c:pt idx="7">
                  <c:v>7988.3</c:v>
                </c:pt>
                <c:pt idx="8">
                  <c:v>8078.6</c:v>
                </c:pt>
                <c:pt idx="9">
                  <c:v>8131.1</c:v>
                </c:pt>
                <c:pt idx="10">
                  <c:v>7988.6</c:v>
                </c:pt>
                <c:pt idx="11">
                  <c:v>8157</c:v>
                </c:pt>
                <c:pt idx="12">
                  <c:v>8082.1</c:v>
                </c:pt>
                <c:pt idx="13">
                  <c:v>8115.1</c:v>
                </c:pt>
                <c:pt idx="14">
                  <c:v>8209.6</c:v>
                </c:pt>
                <c:pt idx="15">
                  <c:v>8235.7999999999993</c:v>
                </c:pt>
                <c:pt idx="16">
                  <c:v>8163.7</c:v>
                </c:pt>
                <c:pt idx="17">
                  <c:v>8156.7</c:v>
                </c:pt>
              </c:numCache>
            </c:numRef>
          </c:val>
          <c:extLst>
            <c:ext xmlns:c16="http://schemas.microsoft.com/office/drawing/2014/chart" uri="{C3380CC4-5D6E-409C-BE32-E72D297353CC}">
              <c16:uniqueId val="{00000008-2566-479F-8175-946FE085D4B5}"/>
            </c:ext>
          </c:extLst>
        </c:ser>
        <c:ser>
          <c:idx val="11"/>
          <c:order val="9"/>
          <c:tx>
            <c:strRef>
              <c:f>'1.5 ΑΠΑ κλαδοι ΣΤΑΘΕΡΕΣ '!$A$18</c:f>
              <c:strCache>
                <c:ptCount val="1"/>
                <c:pt idx="0">
                  <c:v>Τέχνες, διασκέδαση, ψυχαγωγία και λοιπές υπηρεσίες</c:v>
                </c:pt>
              </c:strCache>
            </c:strRef>
          </c:tx>
          <c:spPr>
            <a:solidFill>
              <a:schemeClr val="accent1">
                <a:lumMod val="40000"/>
                <a:lumOff val="6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'!$R$18:$AI$18</c:f>
              <c:numCache>
                <c:formatCode>General</c:formatCode>
                <c:ptCount val="18"/>
                <c:pt idx="0">
                  <c:v>1531.1</c:v>
                </c:pt>
                <c:pt idx="1">
                  <c:v>1445.7</c:v>
                </c:pt>
                <c:pt idx="2">
                  <c:v>1475.7</c:v>
                </c:pt>
                <c:pt idx="3">
                  <c:v>1452.2</c:v>
                </c:pt>
                <c:pt idx="4">
                  <c:v>1513.3</c:v>
                </c:pt>
                <c:pt idx="5">
                  <c:v>1538.4</c:v>
                </c:pt>
                <c:pt idx="6">
                  <c:v>1548.3</c:v>
                </c:pt>
                <c:pt idx="7">
                  <c:v>1584.5</c:v>
                </c:pt>
                <c:pt idx="8">
                  <c:v>1599.3</c:v>
                </c:pt>
                <c:pt idx="9">
                  <c:v>1567.9</c:v>
                </c:pt>
                <c:pt idx="10">
                  <c:v>1623.1</c:v>
                </c:pt>
                <c:pt idx="11">
                  <c:v>1605.2</c:v>
                </c:pt>
                <c:pt idx="12">
                  <c:v>1611</c:v>
                </c:pt>
                <c:pt idx="13">
                  <c:v>1656.6</c:v>
                </c:pt>
                <c:pt idx="14">
                  <c:v>1639.9</c:v>
                </c:pt>
                <c:pt idx="15">
                  <c:v>1679.9</c:v>
                </c:pt>
                <c:pt idx="16">
                  <c:v>1694</c:v>
                </c:pt>
                <c:pt idx="17">
                  <c:v>1709.9</c:v>
                </c:pt>
              </c:numCache>
            </c:numRef>
          </c:val>
          <c:extLst>
            <c:ext xmlns:c16="http://schemas.microsoft.com/office/drawing/2014/chart" uri="{C3380CC4-5D6E-409C-BE32-E72D297353CC}">
              <c16:uniqueId val="{00000009-2566-479F-8175-946FE085D4B5}"/>
            </c:ext>
          </c:extLst>
        </c:ser>
        <c:dLbls>
          <c:showLegendKey val="0"/>
          <c:showVal val="0"/>
          <c:showCatName val="0"/>
          <c:showSerName val="0"/>
          <c:showPercent val="0"/>
          <c:showBubbleSize val="0"/>
        </c:dLbls>
        <c:gapWidth val="150"/>
        <c:overlap val="100"/>
        <c:serLines>
          <c:spPr>
            <a:ln w="9525" cap="flat" cmpd="sng" algn="ctr">
              <a:solidFill>
                <a:schemeClr val="tx1">
                  <a:lumMod val="35000"/>
                  <a:lumOff val="65000"/>
                </a:schemeClr>
              </a:solidFill>
              <a:round/>
            </a:ln>
            <a:effectLst/>
          </c:spPr>
        </c:serLines>
        <c:axId val="1881836127"/>
        <c:axId val="1"/>
      </c:barChart>
      <c:catAx>
        <c:axId val="18818361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5400000"/>
          <a:lstStyle/>
          <a:p>
            <a:pPr>
              <a:defRPr sz="650"/>
            </a:pPr>
            <a:endParaRPr lang="el-GR"/>
          </a:p>
        </c:txPr>
        <c:crossAx val="1"/>
        <c:crosses val="autoZero"/>
        <c:auto val="1"/>
        <c:lblAlgn val="ctr"/>
        <c:lblOffset val="100"/>
        <c:noMultiLvlLbl val="0"/>
      </c:catAx>
      <c:valAx>
        <c:axId val="1"/>
        <c:scaling>
          <c:orientation val="minMax"/>
        </c:scaling>
        <c:delete val="0"/>
        <c:axPos val="l"/>
        <c:majorGridlines>
          <c:spPr>
            <a:ln w="3175" cap="flat" cmpd="sng" algn="ctr">
              <a:solidFill>
                <a:schemeClr val="bg1">
                  <a:lumMod val="85000"/>
                </a:schemeClr>
              </a:solidFill>
              <a:round/>
            </a:ln>
            <a:effectLst/>
          </c:spPr>
        </c:majorGridlines>
        <c:numFmt formatCode="[$-408]0.0" sourceLinked="0"/>
        <c:majorTickMark val="none"/>
        <c:minorTickMark val="none"/>
        <c:tickLblPos val="nextTo"/>
        <c:spPr>
          <a:noFill/>
          <a:ln>
            <a:noFill/>
          </a:ln>
          <a:effectLst/>
        </c:spPr>
        <c:txPr>
          <a:bodyPr rot="-60000000" vert="horz"/>
          <a:lstStyle/>
          <a:p>
            <a:pPr>
              <a:defRPr/>
            </a:pPr>
            <a:endParaRPr lang="el-GR"/>
          </a:p>
        </c:txPr>
        <c:crossAx val="1881836127"/>
        <c:crosses val="autoZero"/>
        <c:crossBetween val="between"/>
      </c:valAx>
      <c:spPr>
        <a:noFill/>
        <a:ln w="25400">
          <a:noFill/>
        </a:ln>
      </c:spPr>
    </c:plotArea>
    <c:legend>
      <c:legendPos val="r"/>
      <c:layout>
        <c:manualLayout>
          <c:xMode val="edge"/>
          <c:yMode val="edge"/>
          <c:x val="0.65491062514649834"/>
          <c:y val="0"/>
          <c:w val="0.34288430318867252"/>
          <c:h val="1"/>
        </c:manualLayout>
      </c:layout>
      <c:overlay val="0"/>
      <c:spPr>
        <a:noFill/>
        <a:ln>
          <a:noFill/>
        </a:ln>
        <a:effectLst/>
      </c:spPr>
      <c:txPr>
        <a:bodyPr rot="0" vert="horz"/>
        <a:lstStyle/>
        <a:p>
          <a:pPr>
            <a:defRPr/>
          </a:pPr>
          <a:endParaRPr lang="el-GR"/>
        </a:p>
      </c:txPr>
    </c:legend>
    <c:plotVisOnly val="1"/>
    <c:dispBlanksAs val="gap"/>
    <c:showDLblsOverMax val="0"/>
  </c:chart>
  <c:spPr>
    <a:solidFill>
      <a:schemeClr val="bg1"/>
    </a:solidFill>
    <a:ln w="3175" cap="flat" cmpd="sng" algn="ctr">
      <a:solidFill>
        <a:schemeClr val="bg1">
          <a:lumMod val="85000"/>
        </a:scheme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321234807778787E-2"/>
          <c:y val="0.10688632378986669"/>
          <c:w val="0.90265345443995815"/>
          <c:h val="0.53665247073447897"/>
        </c:manualLayout>
      </c:layout>
      <c:lineChart>
        <c:grouping val="standard"/>
        <c:varyColors val="0"/>
        <c:ser>
          <c:idx val="0"/>
          <c:order val="0"/>
          <c:tx>
            <c:strRef>
              <c:f>'1.6 Εξέλιξη τιμών ενέργειας'!$B$5</c:f>
              <c:strCache>
                <c:ptCount val="1"/>
                <c:pt idx="0">
                  <c:v>Αργό πετρέλαιο Brent ($/βαρέλι)</c:v>
                </c:pt>
              </c:strCache>
            </c:strRef>
          </c:tx>
          <c:spPr>
            <a:ln w="22225">
              <a:solidFill>
                <a:schemeClr val="tx2">
                  <a:lumMod val="40000"/>
                  <a:lumOff val="60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ενέργειας'!$B$9:$B$87</c:f>
              <c:numCache>
                <c:formatCode>General</c:formatCode>
                <c:ptCount val="79"/>
                <c:pt idx="0">
                  <c:v>55</c:v>
                </c:pt>
                <c:pt idx="1">
                  <c:v>32.979999999999997</c:v>
                </c:pt>
                <c:pt idx="2">
                  <c:v>23.34</c:v>
                </c:pt>
                <c:pt idx="3">
                  <c:v>31.02</c:v>
                </c:pt>
                <c:pt idx="4">
                  <c:v>39.93</c:v>
                </c:pt>
                <c:pt idx="5">
                  <c:v>42.81</c:v>
                </c:pt>
                <c:pt idx="6">
                  <c:v>44.26</c:v>
                </c:pt>
                <c:pt idx="7">
                  <c:v>41.09</c:v>
                </c:pt>
                <c:pt idx="8">
                  <c:v>40.47</c:v>
                </c:pt>
                <c:pt idx="9">
                  <c:v>43.23</c:v>
                </c:pt>
                <c:pt idx="10">
                  <c:v>49.87</c:v>
                </c:pt>
                <c:pt idx="11">
                  <c:v>54.55</c:v>
                </c:pt>
                <c:pt idx="12">
                  <c:v>61.96</c:v>
                </c:pt>
                <c:pt idx="13">
                  <c:v>65.19</c:v>
                </c:pt>
                <c:pt idx="14">
                  <c:v>64.77</c:v>
                </c:pt>
                <c:pt idx="15">
                  <c:v>68.040000000000006</c:v>
                </c:pt>
                <c:pt idx="16">
                  <c:v>73.069999999999993</c:v>
                </c:pt>
                <c:pt idx="17">
                  <c:v>74.39</c:v>
                </c:pt>
                <c:pt idx="18">
                  <c:v>70.02</c:v>
                </c:pt>
                <c:pt idx="19">
                  <c:v>74.599999999999994</c:v>
                </c:pt>
                <c:pt idx="20">
                  <c:v>83.65</c:v>
                </c:pt>
                <c:pt idx="21">
                  <c:v>80.77</c:v>
                </c:pt>
                <c:pt idx="22">
                  <c:v>74.31</c:v>
                </c:pt>
                <c:pt idx="23">
                  <c:v>85.53</c:v>
                </c:pt>
                <c:pt idx="24">
                  <c:v>95.76</c:v>
                </c:pt>
                <c:pt idx="25">
                  <c:v>115.59</c:v>
                </c:pt>
                <c:pt idx="26">
                  <c:v>105.78</c:v>
                </c:pt>
                <c:pt idx="27">
                  <c:v>112.37</c:v>
                </c:pt>
                <c:pt idx="28">
                  <c:v>120.08</c:v>
                </c:pt>
                <c:pt idx="29">
                  <c:v>108.92</c:v>
                </c:pt>
                <c:pt idx="30">
                  <c:v>98.6</c:v>
                </c:pt>
                <c:pt idx="31">
                  <c:v>90.16</c:v>
                </c:pt>
                <c:pt idx="32">
                  <c:v>93.13</c:v>
                </c:pt>
                <c:pt idx="33">
                  <c:v>91.07</c:v>
                </c:pt>
                <c:pt idx="34">
                  <c:v>80.900000000000006</c:v>
                </c:pt>
                <c:pt idx="35">
                  <c:v>83.09</c:v>
                </c:pt>
                <c:pt idx="36">
                  <c:v>82.71</c:v>
                </c:pt>
                <c:pt idx="37">
                  <c:v>78.53</c:v>
                </c:pt>
                <c:pt idx="38">
                  <c:v>84.11</c:v>
                </c:pt>
                <c:pt idx="39">
                  <c:v>75.7</c:v>
                </c:pt>
                <c:pt idx="40">
                  <c:v>74.89</c:v>
                </c:pt>
                <c:pt idx="41">
                  <c:v>80.099999999999994</c:v>
                </c:pt>
                <c:pt idx="42">
                  <c:v>86.162999999999997</c:v>
                </c:pt>
                <c:pt idx="43">
                  <c:v>94</c:v>
                </c:pt>
                <c:pt idx="44">
                  <c:v>91.061000000000007</c:v>
                </c:pt>
                <c:pt idx="45">
                  <c:v>83.183000000000007</c:v>
                </c:pt>
                <c:pt idx="46">
                  <c:v>77.858000000000004</c:v>
                </c:pt>
                <c:pt idx="47">
                  <c:v>80.227000000000004</c:v>
                </c:pt>
                <c:pt idx="48">
                  <c:v>83.763999999999996</c:v>
                </c:pt>
                <c:pt idx="49">
                  <c:v>85.447000000000003</c:v>
                </c:pt>
                <c:pt idx="50">
                  <c:v>90.054000000000002</c:v>
                </c:pt>
                <c:pt idx="51">
                  <c:v>81.995000000000005</c:v>
                </c:pt>
                <c:pt idx="52">
                  <c:v>82.555000000000007</c:v>
                </c:pt>
                <c:pt idx="53">
                  <c:v>85.296000000000006</c:v>
                </c:pt>
                <c:pt idx="54">
                  <c:v>80.863</c:v>
                </c:pt>
                <c:pt idx="55">
                  <c:v>74.293000000000006</c:v>
                </c:pt>
                <c:pt idx="56">
                  <c:v>75.662000000000006</c:v>
                </c:pt>
                <c:pt idx="57">
                  <c:v>74.394999999999996</c:v>
                </c:pt>
                <c:pt idx="58">
                  <c:v>73.832999999999998</c:v>
                </c:pt>
                <c:pt idx="59">
                  <c:v>79.206000000000003</c:v>
                </c:pt>
                <c:pt idx="60">
                  <c:v>75.156999999999996</c:v>
                </c:pt>
                <c:pt idx="61">
                  <c:v>72.573999999999998</c:v>
                </c:pt>
                <c:pt idx="62">
                  <c:v>67.745000000000005</c:v>
                </c:pt>
                <c:pt idx="63">
                  <c:v>64.206000000000003</c:v>
                </c:pt>
                <c:pt idx="64">
                  <c:v>71.45</c:v>
                </c:pt>
                <c:pt idx="65">
                  <c:v>70.950999999999993</c:v>
                </c:pt>
                <c:pt idx="66">
                  <c:v>68.2</c:v>
                </c:pt>
                <c:pt idx="67">
                  <c:v>68</c:v>
                </c:pt>
                <c:pt idx="68">
                  <c:v>64.7</c:v>
                </c:pt>
                <c:pt idx="69">
                  <c:v>63.6</c:v>
                </c:pt>
                <c:pt idx="70">
                  <c:v>62.7</c:v>
                </c:pt>
                <c:pt idx="71">
                  <c:v>66.8</c:v>
                </c:pt>
                <c:pt idx="72">
                  <c:v>71.099999999999994</c:v>
                </c:pt>
                <c:pt idx="73">
                  <c:v>103.7</c:v>
                </c:pt>
                <c:pt idx="74">
                  <c:v>120.4</c:v>
                </c:pt>
                <c:pt idx="75">
                  <c:v>107.5</c:v>
                </c:pt>
                <c:pt idx="76">
                  <c:v>85.4</c:v>
                </c:pt>
                <c:pt idx="77">
                  <c:v>83.4</c:v>
                </c:pt>
                <c:pt idx="78">
                  <c:v>90.9</c:v>
                </c:pt>
              </c:numCache>
            </c:numRef>
          </c:val>
          <c:smooth val="0"/>
          <c:extLst>
            <c:ext xmlns:c16="http://schemas.microsoft.com/office/drawing/2014/chart" uri="{C3380CC4-5D6E-409C-BE32-E72D297353CC}">
              <c16:uniqueId val="{00000000-C958-4304-9DFB-EF6127F7DA79}"/>
            </c:ext>
          </c:extLst>
        </c:ser>
        <c:dLbls>
          <c:showLegendKey val="0"/>
          <c:showVal val="0"/>
          <c:showCatName val="0"/>
          <c:showSerName val="0"/>
          <c:showPercent val="0"/>
          <c:showBubbleSize val="0"/>
        </c:dLbls>
        <c:marker val="1"/>
        <c:smooth val="0"/>
        <c:axId val="720508928"/>
        <c:axId val="1"/>
      </c:lineChart>
      <c:lineChart>
        <c:grouping val="standard"/>
        <c:varyColors val="0"/>
        <c:ser>
          <c:idx val="1"/>
          <c:order val="1"/>
          <c:tx>
            <c:strRef>
              <c:f>'1.6 Εξέλιξη τιμών ενέργειας'!$C$5</c:f>
              <c:strCache>
                <c:ptCount val="1"/>
                <c:pt idx="0">
                  <c:v>Άνθρακας ($/μετρικό τόνο, δεξιός άξονας)</c:v>
                </c:pt>
              </c:strCache>
            </c:strRef>
          </c:tx>
          <c:spPr>
            <a:ln w="22225">
              <a:solidFill>
                <a:schemeClr val="tx2">
                  <a:lumMod val="60000"/>
                  <a:lumOff val="40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ενέργειας'!$C$9:$C$87</c:f>
              <c:numCache>
                <c:formatCode>General</c:formatCode>
                <c:ptCount val="79"/>
                <c:pt idx="0">
                  <c:v>79.989999999999995</c:v>
                </c:pt>
                <c:pt idx="1">
                  <c:v>67.89</c:v>
                </c:pt>
                <c:pt idx="2">
                  <c:v>56.58</c:v>
                </c:pt>
                <c:pt idx="3">
                  <c:v>57.42</c:v>
                </c:pt>
                <c:pt idx="4">
                  <c:v>56.81</c:v>
                </c:pt>
                <c:pt idx="5">
                  <c:v>56.6</c:v>
                </c:pt>
                <c:pt idx="6">
                  <c:v>57.38</c:v>
                </c:pt>
                <c:pt idx="7">
                  <c:v>57.47</c:v>
                </c:pt>
                <c:pt idx="8">
                  <c:v>61.04</c:v>
                </c:pt>
                <c:pt idx="9">
                  <c:v>69.430000000000007</c:v>
                </c:pt>
                <c:pt idx="10">
                  <c:v>85.18</c:v>
                </c:pt>
                <c:pt idx="11">
                  <c:v>86.85</c:v>
                </c:pt>
                <c:pt idx="12">
                  <c:v>82.76</c:v>
                </c:pt>
                <c:pt idx="13">
                  <c:v>90.66</c:v>
                </c:pt>
                <c:pt idx="14">
                  <c:v>89.13</c:v>
                </c:pt>
                <c:pt idx="15">
                  <c:v>99.31</c:v>
                </c:pt>
                <c:pt idx="16">
                  <c:v>112.92</c:v>
                </c:pt>
                <c:pt idx="17">
                  <c:v>122.33</c:v>
                </c:pt>
                <c:pt idx="18">
                  <c:v>137.91999999999999</c:v>
                </c:pt>
                <c:pt idx="19">
                  <c:v>146.05275137829301</c:v>
                </c:pt>
                <c:pt idx="20">
                  <c:v>199.65</c:v>
                </c:pt>
                <c:pt idx="21">
                  <c:v>128</c:v>
                </c:pt>
                <c:pt idx="22">
                  <c:v>142.5</c:v>
                </c:pt>
                <c:pt idx="23">
                  <c:v>168.5</c:v>
                </c:pt>
                <c:pt idx="24">
                  <c:v>196.4</c:v>
                </c:pt>
                <c:pt idx="25">
                  <c:v>294.42</c:v>
                </c:pt>
                <c:pt idx="26">
                  <c:v>302</c:v>
                </c:pt>
                <c:pt idx="27">
                  <c:v>280</c:v>
                </c:pt>
                <c:pt idx="28">
                  <c:v>291.35680000000002</c:v>
                </c:pt>
                <c:pt idx="29">
                  <c:v>269.08655771317001</c:v>
                </c:pt>
                <c:pt idx="30">
                  <c:v>274.61946388545999</c:v>
                </c:pt>
                <c:pt idx="31">
                  <c:v>234.98445322436999</c:v>
                </c:pt>
                <c:pt idx="32">
                  <c:v>191.21987979183999</c:v>
                </c:pt>
                <c:pt idx="33">
                  <c:v>169.09656696556999</c:v>
                </c:pt>
                <c:pt idx="34">
                  <c:v>215</c:v>
                </c:pt>
                <c:pt idx="35">
                  <c:v>172</c:v>
                </c:pt>
                <c:pt idx="36">
                  <c:v>144.66999999999999</c:v>
                </c:pt>
                <c:pt idx="37">
                  <c:v>136.84</c:v>
                </c:pt>
                <c:pt idx="38">
                  <c:v>133.74510000000001</c:v>
                </c:pt>
                <c:pt idx="39">
                  <c:v>103</c:v>
                </c:pt>
                <c:pt idx="40">
                  <c:v>98.58</c:v>
                </c:pt>
                <c:pt idx="41">
                  <c:v>96.75</c:v>
                </c:pt>
                <c:pt idx="42">
                  <c:v>97.604600000000005</c:v>
                </c:pt>
                <c:pt idx="43">
                  <c:v>99.85</c:v>
                </c:pt>
                <c:pt idx="44">
                  <c:v>128.4</c:v>
                </c:pt>
                <c:pt idx="45">
                  <c:v>109</c:v>
                </c:pt>
                <c:pt idx="46">
                  <c:v>108.82940000000001</c:v>
                </c:pt>
                <c:pt idx="47">
                  <c:v>106.75</c:v>
                </c:pt>
                <c:pt idx="48">
                  <c:v>105.193</c:v>
                </c:pt>
                <c:pt idx="49">
                  <c:v>104.84</c:v>
                </c:pt>
                <c:pt idx="50">
                  <c:v>104.89</c:v>
                </c:pt>
                <c:pt idx="51">
                  <c:v>105.63</c:v>
                </c:pt>
                <c:pt idx="52">
                  <c:v>105.3</c:v>
                </c:pt>
                <c:pt idx="53">
                  <c:v>105.31</c:v>
                </c:pt>
                <c:pt idx="54">
                  <c:v>106.21</c:v>
                </c:pt>
                <c:pt idx="55">
                  <c:v>106.07</c:v>
                </c:pt>
                <c:pt idx="56">
                  <c:v>106.81</c:v>
                </c:pt>
                <c:pt idx="57">
                  <c:v>106.82</c:v>
                </c:pt>
                <c:pt idx="58">
                  <c:v>105.47</c:v>
                </c:pt>
                <c:pt idx="59">
                  <c:v>103.28</c:v>
                </c:pt>
                <c:pt idx="60">
                  <c:v>100.41</c:v>
                </c:pt>
                <c:pt idx="61">
                  <c:v>97.99</c:v>
                </c:pt>
                <c:pt idx="62">
                  <c:v>95.56</c:v>
                </c:pt>
                <c:pt idx="63">
                  <c:v>94.33</c:v>
                </c:pt>
                <c:pt idx="64">
                  <c:v>93.78</c:v>
                </c:pt>
                <c:pt idx="65">
                  <c:v>93.635499999999993</c:v>
                </c:pt>
                <c:pt idx="66">
                  <c:v>93.29</c:v>
                </c:pt>
                <c:pt idx="67">
                  <c:v>92.3</c:v>
                </c:pt>
                <c:pt idx="68">
                  <c:v>91.6</c:v>
                </c:pt>
                <c:pt idx="69">
                  <c:v>91.6</c:v>
                </c:pt>
                <c:pt idx="70">
                  <c:v>90.9</c:v>
                </c:pt>
                <c:pt idx="71">
                  <c:v>90.6</c:v>
                </c:pt>
                <c:pt idx="72">
                  <c:v>91.2</c:v>
                </c:pt>
                <c:pt idx="73">
                  <c:v>93.8</c:v>
                </c:pt>
                <c:pt idx="74">
                  <c:v>94.8</c:v>
                </c:pt>
                <c:pt idx="75">
                  <c:v>95.6</c:v>
                </c:pt>
                <c:pt idx="76">
                  <c:v>96.3</c:v>
                </c:pt>
                <c:pt idx="77">
                  <c:v>96.3</c:v>
                </c:pt>
                <c:pt idx="78">
                  <c:v>96.8</c:v>
                </c:pt>
              </c:numCache>
            </c:numRef>
          </c:val>
          <c:smooth val="0"/>
          <c:extLst>
            <c:ext xmlns:c16="http://schemas.microsoft.com/office/drawing/2014/chart" uri="{C3380CC4-5D6E-409C-BE32-E72D297353CC}">
              <c16:uniqueId val="{00000001-C958-4304-9DFB-EF6127F7DA79}"/>
            </c:ext>
          </c:extLst>
        </c:ser>
        <c:ser>
          <c:idx val="3"/>
          <c:order val="2"/>
          <c:tx>
            <c:strRef>
              <c:f>'1.6 Εξέλιξη τιμών ενέργειας'!$D$5</c:f>
              <c:strCache>
                <c:ptCount val="1"/>
                <c:pt idx="0">
                  <c:v>Φυσικό αέριο, ΗΠΑ ($/mmbtu)</c:v>
                </c:pt>
              </c:strCache>
            </c:strRef>
          </c:tx>
          <c:spPr>
            <a:ln w="22225">
              <a:solidFill>
                <a:schemeClr val="accent4">
                  <a:lumMod val="50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ενέργειας'!$D$9:$D$87</c:f>
              <c:numCache>
                <c:formatCode>General</c:formatCode>
                <c:ptCount val="79"/>
                <c:pt idx="0">
                  <c:v>1.9157999999999999</c:v>
                </c:pt>
                <c:pt idx="1">
                  <c:v>1.7927</c:v>
                </c:pt>
                <c:pt idx="2">
                  <c:v>1.7385999999999999</c:v>
                </c:pt>
                <c:pt idx="3">
                  <c:v>1.7524999999999999</c:v>
                </c:pt>
                <c:pt idx="4">
                  <c:v>1.6128</c:v>
                </c:pt>
                <c:pt idx="5">
                  <c:v>1.7352000000000001</c:v>
                </c:pt>
                <c:pt idx="6">
                  <c:v>2.3016999999999999</c:v>
                </c:pt>
                <c:pt idx="7">
                  <c:v>1.9186000000000001</c:v>
                </c:pt>
                <c:pt idx="8">
                  <c:v>2.2473000000000001</c:v>
                </c:pt>
                <c:pt idx="9">
                  <c:v>2.5880999999999998</c:v>
                </c:pt>
                <c:pt idx="10">
                  <c:v>2.5387</c:v>
                </c:pt>
                <c:pt idx="11">
                  <c:v>2.6655000000000002</c:v>
                </c:pt>
                <c:pt idx="12">
                  <c:v>5.0651000000000002</c:v>
                </c:pt>
                <c:pt idx="13">
                  <c:v>2.5644999999999998</c:v>
                </c:pt>
                <c:pt idx="14">
                  <c:v>2.61</c:v>
                </c:pt>
                <c:pt idx="15">
                  <c:v>2.8883999999999999</c:v>
                </c:pt>
                <c:pt idx="16">
                  <c:v>3.2317999999999998</c:v>
                </c:pt>
                <c:pt idx="17">
                  <c:v>3.8035999999999999</c:v>
                </c:pt>
                <c:pt idx="18">
                  <c:v>4.0486000000000004</c:v>
                </c:pt>
                <c:pt idx="19">
                  <c:v>5.1111000000000004</c:v>
                </c:pt>
                <c:pt idx="20">
                  <c:v>5.4779999999999998</c:v>
                </c:pt>
                <c:pt idx="21">
                  <c:v>5.0175999999999998</c:v>
                </c:pt>
                <c:pt idx="22">
                  <c:v>3.7326999999999999</c:v>
                </c:pt>
                <c:pt idx="23">
                  <c:v>4.3324999999999996</c:v>
                </c:pt>
                <c:pt idx="24">
                  <c:v>4.6577000000000002</c:v>
                </c:pt>
                <c:pt idx="25">
                  <c:v>4.8838999999999997</c:v>
                </c:pt>
                <c:pt idx="26">
                  <c:v>6.5305999999999997</c:v>
                </c:pt>
                <c:pt idx="27">
                  <c:v>8.1372999999999998</c:v>
                </c:pt>
                <c:pt idx="28">
                  <c:v>7.6740000000000004</c:v>
                </c:pt>
                <c:pt idx="29">
                  <c:v>7.2561</c:v>
                </c:pt>
                <c:pt idx="30">
                  <c:v>8.7853999999999992</c:v>
                </c:pt>
                <c:pt idx="31">
                  <c:v>7.7629000000000001</c:v>
                </c:pt>
                <c:pt idx="32">
                  <c:v>5.6195000000000004</c:v>
                </c:pt>
                <c:pt idx="33">
                  <c:v>5.2769000000000004</c:v>
                </c:pt>
                <c:pt idx="34">
                  <c:v>5.5030000000000001</c:v>
                </c:pt>
                <c:pt idx="35">
                  <c:v>3.2728000000000002</c:v>
                </c:pt>
                <c:pt idx="36">
                  <c:v>2.3835999999999999</c:v>
                </c:pt>
                <c:pt idx="37">
                  <c:v>2.3048999999999999</c:v>
                </c:pt>
                <c:pt idx="38">
                  <c:v>2.1610999999999998</c:v>
                </c:pt>
                <c:pt idx="39">
                  <c:v>2.1463999999999999</c:v>
                </c:pt>
                <c:pt idx="40">
                  <c:v>2.1833999999999998</c:v>
                </c:pt>
                <c:pt idx="41">
                  <c:v>2.5539999999999998</c:v>
                </c:pt>
                <c:pt idx="42">
                  <c:v>2.5844999999999998</c:v>
                </c:pt>
                <c:pt idx="43">
                  <c:v>2.6395</c:v>
                </c:pt>
                <c:pt idx="44">
                  <c:v>2.9885999999999999</c:v>
                </c:pt>
                <c:pt idx="45">
                  <c:v>2.7084000000000001</c:v>
                </c:pt>
                <c:pt idx="46">
                  <c:v>2.5265</c:v>
                </c:pt>
                <c:pt idx="47">
                  <c:v>3.1806000000000001</c:v>
                </c:pt>
                <c:pt idx="48">
                  <c:v>1.7211000000000001</c:v>
                </c:pt>
                <c:pt idx="49">
                  <c:v>1.4999</c:v>
                </c:pt>
                <c:pt idx="50">
                  <c:v>1.5967</c:v>
                </c:pt>
                <c:pt idx="51">
                  <c:v>2.1314000000000002</c:v>
                </c:pt>
                <c:pt idx="52">
                  <c:v>2.5123000000000002</c:v>
                </c:pt>
                <c:pt idx="53">
                  <c:v>2.0750999999999999</c:v>
                </c:pt>
                <c:pt idx="54">
                  <c:v>1.9903</c:v>
                </c:pt>
                <c:pt idx="55">
                  <c:v>2.2507999999999999</c:v>
                </c:pt>
                <c:pt idx="56">
                  <c:v>2.2077</c:v>
                </c:pt>
                <c:pt idx="57">
                  <c:v>2.1044999999999998</c:v>
                </c:pt>
                <c:pt idx="58">
                  <c:v>3.0228999999999999</c:v>
                </c:pt>
                <c:pt idx="59">
                  <c:v>4.0991</c:v>
                </c:pt>
                <c:pt idx="60">
                  <c:v>4.2225999999999999</c:v>
                </c:pt>
                <c:pt idx="61">
                  <c:v>4.1280999999999999</c:v>
                </c:pt>
                <c:pt idx="62">
                  <c:v>3.3997999999999999</c:v>
                </c:pt>
                <c:pt idx="63">
                  <c:v>3.1152000000000002</c:v>
                </c:pt>
                <c:pt idx="64">
                  <c:v>3.0219999999999998</c:v>
                </c:pt>
                <c:pt idx="65">
                  <c:v>3.1922000000000001</c:v>
                </c:pt>
                <c:pt idx="66">
                  <c:v>2.91</c:v>
                </c:pt>
                <c:pt idx="67">
                  <c:v>2.97</c:v>
                </c:pt>
                <c:pt idx="68">
                  <c:v>3.2</c:v>
                </c:pt>
                <c:pt idx="69">
                  <c:v>3.79</c:v>
                </c:pt>
                <c:pt idx="70">
                  <c:v>4.25</c:v>
                </c:pt>
                <c:pt idx="71">
                  <c:v>7.58</c:v>
                </c:pt>
                <c:pt idx="72">
                  <c:v>3.61</c:v>
                </c:pt>
                <c:pt idx="73">
                  <c:v>3.06</c:v>
                </c:pt>
                <c:pt idx="74">
                  <c:v>2.77</c:v>
                </c:pt>
                <c:pt idx="75">
                  <c:v>2.93</c:v>
                </c:pt>
                <c:pt idx="76">
                  <c:v>3.15</c:v>
                </c:pt>
                <c:pt idx="77">
                  <c:v>2.89</c:v>
                </c:pt>
                <c:pt idx="78">
                  <c:v>2.77</c:v>
                </c:pt>
              </c:numCache>
            </c:numRef>
          </c:val>
          <c:smooth val="0"/>
          <c:extLst>
            <c:ext xmlns:c16="http://schemas.microsoft.com/office/drawing/2014/chart" uri="{C3380CC4-5D6E-409C-BE32-E72D297353CC}">
              <c16:uniqueId val="{00000002-C958-4304-9DFB-EF6127F7DA79}"/>
            </c:ext>
          </c:extLst>
        </c:ser>
        <c:ser>
          <c:idx val="4"/>
          <c:order val="3"/>
          <c:tx>
            <c:strRef>
              <c:f>'1.6 Εξέλιξη τιμών ενέργειας'!$F$5</c:f>
              <c:strCache>
                <c:ptCount val="1"/>
                <c:pt idx="0">
                  <c:v>Φυσικό αέριο, Ευρώπη (€/MWh, δεξιός άξονας)</c:v>
                </c:pt>
              </c:strCache>
            </c:strRef>
          </c:tx>
          <c:spPr>
            <a:ln w="22225">
              <a:solidFill>
                <a:schemeClr val="accent1">
                  <a:lumMod val="75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ενέργειας'!$F$9:$F$87</c:f>
              <c:numCache>
                <c:formatCode>General</c:formatCode>
                <c:ptCount val="79"/>
                <c:pt idx="0">
                  <c:v>9.1</c:v>
                </c:pt>
                <c:pt idx="1">
                  <c:v>8.3800000000000008</c:v>
                </c:pt>
                <c:pt idx="2">
                  <c:v>6.63</c:v>
                </c:pt>
                <c:pt idx="3">
                  <c:v>4.93</c:v>
                </c:pt>
                <c:pt idx="4">
                  <c:v>5.31</c:v>
                </c:pt>
                <c:pt idx="5">
                  <c:v>5.36</c:v>
                </c:pt>
                <c:pt idx="6">
                  <c:v>8.26</c:v>
                </c:pt>
                <c:pt idx="7">
                  <c:v>11.43</c:v>
                </c:pt>
                <c:pt idx="8">
                  <c:v>14.18</c:v>
                </c:pt>
                <c:pt idx="9">
                  <c:v>13.94</c:v>
                </c:pt>
                <c:pt idx="10">
                  <c:v>16.420000000000002</c:v>
                </c:pt>
                <c:pt idx="11">
                  <c:v>20.37</c:v>
                </c:pt>
                <c:pt idx="12">
                  <c:v>17.37</c:v>
                </c:pt>
                <c:pt idx="13">
                  <c:v>17.559999999999999</c:v>
                </c:pt>
                <c:pt idx="14">
                  <c:v>20.45</c:v>
                </c:pt>
                <c:pt idx="15">
                  <c:v>25.02</c:v>
                </c:pt>
                <c:pt idx="16">
                  <c:v>29.17</c:v>
                </c:pt>
                <c:pt idx="17">
                  <c:v>36.11</c:v>
                </c:pt>
                <c:pt idx="18">
                  <c:v>44.71</c:v>
                </c:pt>
                <c:pt idx="19">
                  <c:v>66.2</c:v>
                </c:pt>
                <c:pt idx="20">
                  <c:v>91.33</c:v>
                </c:pt>
                <c:pt idx="21">
                  <c:v>82.56</c:v>
                </c:pt>
                <c:pt idx="22">
                  <c:v>114.8</c:v>
                </c:pt>
                <c:pt idx="23">
                  <c:v>85.18</c:v>
                </c:pt>
                <c:pt idx="24">
                  <c:v>81.91</c:v>
                </c:pt>
                <c:pt idx="25">
                  <c:v>131.27000000000001</c:v>
                </c:pt>
                <c:pt idx="26">
                  <c:v>101.83</c:v>
                </c:pt>
                <c:pt idx="27">
                  <c:v>94.09</c:v>
                </c:pt>
                <c:pt idx="28">
                  <c:v>108.29</c:v>
                </c:pt>
                <c:pt idx="29">
                  <c:v>171.96</c:v>
                </c:pt>
                <c:pt idx="30">
                  <c:v>235.96</c:v>
                </c:pt>
                <c:pt idx="31">
                  <c:v>203.5</c:v>
                </c:pt>
                <c:pt idx="32">
                  <c:v>135.47999999999999</c:v>
                </c:pt>
                <c:pt idx="33">
                  <c:v>119.54</c:v>
                </c:pt>
                <c:pt idx="34">
                  <c:v>116.17</c:v>
                </c:pt>
                <c:pt idx="35">
                  <c:v>63.92</c:v>
                </c:pt>
                <c:pt idx="36">
                  <c:v>52.65</c:v>
                </c:pt>
                <c:pt idx="37">
                  <c:v>44.03</c:v>
                </c:pt>
                <c:pt idx="38">
                  <c:v>42.07</c:v>
                </c:pt>
                <c:pt idx="39">
                  <c:v>31.73</c:v>
                </c:pt>
                <c:pt idx="40">
                  <c:v>32.58</c:v>
                </c:pt>
                <c:pt idx="41">
                  <c:v>29.45</c:v>
                </c:pt>
                <c:pt idx="42">
                  <c:v>35</c:v>
                </c:pt>
                <c:pt idx="43">
                  <c:v>36.880000000000003</c:v>
                </c:pt>
                <c:pt idx="44">
                  <c:v>47.07</c:v>
                </c:pt>
                <c:pt idx="45">
                  <c:v>45.75</c:v>
                </c:pt>
                <c:pt idx="46">
                  <c:v>36.07</c:v>
                </c:pt>
                <c:pt idx="47">
                  <c:v>29.91</c:v>
                </c:pt>
                <c:pt idx="48">
                  <c:v>25.76</c:v>
                </c:pt>
                <c:pt idx="49">
                  <c:v>26.85</c:v>
                </c:pt>
                <c:pt idx="50">
                  <c:v>28.96</c:v>
                </c:pt>
                <c:pt idx="51">
                  <c:v>31.96</c:v>
                </c:pt>
                <c:pt idx="52">
                  <c:v>34.47</c:v>
                </c:pt>
                <c:pt idx="53">
                  <c:v>32.549999999999997</c:v>
                </c:pt>
                <c:pt idx="54">
                  <c:v>38.35</c:v>
                </c:pt>
                <c:pt idx="55">
                  <c:v>36.200000000000003</c:v>
                </c:pt>
                <c:pt idx="56">
                  <c:v>40.42</c:v>
                </c:pt>
                <c:pt idx="57">
                  <c:v>44.71</c:v>
                </c:pt>
                <c:pt idx="58">
                  <c:v>45.12</c:v>
                </c:pt>
                <c:pt idx="59">
                  <c:v>48.33</c:v>
                </c:pt>
                <c:pt idx="60">
                  <c:v>50.27</c:v>
                </c:pt>
                <c:pt idx="61">
                  <c:v>41.78</c:v>
                </c:pt>
                <c:pt idx="62">
                  <c:v>35.19</c:v>
                </c:pt>
                <c:pt idx="63">
                  <c:v>35.270000000000003</c:v>
                </c:pt>
                <c:pt idx="64">
                  <c:v>36.64</c:v>
                </c:pt>
                <c:pt idx="65">
                  <c:v>33.94</c:v>
                </c:pt>
                <c:pt idx="66">
                  <c:v>32.700000000000003</c:v>
                </c:pt>
                <c:pt idx="67">
                  <c:v>32.33</c:v>
                </c:pt>
                <c:pt idx="68">
                  <c:v>31.92</c:v>
                </c:pt>
                <c:pt idx="69">
                  <c:v>30.77</c:v>
                </c:pt>
                <c:pt idx="70">
                  <c:v>27.6</c:v>
                </c:pt>
                <c:pt idx="71">
                  <c:v>34.17</c:v>
                </c:pt>
                <c:pt idx="72">
                  <c:v>32.42</c:v>
                </c:pt>
                <c:pt idx="73">
                  <c:v>52.87</c:v>
                </c:pt>
                <c:pt idx="74">
                  <c:v>44.81</c:v>
                </c:pt>
                <c:pt idx="75">
                  <c:v>47.21</c:v>
                </c:pt>
                <c:pt idx="76">
                  <c:v>44.91</c:v>
                </c:pt>
                <c:pt idx="77">
                  <c:v>53.87</c:v>
                </c:pt>
                <c:pt idx="78">
                  <c:v>62.1</c:v>
                </c:pt>
              </c:numCache>
            </c:numRef>
          </c:val>
          <c:smooth val="0"/>
          <c:extLst>
            <c:ext xmlns:c16="http://schemas.microsoft.com/office/drawing/2014/chart" uri="{C3380CC4-5D6E-409C-BE32-E72D297353CC}">
              <c16:uniqueId val="{00000003-C958-4304-9DFB-EF6127F7DA79}"/>
            </c:ext>
          </c:extLst>
        </c:ser>
        <c:dLbls>
          <c:showLegendKey val="0"/>
          <c:showVal val="0"/>
          <c:showCatName val="0"/>
          <c:showSerName val="0"/>
          <c:showPercent val="0"/>
          <c:showBubbleSize val="0"/>
        </c:dLbls>
        <c:marker val="1"/>
        <c:smooth val="0"/>
        <c:axId val="3"/>
        <c:axId val="4"/>
      </c:lineChart>
      <c:catAx>
        <c:axId val="720508928"/>
        <c:scaling>
          <c:orientation val="minMax"/>
        </c:scaling>
        <c:delete val="0"/>
        <c:axPos val="b"/>
        <c:numFmt formatCode="General" sourceLinked="1"/>
        <c:majorTickMark val="none"/>
        <c:minorTickMark val="none"/>
        <c:tickLblPos val="nextTo"/>
        <c:txPr>
          <a:bodyPr rot="-5400000" vert="horz"/>
          <a:lstStyle/>
          <a:p>
            <a:pPr>
              <a:defRPr sz="700"/>
            </a:pPr>
            <a:endParaRPr lang="el-GR"/>
          </a:p>
        </c:txPr>
        <c:crossAx val="1"/>
        <c:crosses val="autoZero"/>
        <c:auto val="1"/>
        <c:lblAlgn val="ctr"/>
        <c:lblOffset val="100"/>
        <c:noMultiLvlLbl val="0"/>
      </c:catAx>
      <c:valAx>
        <c:axId val="1"/>
        <c:scaling>
          <c:orientation val="minMax"/>
        </c:scaling>
        <c:delete val="0"/>
        <c:axPos val="l"/>
        <c:majorGridlines>
          <c:spPr>
            <a:ln w="3175">
              <a:solidFill>
                <a:schemeClr val="bg1">
                  <a:lumMod val="85000"/>
                </a:schemeClr>
              </a:solidFill>
            </a:ln>
          </c:spPr>
        </c:majorGridlines>
        <c:numFmt formatCode="[$-408]0" sourceLinked="0"/>
        <c:majorTickMark val="none"/>
        <c:minorTickMark val="none"/>
        <c:tickLblPos val="nextTo"/>
        <c:spPr>
          <a:ln>
            <a:noFill/>
          </a:ln>
        </c:spPr>
        <c:txPr>
          <a:bodyPr rot="0" vert="horz"/>
          <a:lstStyle/>
          <a:p>
            <a:pPr>
              <a:defRPr/>
            </a:pPr>
            <a:endParaRPr lang="el-GR"/>
          </a:p>
        </c:txPr>
        <c:crossAx val="720508928"/>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numFmt formatCode="[$-408]0" sourceLinked="0"/>
        <c:majorTickMark val="none"/>
        <c:minorTickMark val="none"/>
        <c:tickLblPos val="nextTo"/>
        <c:spPr>
          <a:ln>
            <a:noFill/>
          </a:ln>
        </c:spPr>
        <c:crossAx val="3"/>
        <c:crosses val="max"/>
        <c:crossBetween val="between"/>
      </c:valAx>
      <c:spPr>
        <a:effectLst>
          <a:softEdge rad="12700"/>
        </a:effectLst>
      </c:spPr>
    </c:plotArea>
    <c:legend>
      <c:legendPos val="r"/>
      <c:layout>
        <c:manualLayout>
          <c:xMode val="edge"/>
          <c:yMode val="edge"/>
          <c:x val="0.10495501170461799"/>
          <c:y val="0.84434967932435867"/>
          <c:w val="0.78547869759523303"/>
          <c:h val="0.12106934213868428"/>
        </c:manualLayout>
      </c:layout>
      <c:overlay val="0"/>
    </c:legend>
    <c:plotVisOnly val="1"/>
    <c:dispBlanksAs val="gap"/>
    <c:showDLblsOverMax val="0"/>
  </c:chart>
  <c:spPr>
    <a:ln w="3175">
      <a:solidFill>
        <a:schemeClr val="bg1">
          <a:lumMod val="85000"/>
        </a:schemeClr>
      </a:solidFill>
    </a:ln>
  </c:spPr>
  <c:txPr>
    <a:bodyPr/>
    <a:lstStyle/>
    <a:p>
      <a:pPr>
        <a:defRPr sz="700" b="0" i="0" u="none" strike="noStrike" baseline="0">
          <a:solidFill>
            <a:srgbClr val="000000"/>
          </a:solidFill>
          <a:latin typeface="Arial" panose="020B0604020202020204" pitchFamily="34" charset="0"/>
          <a:ea typeface="Calibri"/>
          <a:cs typeface="Arial" panose="020B0604020202020204" pitchFamily="34" charset="0"/>
        </a:defRPr>
      </a:pPr>
      <a:endParaRPr lang="el-G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0789658734775E-2"/>
          <c:y val="3.0905908686817373E-2"/>
          <c:w val="0.94241313078400601"/>
          <c:h val="0.65921787709497204"/>
        </c:manualLayout>
      </c:layout>
      <c:barChart>
        <c:barDir val="col"/>
        <c:grouping val="stacked"/>
        <c:varyColors val="0"/>
        <c:ser>
          <c:idx val="0"/>
          <c:order val="0"/>
          <c:tx>
            <c:strRef>
              <c:f>'1.7 Ισοζύγιο τρεχ. συναλλαγών'!$A$4</c:f>
              <c:strCache>
                <c:ptCount val="1"/>
                <c:pt idx="0">
                  <c:v>Ισοζύγιο αγαθών</c:v>
                </c:pt>
              </c:strCache>
            </c:strRef>
          </c:tx>
          <c:spPr>
            <a:solidFill>
              <a:schemeClr val="accent1">
                <a:lumMod val="75000"/>
              </a:schemeClr>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συναλλαγών'!$B$4:$BO$4</c:f>
              <c:numCache>
                <c:formatCode>General</c:formatCode>
                <c:ptCount val="66"/>
                <c:pt idx="0">
                  <c:v>-1613.718484</c:v>
                </c:pt>
                <c:pt idx="1">
                  <c:v>-1277.204735</c:v>
                </c:pt>
                <c:pt idx="2">
                  <c:v>-2167.7642599999999</c:v>
                </c:pt>
                <c:pt idx="3">
                  <c:v>-1960.590768</c:v>
                </c:pt>
                <c:pt idx="4">
                  <c:v>-1816.70499</c:v>
                </c:pt>
                <c:pt idx="5">
                  <c:v>-2090.3998660000002</c:v>
                </c:pt>
                <c:pt idx="6">
                  <c:v>-2352.9298220000001</c:v>
                </c:pt>
                <c:pt idx="7">
                  <c:v>-2420.8321660000001</c:v>
                </c:pt>
                <c:pt idx="8">
                  <c:v>-2308.8193419999998</c:v>
                </c:pt>
                <c:pt idx="9">
                  <c:v>-2497.7948540000002</c:v>
                </c:pt>
                <c:pt idx="10">
                  <c:v>-2907.6260619999998</c:v>
                </c:pt>
                <c:pt idx="11">
                  <c:v>-3304.6673479999999</c:v>
                </c:pt>
                <c:pt idx="12">
                  <c:v>-3172.8858300000002</c:v>
                </c:pt>
                <c:pt idx="13">
                  <c:v>-3429.4126120000001</c:v>
                </c:pt>
                <c:pt idx="14">
                  <c:v>-2686.2576309999999</c:v>
                </c:pt>
                <c:pt idx="15">
                  <c:v>-3041.908547</c:v>
                </c:pt>
                <c:pt idx="16">
                  <c:v>-3459.3427750000001</c:v>
                </c:pt>
                <c:pt idx="17">
                  <c:v>-3162.2767800000001</c:v>
                </c:pt>
                <c:pt idx="18">
                  <c:v>-3060.2825769999999</c:v>
                </c:pt>
                <c:pt idx="19">
                  <c:v>-2947.1464110000002</c:v>
                </c:pt>
                <c:pt idx="20">
                  <c:v>-3747.278202</c:v>
                </c:pt>
                <c:pt idx="21">
                  <c:v>-4094.7741820000001</c:v>
                </c:pt>
                <c:pt idx="22">
                  <c:v>-3742.562997</c:v>
                </c:pt>
                <c:pt idx="23">
                  <c:v>-2964.2736129999998</c:v>
                </c:pt>
                <c:pt idx="24">
                  <c:v>-2522.6666449999998</c:v>
                </c:pt>
                <c:pt idx="25">
                  <c:v>-2279.3382649999999</c:v>
                </c:pt>
                <c:pt idx="26">
                  <c:v>-2573.2911610000001</c:v>
                </c:pt>
                <c:pt idx="27">
                  <c:v>-2306.5935340000001</c:v>
                </c:pt>
                <c:pt idx="28">
                  <c:v>-3026.1992019999998</c:v>
                </c:pt>
                <c:pt idx="29">
                  <c:v>-2672.7420360000001</c:v>
                </c:pt>
                <c:pt idx="30">
                  <c:v>-2657.2940370000001</c:v>
                </c:pt>
                <c:pt idx="31">
                  <c:v>-2951.6039839999999</c:v>
                </c:pt>
                <c:pt idx="32">
                  <c:v>-2800.4423900000002</c:v>
                </c:pt>
                <c:pt idx="33">
                  <c:v>-2959.949893</c:v>
                </c:pt>
                <c:pt idx="34">
                  <c:v>-2840.1046419999998</c:v>
                </c:pt>
                <c:pt idx="35">
                  <c:v>-3471.8530219999998</c:v>
                </c:pt>
                <c:pt idx="36">
                  <c:v>-2659.2352230000001</c:v>
                </c:pt>
                <c:pt idx="37">
                  <c:v>-3071.811827</c:v>
                </c:pt>
                <c:pt idx="38">
                  <c:v>-2550.680116</c:v>
                </c:pt>
                <c:pt idx="39">
                  <c:v>-3126.7016640000002</c:v>
                </c:pt>
                <c:pt idx="40">
                  <c:v>-3452.6531650000002</c:v>
                </c:pt>
                <c:pt idx="41">
                  <c:v>-2475.1146560000002</c:v>
                </c:pt>
                <c:pt idx="42">
                  <c:v>-2844.7962969999999</c:v>
                </c:pt>
                <c:pt idx="43">
                  <c:v>-2669.3877600000001</c:v>
                </c:pt>
                <c:pt idx="44">
                  <c:v>-3140.2303870000001</c:v>
                </c:pt>
                <c:pt idx="45">
                  <c:v>-3249.216692</c:v>
                </c:pt>
                <c:pt idx="46">
                  <c:v>-3233.8190589999999</c:v>
                </c:pt>
                <c:pt idx="47">
                  <c:v>-3191.8984770000002</c:v>
                </c:pt>
                <c:pt idx="48">
                  <c:v>-2906.147172</c:v>
                </c:pt>
                <c:pt idx="49">
                  <c:v>-2504.5366049999998</c:v>
                </c:pt>
                <c:pt idx="50">
                  <c:v>-3098.8199439999999</c:v>
                </c:pt>
                <c:pt idx="51">
                  <c:v>-2882.7770770000002</c:v>
                </c:pt>
                <c:pt idx="52">
                  <c:v>-2361.5307229999999</c:v>
                </c:pt>
                <c:pt idx="53">
                  <c:v>-3163.1874309999998</c:v>
                </c:pt>
                <c:pt idx="54">
                  <c:v>-2917.4774659999998</c:v>
                </c:pt>
                <c:pt idx="55">
                  <c:v>-2206.3329319999998</c:v>
                </c:pt>
                <c:pt idx="56">
                  <c:v>-2748.2993980000001</c:v>
                </c:pt>
                <c:pt idx="57">
                  <c:v>-2685.9178870000001</c:v>
                </c:pt>
                <c:pt idx="58">
                  <c:v>-2784.3179439999999</c:v>
                </c:pt>
                <c:pt idx="59">
                  <c:v>-3559.3676439999999</c:v>
                </c:pt>
                <c:pt idx="60">
                  <c:v>-2809.7350390000001</c:v>
                </c:pt>
                <c:pt idx="61">
                  <c:v>-2769.1909230000001</c:v>
                </c:pt>
                <c:pt idx="62">
                  <c:v>-2310.9618479999999</c:v>
                </c:pt>
                <c:pt idx="63">
                  <c:v>-2333.358819</c:v>
                </c:pt>
                <c:pt idx="64">
                  <c:v>-2114.5777469999998</c:v>
                </c:pt>
                <c:pt idx="65">
                  <c:v>-2614.4818599999999</c:v>
                </c:pt>
              </c:numCache>
            </c:numRef>
          </c:val>
          <c:extLst>
            <c:ext xmlns:c16="http://schemas.microsoft.com/office/drawing/2014/chart" uri="{C3380CC4-5D6E-409C-BE32-E72D297353CC}">
              <c16:uniqueId val="{00000000-B970-4975-BCC3-AF21B6FEE164}"/>
            </c:ext>
          </c:extLst>
        </c:ser>
        <c:ser>
          <c:idx val="1"/>
          <c:order val="1"/>
          <c:tx>
            <c:strRef>
              <c:f>'1.7 Ισοζύγιο τρεχ. συναλλαγών'!$A$5</c:f>
              <c:strCache>
                <c:ptCount val="1"/>
                <c:pt idx="0">
                  <c:v>Ισοζύγιο υπηρεσιών</c:v>
                </c:pt>
              </c:strCache>
            </c:strRef>
          </c:tx>
          <c:spPr>
            <a:solidFill>
              <a:schemeClr val="tx2">
                <a:lumMod val="75000"/>
              </a:schemeClr>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συναλλαγών'!$B$5:$BO$5</c:f>
              <c:numCache>
                <c:formatCode>General</c:formatCode>
                <c:ptCount val="66"/>
                <c:pt idx="0">
                  <c:v>275.76836900000001</c:v>
                </c:pt>
                <c:pt idx="1">
                  <c:v>168.102913</c:v>
                </c:pt>
                <c:pt idx="2">
                  <c:v>275.83677699999998</c:v>
                </c:pt>
                <c:pt idx="3">
                  <c:v>302.14731499999999</c:v>
                </c:pt>
                <c:pt idx="4">
                  <c:v>328.314774</c:v>
                </c:pt>
                <c:pt idx="5">
                  <c:v>840.77788299999997</c:v>
                </c:pt>
                <c:pt idx="6">
                  <c:v>2466.972045</c:v>
                </c:pt>
                <c:pt idx="7">
                  <c:v>3303.7345129999999</c:v>
                </c:pt>
                <c:pt idx="8">
                  <c:v>2304.8521249999999</c:v>
                </c:pt>
                <c:pt idx="9">
                  <c:v>1683.1679979999999</c:v>
                </c:pt>
                <c:pt idx="10">
                  <c:v>484.92634399999997</c:v>
                </c:pt>
                <c:pt idx="11">
                  <c:v>410.37108599999999</c:v>
                </c:pt>
                <c:pt idx="12">
                  <c:v>327.49833000000001</c:v>
                </c:pt>
                <c:pt idx="13">
                  <c:v>220.509468999999</c:v>
                </c:pt>
                <c:pt idx="14">
                  <c:v>390.79605600000099</c:v>
                </c:pt>
                <c:pt idx="15">
                  <c:v>787.34390299999995</c:v>
                </c:pt>
                <c:pt idx="16">
                  <c:v>1605.4273000000001</c:v>
                </c:pt>
                <c:pt idx="17">
                  <c:v>2638.840823</c:v>
                </c:pt>
                <c:pt idx="18">
                  <c:v>3811.5034970000002</c:v>
                </c:pt>
                <c:pt idx="19">
                  <c:v>4311.1205449999998</c:v>
                </c:pt>
                <c:pt idx="20">
                  <c:v>2936.2997</c:v>
                </c:pt>
                <c:pt idx="21">
                  <c:v>1584.3239470000001</c:v>
                </c:pt>
                <c:pt idx="22">
                  <c:v>354.85280000000103</c:v>
                </c:pt>
                <c:pt idx="23">
                  <c:v>351.555462000001</c:v>
                </c:pt>
                <c:pt idx="24">
                  <c:v>245.679114</c:v>
                </c:pt>
                <c:pt idx="25">
                  <c:v>343.61187300000103</c:v>
                </c:pt>
                <c:pt idx="26">
                  <c:v>415.78556300000002</c:v>
                </c:pt>
                <c:pt idx="27">
                  <c:v>811.62991099999999</c:v>
                </c:pt>
                <c:pt idx="28">
                  <c:v>1813.5742829999999</c:v>
                </c:pt>
                <c:pt idx="29">
                  <c:v>2989.848172</c:v>
                </c:pt>
                <c:pt idx="30">
                  <c:v>4365.4353819999997</c:v>
                </c:pt>
                <c:pt idx="31">
                  <c:v>4504.8670830000001</c:v>
                </c:pt>
                <c:pt idx="32">
                  <c:v>3489.813369</c:v>
                </c:pt>
                <c:pt idx="33">
                  <c:v>2000.6436020000001</c:v>
                </c:pt>
                <c:pt idx="34">
                  <c:v>447.28734100000099</c:v>
                </c:pt>
                <c:pt idx="35">
                  <c:v>379.51290999999998</c:v>
                </c:pt>
                <c:pt idx="36">
                  <c:v>449.62337200000002</c:v>
                </c:pt>
                <c:pt idx="37">
                  <c:v>406.74710299999998</c:v>
                </c:pt>
                <c:pt idx="38">
                  <c:v>517.57836199999997</c:v>
                </c:pt>
                <c:pt idx="39">
                  <c:v>952.66685399999994</c:v>
                </c:pt>
                <c:pt idx="40">
                  <c:v>1886.682041</c:v>
                </c:pt>
                <c:pt idx="41">
                  <c:v>3145.7527949999999</c:v>
                </c:pt>
                <c:pt idx="42">
                  <c:v>4059.5703309999999</c:v>
                </c:pt>
                <c:pt idx="43">
                  <c:v>4332.1434600000002</c:v>
                </c:pt>
                <c:pt idx="44">
                  <c:v>3580.9929189999998</c:v>
                </c:pt>
                <c:pt idx="45">
                  <c:v>2212.2040710000001</c:v>
                </c:pt>
                <c:pt idx="46">
                  <c:v>634.02690500000006</c:v>
                </c:pt>
                <c:pt idx="47">
                  <c:v>493.55791799999997</c:v>
                </c:pt>
                <c:pt idx="48">
                  <c:v>247.84146899999999</c:v>
                </c:pt>
                <c:pt idx="49">
                  <c:v>319.70309400000002</c:v>
                </c:pt>
                <c:pt idx="50">
                  <c:v>350.316192</c:v>
                </c:pt>
                <c:pt idx="51">
                  <c:v>921.502690999999</c:v>
                </c:pt>
                <c:pt idx="52">
                  <c:v>2169.862001</c:v>
                </c:pt>
                <c:pt idx="53">
                  <c:v>3365.9281970000002</c:v>
                </c:pt>
                <c:pt idx="54">
                  <c:v>4390.3480170000003</c:v>
                </c:pt>
                <c:pt idx="55">
                  <c:v>4528.0075029999998</c:v>
                </c:pt>
                <c:pt idx="56">
                  <c:v>3180.2145300000002</c:v>
                </c:pt>
                <c:pt idx="57">
                  <c:v>2211.6950870000001</c:v>
                </c:pt>
                <c:pt idx="58">
                  <c:v>700.05891499999996</c:v>
                </c:pt>
                <c:pt idx="59">
                  <c:v>399.06006299999899</c:v>
                </c:pt>
                <c:pt idx="60">
                  <c:v>365.81099700000101</c:v>
                </c:pt>
                <c:pt idx="61">
                  <c:v>367.91865700000102</c:v>
                </c:pt>
                <c:pt idx="62">
                  <c:v>608.34255599999995</c:v>
                </c:pt>
                <c:pt idx="63">
                  <c:v>914.10400299999901</c:v>
                </c:pt>
                <c:pt idx="64">
                  <c:v>2299.999429</c:v>
                </c:pt>
                <c:pt idx="65">
                  <c:v>3242.1703219999999</c:v>
                </c:pt>
              </c:numCache>
            </c:numRef>
          </c:val>
          <c:extLst>
            <c:ext xmlns:c16="http://schemas.microsoft.com/office/drawing/2014/chart" uri="{C3380CC4-5D6E-409C-BE32-E72D297353CC}">
              <c16:uniqueId val="{00000001-B970-4975-BCC3-AF21B6FEE164}"/>
            </c:ext>
          </c:extLst>
        </c:ser>
        <c:ser>
          <c:idx val="2"/>
          <c:order val="2"/>
          <c:tx>
            <c:strRef>
              <c:f>'1.7 Ισοζύγιο τρεχ. συναλλαγών'!$A$6</c:f>
              <c:strCache>
                <c:ptCount val="1"/>
                <c:pt idx="0">
                  <c:v>Ισοζύγιο πρωτογενών εισοδημάτων</c:v>
                </c:pt>
              </c:strCache>
            </c:strRef>
          </c:tx>
          <c:spPr>
            <a:solidFill>
              <a:srgbClr val="00B0F0"/>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συναλλαγών'!$B$6:$BO$6</c:f>
              <c:numCache>
                <c:formatCode>General</c:formatCode>
                <c:ptCount val="66"/>
                <c:pt idx="0">
                  <c:v>625.17879049999999</c:v>
                </c:pt>
                <c:pt idx="1">
                  <c:v>315.42675320000001</c:v>
                </c:pt>
                <c:pt idx="2">
                  <c:v>330.4969643</c:v>
                </c:pt>
                <c:pt idx="3">
                  <c:v>-189.31122450000001</c:v>
                </c:pt>
                <c:pt idx="4">
                  <c:v>110.24517005</c:v>
                </c:pt>
                <c:pt idx="5">
                  <c:v>-206.1663978</c:v>
                </c:pt>
                <c:pt idx="6">
                  <c:v>-449.2601952</c:v>
                </c:pt>
                <c:pt idx="7">
                  <c:v>-456.05868070000002</c:v>
                </c:pt>
                <c:pt idx="8">
                  <c:v>-165.09117985</c:v>
                </c:pt>
                <c:pt idx="9">
                  <c:v>-238.23800645</c:v>
                </c:pt>
                <c:pt idx="10">
                  <c:v>-230.14737235000001</c:v>
                </c:pt>
                <c:pt idx="11">
                  <c:v>-60.372427549999998</c:v>
                </c:pt>
                <c:pt idx="12">
                  <c:v>380.66514004999999</c:v>
                </c:pt>
                <c:pt idx="13">
                  <c:v>587.01883584999996</c:v>
                </c:pt>
                <c:pt idx="14">
                  <c:v>-177.8761379</c:v>
                </c:pt>
                <c:pt idx="15">
                  <c:v>-171.17015925000001</c:v>
                </c:pt>
                <c:pt idx="16">
                  <c:v>-75.402894549999999</c:v>
                </c:pt>
                <c:pt idx="17">
                  <c:v>-407.75857459999997</c:v>
                </c:pt>
                <c:pt idx="18">
                  <c:v>-456.37536415</c:v>
                </c:pt>
                <c:pt idx="19">
                  <c:v>-683.69677935000004</c:v>
                </c:pt>
                <c:pt idx="20">
                  <c:v>-4.8955273000000297</c:v>
                </c:pt>
                <c:pt idx="21">
                  <c:v>-159.20193219999999</c:v>
                </c:pt>
                <c:pt idx="22">
                  <c:v>-413.33160744999998</c:v>
                </c:pt>
                <c:pt idx="23">
                  <c:v>-175.63570490000001</c:v>
                </c:pt>
                <c:pt idx="24">
                  <c:v>517.91239585000005</c:v>
                </c:pt>
                <c:pt idx="25">
                  <c:v>485.75133240000002</c:v>
                </c:pt>
                <c:pt idx="26">
                  <c:v>-653.56985870000005</c:v>
                </c:pt>
                <c:pt idx="27">
                  <c:v>-307.66955105</c:v>
                </c:pt>
                <c:pt idx="28">
                  <c:v>-300.32234495</c:v>
                </c:pt>
                <c:pt idx="29">
                  <c:v>-972.42624590000003</c:v>
                </c:pt>
                <c:pt idx="30">
                  <c:v>-760.65581075</c:v>
                </c:pt>
                <c:pt idx="31">
                  <c:v>-864.42197725000005</c:v>
                </c:pt>
                <c:pt idx="32">
                  <c:v>-906.40643260000002</c:v>
                </c:pt>
                <c:pt idx="33">
                  <c:v>-205.42777244999999</c:v>
                </c:pt>
                <c:pt idx="34">
                  <c:v>-709.56060124999999</c:v>
                </c:pt>
                <c:pt idx="35">
                  <c:v>-675.77862770000002</c:v>
                </c:pt>
                <c:pt idx="36">
                  <c:v>334.83007689999999</c:v>
                </c:pt>
                <c:pt idx="37">
                  <c:v>-370.46888465000001</c:v>
                </c:pt>
                <c:pt idx="38">
                  <c:v>-489.59076679999998</c:v>
                </c:pt>
                <c:pt idx="39">
                  <c:v>-317.16096210000001</c:v>
                </c:pt>
                <c:pt idx="40">
                  <c:v>-667.93420404999995</c:v>
                </c:pt>
                <c:pt idx="41">
                  <c:v>-459.07339400000001</c:v>
                </c:pt>
                <c:pt idx="42">
                  <c:v>-966.59337395</c:v>
                </c:pt>
                <c:pt idx="43">
                  <c:v>-1083.0453364</c:v>
                </c:pt>
                <c:pt idx="44">
                  <c:v>-786.38353280000001</c:v>
                </c:pt>
                <c:pt idx="45">
                  <c:v>127.89957845000001</c:v>
                </c:pt>
                <c:pt idx="46">
                  <c:v>-516.72754855000005</c:v>
                </c:pt>
                <c:pt idx="47">
                  <c:v>-831.68969470000002</c:v>
                </c:pt>
                <c:pt idx="48">
                  <c:v>261.80378080000003</c:v>
                </c:pt>
                <c:pt idx="49">
                  <c:v>-258.37876410000001</c:v>
                </c:pt>
                <c:pt idx="50">
                  <c:v>-301.38873765</c:v>
                </c:pt>
                <c:pt idx="51">
                  <c:v>-156.20483345</c:v>
                </c:pt>
                <c:pt idx="52">
                  <c:v>-326.69003755</c:v>
                </c:pt>
                <c:pt idx="53">
                  <c:v>-1127.4794543</c:v>
                </c:pt>
                <c:pt idx="54">
                  <c:v>-567.24424520000002</c:v>
                </c:pt>
                <c:pt idx="55">
                  <c:v>-818.45908354999995</c:v>
                </c:pt>
                <c:pt idx="56">
                  <c:v>-631.40996719999998</c:v>
                </c:pt>
                <c:pt idx="57">
                  <c:v>-343.26245714999999</c:v>
                </c:pt>
                <c:pt idx="58">
                  <c:v>-542.35920565000004</c:v>
                </c:pt>
                <c:pt idx="59">
                  <c:v>-418.77721205</c:v>
                </c:pt>
                <c:pt idx="60">
                  <c:v>92.494019300000105</c:v>
                </c:pt>
                <c:pt idx="61">
                  <c:v>-467.52100404999999</c:v>
                </c:pt>
                <c:pt idx="62">
                  <c:v>-154.05414519999999</c:v>
                </c:pt>
                <c:pt idx="63">
                  <c:v>-115.63529635</c:v>
                </c:pt>
                <c:pt idx="64">
                  <c:v>-750.72481879999998</c:v>
                </c:pt>
                <c:pt idx="65">
                  <c:v>-844.50357250000002</c:v>
                </c:pt>
              </c:numCache>
            </c:numRef>
          </c:val>
          <c:extLst>
            <c:ext xmlns:c16="http://schemas.microsoft.com/office/drawing/2014/chart" uri="{C3380CC4-5D6E-409C-BE32-E72D297353CC}">
              <c16:uniqueId val="{00000002-B970-4975-BCC3-AF21B6FEE164}"/>
            </c:ext>
          </c:extLst>
        </c:ser>
        <c:ser>
          <c:idx val="3"/>
          <c:order val="3"/>
          <c:tx>
            <c:strRef>
              <c:f>'1.7 Ισοζύγιο τρεχ. συναλλαγών'!$A$7</c:f>
              <c:strCache>
                <c:ptCount val="1"/>
                <c:pt idx="0">
                  <c:v>Ισοζύγιο δευτερογενών εισοδημάτων</c:v>
                </c:pt>
              </c:strCache>
            </c:strRef>
          </c:tx>
          <c:spPr>
            <a:solidFill>
              <a:schemeClr val="accent1">
                <a:lumMod val="60000"/>
                <a:lumOff val="40000"/>
              </a:schemeClr>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συναλλαγών'!$B$7:$BO$7</c:f>
              <c:numCache>
                <c:formatCode>General</c:formatCode>
                <c:ptCount val="66"/>
                <c:pt idx="0">
                  <c:v>128.45373549999999</c:v>
                </c:pt>
                <c:pt idx="1">
                  <c:v>-84.226270200000002</c:v>
                </c:pt>
                <c:pt idx="2">
                  <c:v>-12.3154863</c:v>
                </c:pt>
                <c:pt idx="3">
                  <c:v>-335.18812750000001</c:v>
                </c:pt>
                <c:pt idx="4">
                  <c:v>-96.067461050000006</c:v>
                </c:pt>
                <c:pt idx="5">
                  <c:v>27.273086800000002</c:v>
                </c:pt>
                <c:pt idx="6">
                  <c:v>669.28184420000002</c:v>
                </c:pt>
                <c:pt idx="7">
                  <c:v>893.76504569999997</c:v>
                </c:pt>
                <c:pt idx="8">
                  <c:v>-206.19515014999999</c:v>
                </c:pt>
                <c:pt idx="9">
                  <c:v>-179.81445155</c:v>
                </c:pt>
                <c:pt idx="10">
                  <c:v>-166.89951065</c:v>
                </c:pt>
                <c:pt idx="11">
                  <c:v>595.73326054999995</c:v>
                </c:pt>
                <c:pt idx="12">
                  <c:v>147.12499695</c:v>
                </c:pt>
                <c:pt idx="13">
                  <c:v>66.82466015</c:v>
                </c:pt>
                <c:pt idx="14">
                  <c:v>-194.07442309999999</c:v>
                </c:pt>
                <c:pt idx="15">
                  <c:v>544.16523025000004</c:v>
                </c:pt>
                <c:pt idx="16">
                  <c:v>-458.37896445000001</c:v>
                </c:pt>
                <c:pt idx="17">
                  <c:v>-266.48942840000001</c:v>
                </c:pt>
                <c:pt idx="18">
                  <c:v>564.38019814999996</c:v>
                </c:pt>
                <c:pt idx="19">
                  <c:v>-193.67493465000001</c:v>
                </c:pt>
                <c:pt idx="20">
                  <c:v>-178.81097969999999</c:v>
                </c:pt>
                <c:pt idx="21">
                  <c:v>-150.99448179999999</c:v>
                </c:pt>
                <c:pt idx="22">
                  <c:v>-188.22254855</c:v>
                </c:pt>
                <c:pt idx="23">
                  <c:v>6.5255359000000199</c:v>
                </c:pt>
                <c:pt idx="24">
                  <c:v>1500.78329665</c:v>
                </c:pt>
                <c:pt idx="25">
                  <c:v>74.890744600000104</c:v>
                </c:pt>
                <c:pt idx="26">
                  <c:v>378.04559069999999</c:v>
                </c:pt>
                <c:pt idx="27">
                  <c:v>-118.15927995</c:v>
                </c:pt>
                <c:pt idx="28">
                  <c:v>-173.64433604999999</c:v>
                </c:pt>
                <c:pt idx="29">
                  <c:v>-90.540326100000001</c:v>
                </c:pt>
                <c:pt idx="30">
                  <c:v>-194.07785025000001</c:v>
                </c:pt>
                <c:pt idx="31">
                  <c:v>-186.06222174999999</c:v>
                </c:pt>
                <c:pt idx="32">
                  <c:v>-151.1362814</c:v>
                </c:pt>
                <c:pt idx="33">
                  <c:v>-182.71852455000001</c:v>
                </c:pt>
                <c:pt idx="34">
                  <c:v>-208.55028974999999</c:v>
                </c:pt>
                <c:pt idx="35">
                  <c:v>676.64479370000004</c:v>
                </c:pt>
                <c:pt idx="36">
                  <c:v>3543.4896620999998</c:v>
                </c:pt>
                <c:pt idx="37">
                  <c:v>-155.89253635</c:v>
                </c:pt>
                <c:pt idx="38">
                  <c:v>-114.93465519999999</c:v>
                </c:pt>
                <c:pt idx="39">
                  <c:v>-141.16411289999999</c:v>
                </c:pt>
                <c:pt idx="40">
                  <c:v>-223.57613795</c:v>
                </c:pt>
                <c:pt idx="41">
                  <c:v>-85.371485000000007</c:v>
                </c:pt>
                <c:pt idx="42">
                  <c:v>-181.78058705000001</c:v>
                </c:pt>
                <c:pt idx="43">
                  <c:v>-266.21963160000001</c:v>
                </c:pt>
                <c:pt idx="44">
                  <c:v>-140.3453342</c:v>
                </c:pt>
                <c:pt idx="45">
                  <c:v>270.53176055</c:v>
                </c:pt>
                <c:pt idx="46">
                  <c:v>-225.92467245</c:v>
                </c:pt>
                <c:pt idx="47">
                  <c:v>-202.4345543</c:v>
                </c:pt>
                <c:pt idx="48">
                  <c:v>3269.9159181999999</c:v>
                </c:pt>
                <c:pt idx="49">
                  <c:v>-184.8524639</c:v>
                </c:pt>
                <c:pt idx="50">
                  <c:v>-149.74787334999999</c:v>
                </c:pt>
                <c:pt idx="51">
                  <c:v>-227.57830354999999</c:v>
                </c:pt>
                <c:pt idx="52">
                  <c:v>514.76271655000005</c:v>
                </c:pt>
                <c:pt idx="53">
                  <c:v>-269.83429869999998</c:v>
                </c:pt>
                <c:pt idx="54">
                  <c:v>-236.47918279999999</c:v>
                </c:pt>
                <c:pt idx="55">
                  <c:v>-315.97390845000001</c:v>
                </c:pt>
                <c:pt idx="56">
                  <c:v>-244.58315379999999</c:v>
                </c:pt>
                <c:pt idx="57">
                  <c:v>-248.84151084999999</c:v>
                </c:pt>
                <c:pt idx="58">
                  <c:v>573.64646164999999</c:v>
                </c:pt>
                <c:pt idx="59">
                  <c:v>-308.50247495000002</c:v>
                </c:pt>
                <c:pt idx="60">
                  <c:v>1084.3025806999999</c:v>
                </c:pt>
                <c:pt idx="61">
                  <c:v>-415.34336295000003</c:v>
                </c:pt>
                <c:pt idx="62">
                  <c:v>-178.6869288</c:v>
                </c:pt>
                <c:pt idx="63">
                  <c:v>145.80780035000001</c:v>
                </c:pt>
                <c:pt idx="64">
                  <c:v>-394.92137919999999</c:v>
                </c:pt>
                <c:pt idx="65">
                  <c:v>-386.0113265</c:v>
                </c:pt>
              </c:numCache>
            </c:numRef>
          </c:val>
          <c:extLst>
            <c:ext xmlns:c16="http://schemas.microsoft.com/office/drawing/2014/chart" uri="{C3380CC4-5D6E-409C-BE32-E72D297353CC}">
              <c16:uniqueId val="{00000003-B970-4975-BCC3-AF21B6FEE164}"/>
            </c:ext>
          </c:extLst>
        </c:ser>
        <c:dLbls>
          <c:showLegendKey val="0"/>
          <c:showVal val="0"/>
          <c:showCatName val="0"/>
          <c:showSerName val="0"/>
          <c:showPercent val="0"/>
          <c:showBubbleSize val="0"/>
        </c:dLbls>
        <c:gapWidth val="150"/>
        <c:overlap val="100"/>
        <c:axId val="11833202"/>
        <c:axId val="11820323"/>
      </c:barChart>
      <c:lineChart>
        <c:grouping val="stacked"/>
        <c:varyColors val="0"/>
        <c:ser>
          <c:idx val="4"/>
          <c:order val="4"/>
          <c:tx>
            <c:strRef>
              <c:f>'1.7 Ισοζύγιο τρεχ. συναλλαγών'!$A$3</c:f>
              <c:strCache>
                <c:ptCount val="1"/>
                <c:pt idx="0">
                  <c:v>Ισοζύγιο τρεχουσών συναλλαγών</c:v>
                </c:pt>
              </c:strCache>
            </c:strRef>
          </c:tx>
          <c:spPr>
            <a:ln w="22225">
              <a:solidFill>
                <a:srgbClr val="0070C0"/>
              </a:solidFill>
              <a:round/>
            </a:ln>
          </c:spPr>
          <c:marker>
            <c:symbol val="none"/>
          </c:marker>
          <c:dLbls>
            <c:spPr>
              <a:solidFill>
                <a:srgbClr val="0070C0"/>
              </a:solidFill>
              <a:ln>
                <a:noFill/>
              </a:ln>
              <a:effectLst/>
            </c:sp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2844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συναλλαγών'!$B$3:$BO$3</c:f>
              <c:numCache>
                <c:formatCode>General</c:formatCode>
                <c:ptCount val="66"/>
                <c:pt idx="0">
                  <c:v>-584.317589</c:v>
                </c:pt>
                <c:pt idx="1">
                  <c:v>-877.90133899999898</c:v>
                </c:pt>
                <c:pt idx="2">
                  <c:v>-1573.746005</c:v>
                </c:pt>
                <c:pt idx="3">
                  <c:v>-2182.9428050000001</c:v>
                </c:pt>
                <c:pt idx="4">
                  <c:v>-1474.212507</c:v>
                </c:pt>
                <c:pt idx="5">
                  <c:v>-1428.515294</c:v>
                </c:pt>
                <c:pt idx="6">
                  <c:v>334.06387199999898</c:v>
                </c:pt>
                <c:pt idx="7">
                  <c:v>1320.608712</c:v>
                </c:pt>
                <c:pt idx="8">
                  <c:v>-375.25354700000202</c:v>
                </c:pt>
                <c:pt idx="9">
                  <c:v>-1232.679314</c:v>
                </c:pt>
                <c:pt idx="10">
                  <c:v>-2819.7466009999998</c:v>
                </c:pt>
                <c:pt idx="11">
                  <c:v>-2358.9354290000001</c:v>
                </c:pt>
                <c:pt idx="12">
                  <c:v>-2317.5973629999999</c:v>
                </c:pt>
                <c:pt idx="13">
                  <c:v>-2555.059647</c:v>
                </c:pt>
                <c:pt idx="14">
                  <c:v>-2667.4121359999999</c:v>
                </c:pt>
                <c:pt idx="15">
                  <c:v>-1881.569573</c:v>
                </c:pt>
                <c:pt idx="16">
                  <c:v>-2387.697334</c:v>
                </c:pt>
                <c:pt idx="17">
                  <c:v>-1197.6839600000001</c:v>
                </c:pt>
                <c:pt idx="18">
                  <c:v>859.22575400000301</c:v>
                </c:pt>
                <c:pt idx="19">
                  <c:v>486.60241999999897</c:v>
                </c:pt>
                <c:pt idx="20">
                  <c:v>-994.68500900000095</c:v>
                </c:pt>
                <c:pt idx="21">
                  <c:v>-2820.6466489999998</c:v>
                </c:pt>
                <c:pt idx="22">
                  <c:v>-3989.264353</c:v>
                </c:pt>
                <c:pt idx="23">
                  <c:v>-2781.8283200000001</c:v>
                </c:pt>
                <c:pt idx="24">
                  <c:v>-258.29183849999902</c:v>
                </c:pt>
                <c:pt idx="25">
                  <c:v>-1375.0843150000001</c:v>
                </c:pt>
                <c:pt idx="26">
                  <c:v>-2433.0298659999999</c:v>
                </c:pt>
                <c:pt idx="27">
                  <c:v>-1920.7924539999999</c:v>
                </c:pt>
                <c:pt idx="28">
                  <c:v>-1686.5916</c:v>
                </c:pt>
                <c:pt idx="29">
                  <c:v>-745.86043600000096</c:v>
                </c:pt>
                <c:pt idx="30">
                  <c:v>753.40768399999604</c:v>
                </c:pt>
                <c:pt idx="31">
                  <c:v>502.77890000000298</c:v>
                </c:pt>
                <c:pt idx="32">
                  <c:v>-368.17173500000001</c:v>
                </c:pt>
                <c:pt idx="33">
                  <c:v>-1347.4525880000001</c:v>
                </c:pt>
                <c:pt idx="34">
                  <c:v>-3310.9281919999999</c:v>
                </c:pt>
                <c:pt idx="35">
                  <c:v>-3091.4739460000001</c:v>
                </c:pt>
                <c:pt idx="36">
                  <c:v>1668.7078879999999</c:v>
                </c:pt>
                <c:pt idx="37">
                  <c:v>-3191.4261449999999</c:v>
                </c:pt>
                <c:pt idx="38">
                  <c:v>-2637.627176</c:v>
                </c:pt>
                <c:pt idx="39">
                  <c:v>-2632.3598849999998</c:v>
                </c:pt>
                <c:pt idx="40">
                  <c:v>-2457.4814660000002</c:v>
                </c:pt>
                <c:pt idx="41">
                  <c:v>126.19326</c:v>
                </c:pt>
                <c:pt idx="42">
                  <c:v>66.400072999998898</c:v>
                </c:pt>
                <c:pt idx="43">
                  <c:v>313.49073199999998</c:v>
                </c:pt>
                <c:pt idx="44">
                  <c:v>-485.96633500000098</c:v>
                </c:pt>
                <c:pt idx="45">
                  <c:v>-638.58128199999896</c:v>
                </c:pt>
                <c:pt idx="46">
                  <c:v>-3342.444375</c:v>
                </c:pt>
                <c:pt idx="47">
                  <c:v>-3732.4648080000002</c:v>
                </c:pt>
                <c:pt idx="48">
                  <c:v>873.41399599999897</c:v>
                </c:pt>
                <c:pt idx="49">
                  <c:v>-2628.0647389999999</c:v>
                </c:pt>
                <c:pt idx="50">
                  <c:v>-3199.640363</c:v>
                </c:pt>
                <c:pt idx="51">
                  <c:v>-2345.0575229999999</c:v>
                </c:pt>
                <c:pt idx="52">
                  <c:v>-3.5960429999977399</c:v>
                </c:pt>
                <c:pt idx="53">
                  <c:v>-1194.572987</c:v>
                </c:pt>
                <c:pt idx="54">
                  <c:v>669.14712300000303</c:v>
                </c:pt>
                <c:pt idx="55">
                  <c:v>1187.241579</c:v>
                </c:pt>
                <c:pt idx="56">
                  <c:v>-444.07798899999801</c:v>
                </c:pt>
                <c:pt idx="57">
                  <c:v>-1066.3267679999999</c:v>
                </c:pt>
                <c:pt idx="58">
                  <c:v>-2052.9717730000002</c:v>
                </c:pt>
                <c:pt idx="59">
                  <c:v>-3887.5872680000002</c:v>
                </c:pt>
                <c:pt idx="60">
                  <c:v>-1267.127442</c:v>
                </c:pt>
                <c:pt idx="61">
                  <c:v>-3284.1366330000001</c:v>
                </c:pt>
                <c:pt idx="62">
                  <c:v>-2035.3603660000001</c:v>
                </c:pt>
                <c:pt idx="63">
                  <c:v>-1389.082312</c:v>
                </c:pt>
                <c:pt idx="64">
                  <c:v>-960.22451599999795</c:v>
                </c:pt>
                <c:pt idx="65">
                  <c:v>-602.82643700000006</c:v>
                </c:pt>
              </c:numCache>
            </c:numRef>
          </c:val>
          <c:smooth val="0"/>
          <c:extLst>
            <c:ext xmlns:c16="http://schemas.microsoft.com/office/drawing/2014/chart" uri="{C3380CC4-5D6E-409C-BE32-E72D297353CC}">
              <c16:uniqueId val="{00000004-B970-4975-BCC3-AF21B6FEE164}"/>
            </c:ext>
          </c:extLst>
        </c:ser>
        <c:dLbls>
          <c:showLegendKey val="0"/>
          <c:showVal val="0"/>
          <c:showCatName val="0"/>
          <c:showSerName val="0"/>
          <c:showPercent val="0"/>
          <c:showBubbleSize val="0"/>
        </c:dLbls>
        <c:hiLowLines>
          <c:spPr>
            <a:ln w="0">
              <a:noFill/>
            </a:ln>
          </c:spPr>
        </c:hiLowLines>
        <c:marker val="1"/>
        <c:smooth val="0"/>
        <c:axId val="11833202"/>
        <c:axId val="11820323"/>
      </c:lineChart>
      <c:catAx>
        <c:axId val="11833202"/>
        <c:scaling>
          <c:orientation val="minMax"/>
        </c:scaling>
        <c:delete val="0"/>
        <c:axPos val="b"/>
        <c:numFmt formatCode="[$-408]mmm\-yy;@" sourceLinked="0"/>
        <c:majorTickMark val="out"/>
        <c:minorTickMark val="none"/>
        <c:tickLblPos val="low"/>
        <c:spPr>
          <a:ln w="9360">
            <a:solidFill>
              <a:srgbClr val="878787"/>
            </a:solidFill>
            <a:round/>
          </a:ln>
        </c:spPr>
        <c:txPr>
          <a:bodyPr rot="-5400000"/>
          <a:lstStyle/>
          <a:p>
            <a:pPr>
              <a:defRPr/>
            </a:pPr>
            <a:endParaRPr lang="el-GR"/>
          </a:p>
        </c:txPr>
        <c:crossAx val="11820323"/>
        <c:crosses val="autoZero"/>
        <c:auto val="1"/>
        <c:lblAlgn val="ctr"/>
        <c:lblOffset val="100"/>
        <c:noMultiLvlLbl val="0"/>
      </c:catAx>
      <c:valAx>
        <c:axId val="11820323"/>
        <c:scaling>
          <c:orientation val="minMax"/>
          <c:max val="4500"/>
          <c:min val="-4000"/>
        </c:scaling>
        <c:delete val="0"/>
        <c:axPos val="l"/>
        <c:majorGridlines>
          <c:spPr>
            <a:ln w="3175">
              <a:solidFill>
                <a:schemeClr val="bg1">
                  <a:lumMod val="85000"/>
                </a:schemeClr>
              </a:solidFill>
              <a:prstDash val="solid"/>
              <a:round/>
            </a:ln>
          </c:spPr>
        </c:majorGridlines>
        <c:numFmt formatCode="General" sourceLinked="0"/>
        <c:majorTickMark val="out"/>
        <c:minorTickMark val="none"/>
        <c:tickLblPos val="nextTo"/>
        <c:spPr>
          <a:ln w="9360">
            <a:noFill/>
            <a:round/>
          </a:ln>
        </c:spPr>
        <c:crossAx val="11833202"/>
        <c:crosses val="autoZero"/>
        <c:crossBetween val="between"/>
      </c:valAx>
      <c:spPr>
        <a:solidFill>
          <a:srgbClr val="FFFFFF"/>
        </a:solidFill>
        <a:ln w="0">
          <a:noFill/>
        </a:ln>
      </c:spPr>
    </c:plotArea>
    <c:legend>
      <c:legendPos val="b"/>
      <c:layout>
        <c:manualLayout>
          <c:xMode val="edge"/>
          <c:yMode val="edge"/>
          <c:x val="0.17273266184976299"/>
          <c:y val="0.84618017600741102"/>
          <c:w val="0.641578587001568"/>
          <c:h val="0.14398517832329799"/>
        </c:manualLayout>
      </c:layout>
      <c:overlay val="0"/>
      <c:spPr>
        <a:noFill/>
        <a:ln w="0">
          <a:noFill/>
        </a:ln>
      </c:spPr>
    </c:legend>
    <c:plotVisOnly val="1"/>
    <c:dispBlanksAs val="gap"/>
    <c:showDLblsOverMax val="1"/>
  </c:chart>
  <c:spPr>
    <a:solidFill>
      <a:srgbClr val="FFFFFF"/>
    </a:solidFill>
    <a:ln w="3175">
      <a:solidFill>
        <a:schemeClr val="bg1">
          <a:lumMod val="85000"/>
        </a:schemeClr>
      </a:solidFill>
    </a:ln>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5640729583554"/>
          <c:y val="5.0931864363728728E-2"/>
          <c:w val="0.86608552055993004"/>
          <c:h val="0.78452358865132432"/>
        </c:manualLayout>
      </c:layout>
      <c:lineChart>
        <c:grouping val="standard"/>
        <c:varyColors val="0"/>
        <c:ser>
          <c:idx val="0"/>
          <c:order val="0"/>
          <c:tx>
            <c:strRef>
              <c:f>'1.8 Επενδυτικό κενό'!$A$10</c:f>
              <c:strCache>
                <c:ptCount val="1"/>
                <c:pt idx="0">
                  <c:v>Επενδύσεις στην Ευρωζώνη (% ΑΕΠ)</c:v>
                </c:pt>
              </c:strCache>
            </c:strRef>
          </c:tx>
          <c:spPr>
            <a:ln w="25400" cap="rnd">
              <a:solidFill>
                <a:srgbClr val="4F81BD"/>
              </a:solidFill>
              <a:round/>
            </a:ln>
            <a:effectLst>
              <a:outerShdw blurRad="40000" dist="23000" dir="5400000" rotWithShape="0">
                <a:srgbClr val="000000">
                  <a:alpha val="35000"/>
                </a:srgbClr>
              </a:outerShdw>
            </a:effectLst>
          </c:spPr>
          <c:marker>
            <c:symbol val="circle"/>
            <c:size val="5"/>
            <c:spPr>
              <a:solidFill>
                <a:srgbClr val="4F81BD"/>
              </a:solidFill>
              <a:ln w="12700">
                <a:solidFill>
                  <a:srgbClr val="4F81BD"/>
                </a:solidFill>
                <a:prstDash val="solid"/>
                <a:round/>
              </a:ln>
              <a:effectLst>
                <a:outerShdw blurRad="40000" dist="23000" dir="5400000" rotWithShape="0">
                  <a:srgbClr val="000000">
                    <a:alpha val="35000"/>
                  </a:srgbClr>
                </a:outerShdw>
              </a:effectLst>
            </c:spPr>
          </c:marker>
          <c:cat>
            <c:strRef>
              <c:f>'1.8 Επενδυτικό κενό'!$B$9:$AC$9</c:f>
              <c:strCache>
                <c:ptCount val="2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strCache>
            </c:strRef>
          </c:cat>
          <c:val>
            <c:numRef>
              <c:f>'1.8 Επενδυτικό κενό'!$B$10:$AC$10</c:f>
              <c:numCache>
                <c:formatCode>General</c:formatCode>
                <c:ptCount val="28"/>
                <c:pt idx="0">
                  <c:v>0.22</c:v>
                </c:pt>
                <c:pt idx="1">
                  <c:v>0.21729999999999999</c:v>
                </c:pt>
                <c:pt idx="2">
                  <c:v>0.21230000000000002</c:v>
                </c:pt>
                <c:pt idx="3">
                  <c:v>0.21309999999999998</c:v>
                </c:pt>
                <c:pt idx="4">
                  <c:v>0.21350000000000002</c:v>
                </c:pt>
                <c:pt idx="5">
                  <c:v>0.21579999999999999</c:v>
                </c:pt>
                <c:pt idx="6">
                  <c:v>0.22059999999999999</c:v>
                </c:pt>
                <c:pt idx="7">
                  <c:v>0.22489999999999999</c:v>
                </c:pt>
                <c:pt idx="8">
                  <c:v>0.22149999999999997</c:v>
                </c:pt>
                <c:pt idx="9">
                  <c:v>0.2059</c:v>
                </c:pt>
                <c:pt idx="10">
                  <c:v>0.2011</c:v>
                </c:pt>
                <c:pt idx="11">
                  <c:v>0.2009</c:v>
                </c:pt>
                <c:pt idx="12">
                  <c:v>0.1963</c:v>
                </c:pt>
                <c:pt idx="13">
                  <c:v>0.19210000000000002</c:v>
                </c:pt>
                <c:pt idx="14">
                  <c:v>0.19219999999999998</c:v>
                </c:pt>
                <c:pt idx="15">
                  <c:v>0.19719999999999999</c:v>
                </c:pt>
                <c:pt idx="16">
                  <c:v>0.20079999999999998</c:v>
                </c:pt>
                <c:pt idx="17">
                  <c:v>0.2029</c:v>
                </c:pt>
                <c:pt idx="18">
                  <c:v>0.20579999999999998</c:v>
                </c:pt>
                <c:pt idx="19">
                  <c:v>0.21679999999999999</c:v>
                </c:pt>
                <c:pt idx="20">
                  <c:v>0.2175</c:v>
                </c:pt>
                <c:pt idx="21">
                  <c:v>0.21199999999999999</c:v>
                </c:pt>
                <c:pt idx="22">
                  <c:v>0.20920000000000002</c:v>
                </c:pt>
                <c:pt idx="23">
                  <c:v>0.2137</c:v>
                </c:pt>
                <c:pt idx="24">
                  <c:v>0.2072</c:v>
                </c:pt>
                <c:pt idx="25">
                  <c:v>0.2104</c:v>
                </c:pt>
                <c:pt idx="26">
                  <c:v>0.21309999999999998</c:v>
                </c:pt>
                <c:pt idx="27">
                  <c:v>0.21479999999999999</c:v>
                </c:pt>
              </c:numCache>
            </c:numRef>
          </c:val>
          <c:smooth val="0"/>
          <c:extLst>
            <c:ext xmlns:c16="http://schemas.microsoft.com/office/drawing/2014/chart" uri="{C3380CC4-5D6E-409C-BE32-E72D297353CC}">
              <c16:uniqueId val="{00000000-BDCA-45F7-A668-387208AE0D14}"/>
            </c:ext>
          </c:extLst>
        </c:ser>
        <c:ser>
          <c:idx val="2"/>
          <c:order val="1"/>
          <c:tx>
            <c:strRef>
              <c:f>'1.8 Επενδυτικό κενό'!$A$11</c:f>
              <c:strCache>
                <c:ptCount val="1"/>
                <c:pt idx="0">
                  <c:v>Επενδύσεις στην Ελλάδα (% ΑΕΠ)</c:v>
                </c:pt>
              </c:strCache>
            </c:strRef>
          </c:tx>
          <c:spPr>
            <a:ln w="25400" cap="rnd">
              <a:solidFill>
                <a:srgbClr val="1F497D">
                  <a:lumMod val="75000"/>
                </a:srgbClr>
              </a:solidFill>
              <a:round/>
            </a:ln>
            <a:effectLst>
              <a:outerShdw blurRad="40000" dist="23000" dir="5400000" rotWithShape="0">
                <a:srgbClr val="000000">
                  <a:alpha val="35000"/>
                </a:srgbClr>
              </a:outerShdw>
            </a:effectLst>
          </c:spPr>
          <c:marker>
            <c:symbol val="circle"/>
            <c:size val="5"/>
            <c:spPr>
              <a:solidFill>
                <a:srgbClr val="1F497D">
                  <a:lumMod val="75000"/>
                </a:srgbClr>
              </a:solidFill>
              <a:ln w="12700" cap="flat">
                <a:solidFill>
                  <a:srgbClr val="1F497D">
                    <a:lumMod val="75000"/>
                  </a:srgbClr>
                </a:solidFill>
                <a:bevel/>
                <a:tailEnd type="oval"/>
              </a:ln>
              <a:effectLst>
                <a:outerShdw blurRad="40000" dist="23000" dir="5400000" rotWithShape="0">
                  <a:srgbClr val="000000">
                    <a:alpha val="35000"/>
                  </a:srgbClr>
                </a:outerShdw>
              </a:effectLst>
            </c:spPr>
          </c:marker>
          <c:cat>
            <c:strRef>
              <c:f>'1.8 Επενδυτικό κενό'!$B$9:$AC$9</c:f>
              <c:strCache>
                <c:ptCount val="2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strCache>
            </c:strRef>
          </c:cat>
          <c:val>
            <c:numRef>
              <c:f>'1.8 Επενδυτικό κενό'!$B$11:$AC$11</c:f>
              <c:numCache>
                <c:formatCode>General</c:formatCode>
                <c:ptCount val="28"/>
                <c:pt idx="0">
                  <c:v>0.23190000000000002</c:v>
                </c:pt>
                <c:pt idx="1">
                  <c:v>0.2303</c:v>
                </c:pt>
                <c:pt idx="2">
                  <c:v>0.21460000000000001</c:v>
                </c:pt>
                <c:pt idx="3">
                  <c:v>0.22670000000000001</c:v>
                </c:pt>
                <c:pt idx="4">
                  <c:v>0.23149999999999998</c:v>
                </c:pt>
                <c:pt idx="5">
                  <c:v>0.20129999999999998</c:v>
                </c:pt>
                <c:pt idx="6">
                  <c:v>0.22450000000000001</c:v>
                </c:pt>
                <c:pt idx="7">
                  <c:v>0.2427</c:v>
                </c:pt>
                <c:pt idx="8">
                  <c:v>0.2248</c:v>
                </c:pt>
                <c:pt idx="9">
                  <c:v>0.2034</c:v>
                </c:pt>
                <c:pt idx="10">
                  <c:v>0.1678</c:v>
                </c:pt>
                <c:pt idx="11">
                  <c:v>0.13919999999999999</c:v>
                </c:pt>
                <c:pt idx="12">
                  <c:v>0.1232</c:v>
                </c:pt>
                <c:pt idx="13">
                  <c:v>0.1143</c:v>
                </c:pt>
                <c:pt idx="14">
                  <c:v>0.1108</c:v>
                </c:pt>
                <c:pt idx="15">
                  <c:v>0.11130000000000001</c:v>
                </c:pt>
                <c:pt idx="16">
                  <c:v>0.1142</c:v>
                </c:pt>
                <c:pt idx="17">
                  <c:v>0.12119999999999999</c:v>
                </c:pt>
                <c:pt idx="18">
                  <c:v>0.1133</c:v>
                </c:pt>
                <c:pt idx="19">
                  <c:v>0.10980000000000001</c:v>
                </c:pt>
                <c:pt idx="20">
                  <c:v>0.12300000000000001</c:v>
                </c:pt>
                <c:pt idx="21">
                  <c:v>0.13769999999999999</c:v>
                </c:pt>
                <c:pt idx="22">
                  <c:v>0.15939999999999999</c:v>
                </c:pt>
                <c:pt idx="23">
                  <c:v>0.16620000000000001</c:v>
                </c:pt>
                <c:pt idx="24">
                  <c:v>0.17010000000000003</c:v>
                </c:pt>
                <c:pt idx="25">
                  <c:v>0.18140000000000001</c:v>
                </c:pt>
                <c:pt idx="26">
                  <c:v>0.19170000000000001</c:v>
                </c:pt>
                <c:pt idx="27">
                  <c:v>0.2021</c:v>
                </c:pt>
              </c:numCache>
            </c:numRef>
          </c:val>
          <c:smooth val="0"/>
          <c:extLst>
            <c:ext xmlns:c16="http://schemas.microsoft.com/office/drawing/2014/chart" uri="{C3380CC4-5D6E-409C-BE32-E72D297353CC}">
              <c16:uniqueId val="{00000001-BDCA-45F7-A668-387208AE0D14}"/>
            </c:ext>
          </c:extLst>
        </c:ser>
        <c:ser>
          <c:idx val="1"/>
          <c:order val="2"/>
          <c:tx>
            <c:strRef>
              <c:f>'1.8 Επενδυτικό κενό'!$A$12</c:f>
              <c:strCache>
                <c:ptCount val="1"/>
                <c:pt idx="0">
                  <c:v>Επενδυτικό κενό της Ελλάδας</c:v>
                </c:pt>
              </c:strCache>
            </c:strRef>
          </c:tx>
          <c:spPr>
            <a:ln w="25400" cap="rnd">
              <a:solidFill>
                <a:srgbClr val="00B0F0"/>
              </a:solidFill>
              <a:round/>
              <a:headEnd type="none"/>
            </a:ln>
            <a:effectLst>
              <a:outerShdw blurRad="40000" dist="23000" dir="5400000" rotWithShape="0">
                <a:srgbClr val="000000">
                  <a:alpha val="35000"/>
                </a:srgbClr>
              </a:outerShdw>
            </a:effectLst>
          </c:spPr>
          <c:marker>
            <c:symbol val="circle"/>
            <c:size val="5"/>
            <c:spPr>
              <a:solidFill>
                <a:srgbClr val="00B0F0"/>
              </a:solidFill>
              <a:ln w="12700">
                <a:solidFill>
                  <a:srgbClr val="00B0F0"/>
                </a:solidFill>
                <a:round/>
              </a:ln>
              <a:effectLst>
                <a:outerShdw blurRad="40000" dist="23000" dir="5400000" rotWithShape="0">
                  <a:srgbClr val="000000">
                    <a:alpha val="35000"/>
                  </a:srgbClr>
                </a:outerShdw>
              </a:effectLst>
            </c:spPr>
          </c:marker>
          <c:cat>
            <c:strRef>
              <c:f>'1.8 Επενδυτικό κενό'!$B$9:$AC$9</c:f>
              <c:strCache>
                <c:ptCount val="2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strCache>
            </c:strRef>
          </c:cat>
          <c:val>
            <c:numRef>
              <c:f>'1.8 Επενδυτικό κενό'!$B$12:$AC$12</c:f>
              <c:numCache>
                <c:formatCode>General</c:formatCode>
                <c:ptCount val="28"/>
                <c:pt idx="0">
                  <c:v>1.1899999999999999E-2</c:v>
                </c:pt>
                <c:pt idx="1">
                  <c:v>1.3000000000000001E-2</c:v>
                </c:pt>
                <c:pt idx="2">
                  <c:v>2.3E-3</c:v>
                </c:pt>
                <c:pt idx="3">
                  <c:v>1.3600000000000001E-2</c:v>
                </c:pt>
                <c:pt idx="4">
                  <c:v>1.8000000000000002E-2</c:v>
                </c:pt>
                <c:pt idx="5">
                  <c:v>-1.4499999999999999E-2</c:v>
                </c:pt>
                <c:pt idx="6">
                  <c:v>3.9000000000000003E-3</c:v>
                </c:pt>
                <c:pt idx="7">
                  <c:v>1.78E-2</c:v>
                </c:pt>
                <c:pt idx="8">
                  <c:v>3.3E-3</c:v>
                </c:pt>
                <c:pt idx="9">
                  <c:v>-2.5000000000000001E-3</c:v>
                </c:pt>
                <c:pt idx="10">
                  <c:v>-3.3300000000000003E-2</c:v>
                </c:pt>
                <c:pt idx="11">
                  <c:v>-6.1699999999999998E-2</c:v>
                </c:pt>
                <c:pt idx="12">
                  <c:v>-7.3099999999999998E-2</c:v>
                </c:pt>
                <c:pt idx="13">
                  <c:v>-7.7800000000000008E-2</c:v>
                </c:pt>
                <c:pt idx="14">
                  <c:v>-8.14E-2</c:v>
                </c:pt>
                <c:pt idx="15">
                  <c:v>-8.5900000000000004E-2</c:v>
                </c:pt>
                <c:pt idx="16">
                  <c:v>-8.6599999999999996E-2</c:v>
                </c:pt>
                <c:pt idx="17">
                  <c:v>-8.1699999999999995E-2</c:v>
                </c:pt>
                <c:pt idx="18">
                  <c:v>-9.2499999999999999E-2</c:v>
                </c:pt>
                <c:pt idx="19">
                  <c:v>-0.107</c:v>
                </c:pt>
                <c:pt idx="20">
                  <c:v>-9.4499999999999987E-2</c:v>
                </c:pt>
                <c:pt idx="21">
                  <c:v>-7.4299999999999991E-2</c:v>
                </c:pt>
                <c:pt idx="22">
                  <c:v>-4.9800000000000004E-2</c:v>
                </c:pt>
                <c:pt idx="23">
                  <c:v>-4.7500000000000001E-2</c:v>
                </c:pt>
                <c:pt idx="24">
                  <c:v>-3.7100000000000001E-2</c:v>
                </c:pt>
                <c:pt idx="25">
                  <c:v>-2.8999999999999998E-2</c:v>
                </c:pt>
                <c:pt idx="26">
                  <c:v>-2.1400000000000002E-2</c:v>
                </c:pt>
                <c:pt idx="27">
                  <c:v>-1.2699999999999999E-2</c:v>
                </c:pt>
              </c:numCache>
            </c:numRef>
          </c:val>
          <c:smooth val="0"/>
          <c:extLst>
            <c:ext xmlns:c16="http://schemas.microsoft.com/office/drawing/2014/chart" uri="{C3380CC4-5D6E-409C-BE32-E72D297353CC}">
              <c16:uniqueId val="{00000002-BDCA-45F7-A668-387208AE0D14}"/>
            </c:ext>
          </c:extLst>
        </c:ser>
        <c:dLbls>
          <c:showLegendKey val="0"/>
          <c:showVal val="0"/>
          <c:showCatName val="0"/>
          <c:showSerName val="0"/>
          <c:showPercent val="0"/>
          <c:showBubbleSize val="0"/>
        </c:dLbls>
        <c:marker val="1"/>
        <c:smooth val="0"/>
        <c:axId val="548877360"/>
        <c:axId val="431479216"/>
      </c:lineChart>
      <c:catAx>
        <c:axId val="548877360"/>
        <c:scaling>
          <c:orientation val="minMax"/>
        </c:scaling>
        <c:delete val="0"/>
        <c:axPos val="b"/>
        <c:numFmt formatCode="[$-408]##############" sourceLinked="0"/>
        <c:majorTickMark val="none"/>
        <c:minorTickMark val="none"/>
        <c:tickLblPos val="nextTo"/>
        <c:spPr>
          <a:noFill/>
          <a:ln w="9525" cap="flat" cmpd="sng" algn="ctr">
            <a:solidFill>
              <a:schemeClr val="tx2">
                <a:lumMod val="15000"/>
                <a:lumOff val="85000"/>
              </a:schemeClr>
            </a:solidFill>
            <a:round/>
          </a:ln>
          <a:effectLst/>
        </c:spPr>
        <c:txPr>
          <a:bodyPr rot="-5400000" vert="horz"/>
          <a:lstStyle/>
          <a:p>
            <a:pPr>
              <a:defRPr/>
            </a:pPr>
            <a:endParaRPr lang="el-GR"/>
          </a:p>
        </c:txPr>
        <c:crossAx val="431479216"/>
        <c:crosses val="autoZero"/>
        <c:auto val="1"/>
        <c:lblAlgn val="ctr"/>
        <c:lblOffset val="100"/>
        <c:noMultiLvlLbl val="0"/>
      </c:catAx>
      <c:valAx>
        <c:axId val="431479216"/>
        <c:scaling>
          <c:orientation val="minMax"/>
          <c:max val="0.27"/>
          <c:min val="-0.11000000000000001"/>
        </c:scaling>
        <c:delete val="0"/>
        <c:axPos val="l"/>
        <c:majorGridlines>
          <c:spPr>
            <a:ln w="3175" cap="flat" cmpd="sng" algn="ctr">
              <a:solidFill>
                <a:sysClr val="window" lastClr="FFFFFF">
                  <a:lumMod val="85000"/>
                </a:sysClr>
              </a:solidFill>
              <a:round/>
            </a:ln>
            <a:effectLst/>
          </c:spPr>
        </c:majorGridlines>
        <c:numFmt formatCode="[$-408]0%" sourceLinked="0"/>
        <c:majorTickMark val="none"/>
        <c:minorTickMark val="none"/>
        <c:tickLblPos val="nextTo"/>
        <c:spPr>
          <a:noFill/>
          <a:ln>
            <a:noFill/>
          </a:ln>
          <a:effectLst/>
        </c:spPr>
        <c:txPr>
          <a:bodyPr rot="-60000000" vert="horz"/>
          <a:lstStyle/>
          <a:p>
            <a:pPr>
              <a:defRPr/>
            </a:pPr>
            <a:endParaRPr lang="el-GR"/>
          </a:p>
        </c:txPr>
        <c:crossAx val="548877360"/>
        <c:crosses val="autoZero"/>
        <c:crossBetween val="between"/>
        <c:majorUnit val="2.0000000000000004E-2"/>
      </c:valAx>
      <c:spPr>
        <a:noFill/>
        <a:ln>
          <a:noFill/>
        </a:ln>
        <a:effectLst/>
      </c:spPr>
    </c:plotArea>
    <c:legend>
      <c:legendPos val="b"/>
      <c:layout>
        <c:manualLayout>
          <c:xMode val="edge"/>
          <c:yMode val="edge"/>
          <c:x val="2.3507452968599433E-3"/>
          <c:y val="0.91593456233401072"/>
          <c:w val="0.99389288220160599"/>
          <c:h val="8.0497726212843734E-2"/>
        </c:manualLayout>
      </c:layout>
      <c:overlay val="0"/>
      <c:spPr>
        <a:noFill/>
        <a:ln>
          <a:noFill/>
        </a:ln>
        <a:effectLst/>
      </c:spPr>
      <c:txPr>
        <a:bodyPr rot="0" vert="horz"/>
        <a:lstStyle/>
        <a:p>
          <a:pPr>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ysClr val="window" lastClr="FFFFFF">
          <a:lumMod val="85000"/>
        </a:sysClr>
      </a:solidFill>
      <a:round/>
    </a:ln>
    <a:effectLst/>
  </c:spPr>
  <c:txPr>
    <a:bodyPr/>
    <a:lstStyle/>
    <a:p>
      <a:pPr algn="ct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726275946487948E-2"/>
          <c:y val="4.9977283053157656E-2"/>
          <c:w val="0.90601793574039191"/>
          <c:h val="0.77716878901587683"/>
        </c:manualLayout>
      </c:layout>
      <c:lineChart>
        <c:grouping val="standard"/>
        <c:varyColors val="0"/>
        <c:ser>
          <c:idx val="0"/>
          <c:order val="0"/>
          <c:tx>
            <c:strRef>
              <c:f>'1.9 κατά κεφαλήν ΑΕΠ'!$A$6</c:f>
              <c:strCache>
                <c:ptCount val="1"/>
                <c:pt idx="0">
                  <c:v>Ευρωπαϊκή Ένωση</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cat>
            <c:strRef>
              <c:f>'1.9 κατά κεφαλήν ΑΕΠ'!$B$5:$O$5</c:f>
              <c:strCache>
                <c:ptCount val="14"/>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strCache>
            </c:strRef>
          </c:cat>
          <c:val>
            <c:numRef>
              <c:f>'1.9 κατά κεφαλήν ΑΕΠ'!$B$6:$O$6</c:f>
              <c:numCache>
                <c:formatCode>General</c:formatCode>
                <c:ptCount val="14"/>
                <c:pt idx="0">
                  <c:v>1.53</c:v>
                </c:pt>
                <c:pt idx="1">
                  <c:v>2.17</c:v>
                </c:pt>
                <c:pt idx="2">
                  <c:v>1.74</c:v>
                </c:pt>
                <c:pt idx="3">
                  <c:v>2.69</c:v>
                </c:pt>
                <c:pt idx="4">
                  <c:v>1.9</c:v>
                </c:pt>
                <c:pt idx="5">
                  <c:v>1.69</c:v>
                </c:pt>
                <c:pt idx="6">
                  <c:v>-5.45</c:v>
                </c:pt>
                <c:pt idx="7">
                  <c:v>6.42</c:v>
                </c:pt>
                <c:pt idx="8">
                  <c:v>2.91</c:v>
                </c:pt>
                <c:pt idx="9">
                  <c:v>-7.0000000000000007E-2</c:v>
                </c:pt>
                <c:pt idx="10">
                  <c:v>0.78</c:v>
                </c:pt>
                <c:pt idx="11">
                  <c:v>1.35</c:v>
                </c:pt>
                <c:pt idx="12">
                  <c:v>0.9</c:v>
                </c:pt>
                <c:pt idx="13">
                  <c:v>1.26</c:v>
                </c:pt>
              </c:numCache>
            </c:numRef>
          </c:val>
          <c:smooth val="0"/>
          <c:extLst>
            <c:ext xmlns:c16="http://schemas.microsoft.com/office/drawing/2014/chart" uri="{C3380CC4-5D6E-409C-BE32-E72D297353CC}">
              <c16:uniqueId val="{00000000-EF21-427A-965F-32A11BDFBBA4}"/>
            </c:ext>
          </c:extLst>
        </c:ser>
        <c:ser>
          <c:idx val="1"/>
          <c:order val="1"/>
          <c:tx>
            <c:strRef>
              <c:f>'1.9 κατά κεφαλήν ΑΕΠ'!$A$7</c:f>
              <c:strCache>
                <c:ptCount val="1"/>
                <c:pt idx="0">
                  <c:v>Ευρωζώνη</c:v>
                </c:pt>
              </c:strCache>
            </c:strRef>
          </c:tx>
          <c:spPr>
            <a:ln w="19050" cap="rnd">
              <a:solidFill>
                <a:srgbClr val="4F81BD">
                  <a:lumMod val="50000"/>
                </a:srgbClr>
              </a:solidFill>
              <a:round/>
            </a:ln>
            <a:effectLst/>
          </c:spPr>
          <c:marker>
            <c:symbol val="circle"/>
            <c:size val="5"/>
            <c:spPr>
              <a:solidFill>
                <a:sysClr val="windowText" lastClr="000000"/>
              </a:solidFill>
              <a:ln w="9525">
                <a:solidFill>
                  <a:srgbClr val="1F497D">
                    <a:lumMod val="75000"/>
                  </a:srgbClr>
                </a:solidFill>
              </a:ln>
              <a:effectLst/>
            </c:spPr>
          </c:marker>
          <c:cat>
            <c:strRef>
              <c:f>'1.9 κατά κεφαλήν ΑΕΠ'!$B$5:$O$5</c:f>
              <c:strCache>
                <c:ptCount val="14"/>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strCache>
            </c:strRef>
          </c:cat>
          <c:val>
            <c:numRef>
              <c:f>'1.9 κατά κεφαλήν ΑΕΠ'!$B$7:$O$7</c:f>
              <c:numCache>
                <c:formatCode>General</c:formatCode>
                <c:ptCount val="14"/>
                <c:pt idx="0">
                  <c:v>1.32</c:v>
                </c:pt>
                <c:pt idx="1">
                  <c:v>1.89</c:v>
                </c:pt>
                <c:pt idx="2">
                  <c:v>1.57</c:v>
                </c:pt>
                <c:pt idx="3">
                  <c:v>2.48</c:v>
                </c:pt>
                <c:pt idx="4">
                  <c:v>1.6</c:v>
                </c:pt>
                <c:pt idx="5">
                  <c:v>1.41</c:v>
                </c:pt>
                <c:pt idx="6">
                  <c:v>-6.1</c:v>
                </c:pt>
                <c:pt idx="7">
                  <c:v>6.41</c:v>
                </c:pt>
                <c:pt idx="8">
                  <c:v>3.17</c:v>
                </c:pt>
                <c:pt idx="9">
                  <c:v>-0.17</c:v>
                </c:pt>
                <c:pt idx="10">
                  <c:v>0.52</c:v>
                </c:pt>
                <c:pt idx="11">
                  <c:v>1.1200000000000001</c:v>
                </c:pt>
                <c:pt idx="12">
                  <c:v>0.66</c:v>
                </c:pt>
                <c:pt idx="13">
                  <c:v>1.03</c:v>
                </c:pt>
              </c:numCache>
            </c:numRef>
          </c:val>
          <c:smooth val="0"/>
          <c:extLst>
            <c:ext xmlns:c16="http://schemas.microsoft.com/office/drawing/2014/chart" uri="{C3380CC4-5D6E-409C-BE32-E72D297353CC}">
              <c16:uniqueId val="{00000001-EF21-427A-965F-32A11BDFBBA4}"/>
            </c:ext>
          </c:extLst>
        </c:ser>
        <c:ser>
          <c:idx val="2"/>
          <c:order val="2"/>
          <c:tx>
            <c:strRef>
              <c:f>'1.9 κατά κεφαλήν ΑΕΠ'!$A$8</c:f>
              <c:strCache>
                <c:ptCount val="1"/>
                <c:pt idx="0">
                  <c:v>Ελλάδα</c:v>
                </c:pt>
              </c:strCache>
            </c:strRef>
          </c:tx>
          <c:spPr>
            <a:ln w="19050" cap="rnd">
              <a:solidFill>
                <a:srgbClr val="00B0F0"/>
              </a:solidFill>
              <a:round/>
            </a:ln>
            <a:effectLst/>
          </c:spPr>
          <c:marker>
            <c:symbol val="circle"/>
            <c:size val="5"/>
            <c:spPr>
              <a:solidFill>
                <a:srgbClr val="00B0F0"/>
              </a:solidFill>
              <a:ln w="9525">
                <a:solidFill>
                  <a:srgbClr val="00B0F0"/>
                </a:solidFill>
              </a:ln>
              <a:effectLst/>
            </c:spPr>
          </c:marker>
          <c:cat>
            <c:strRef>
              <c:f>'1.9 κατά κεφαλήν ΑΕΠ'!$B$5:$O$5</c:f>
              <c:strCache>
                <c:ptCount val="14"/>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strCache>
            </c:strRef>
          </c:cat>
          <c:val>
            <c:numRef>
              <c:f>'1.9 κατά κεφαλήν ΑΕΠ'!$B$8:$O$8</c:f>
              <c:numCache>
                <c:formatCode>General</c:formatCode>
                <c:ptCount val="14"/>
                <c:pt idx="0">
                  <c:v>1.47</c:v>
                </c:pt>
                <c:pt idx="1">
                  <c:v>0.43</c:v>
                </c:pt>
                <c:pt idx="2">
                  <c:v>0.39</c:v>
                </c:pt>
                <c:pt idx="3">
                  <c:v>1.67</c:v>
                </c:pt>
                <c:pt idx="4">
                  <c:v>2.27</c:v>
                </c:pt>
                <c:pt idx="5">
                  <c:v>2.39</c:v>
                </c:pt>
                <c:pt idx="6">
                  <c:v>-9</c:v>
                </c:pt>
                <c:pt idx="7">
                  <c:v>9.25</c:v>
                </c:pt>
                <c:pt idx="8">
                  <c:v>6.13</c:v>
                </c:pt>
                <c:pt idx="9">
                  <c:v>2.44</c:v>
                </c:pt>
                <c:pt idx="10">
                  <c:v>2.25</c:v>
                </c:pt>
                <c:pt idx="11">
                  <c:v>2.0099999999999998</c:v>
                </c:pt>
                <c:pt idx="12">
                  <c:v>2.16</c:v>
                </c:pt>
                <c:pt idx="13">
                  <c:v>2.5499999999999998</c:v>
                </c:pt>
              </c:numCache>
            </c:numRef>
          </c:val>
          <c:smooth val="0"/>
          <c:extLst>
            <c:ext xmlns:c16="http://schemas.microsoft.com/office/drawing/2014/chart" uri="{C3380CC4-5D6E-409C-BE32-E72D297353CC}">
              <c16:uniqueId val="{00000002-EF21-427A-965F-32A11BDFBBA4}"/>
            </c:ext>
          </c:extLst>
        </c:ser>
        <c:dLbls>
          <c:showLegendKey val="0"/>
          <c:showVal val="0"/>
          <c:showCatName val="0"/>
          <c:showSerName val="0"/>
          <c:showPercent val="0"/>
          <c:showBubbleSize val="0"/>
        </c:dLbls>
        <c:marker val="1"/>
        <c:smooth val="0"/>
        <c:axId val="937764623"/>
        <c:axId val="762423631"/>
      </c:lineChart>
      <c:catAx>
        <c:axId val="937764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l-GR"/>
          </a:p>
        </c:txPr>
        <c:crossAx val="762423631"/>
        <c:crosses val="autoZero"/>
        <c:auto val="1"/>
        <c:lblAlgn val="ctr"/>
        <c:lblOffset val="100"/>
        <c:noMultiLvlLbl val="0"/>
      </c:catAx>
      <c:valAx>
        <c:axId val="762423631"/>
        <c:scaling>
          <c:orientation val="minMax"/>
          <c:max val="10"/>
        </c:scaling>
        <c:delete val="0"/>
        <c:axPos val="l"/>
        <c:majorGridlines>
          <c:spPr>
            <a:ln w="3175" cap="flat" cmpd="sng" algn="ctr">
              <a:solidFill>
                <a:sysClr val="window" lastClr="FFFFFF">
                  <a:lumMod val="85000"/>
                </a:sysClr>
              </a:solidFill>
              <a:round/>
            </a:ln>
            <a:effectLst/>
          </c:spPr>
        </c:majorGridlines>
        <c:numFmt formatCode="[$-408]#,##0.0" sourceLinked="0"/>
        <c:majorTickMark val="none"/>
        <c:minorTickMark val="none"/>
        <c:tickLblPos val="nextTo"/>
        <c:spPr>
          <a:noFill/>
          <a:ln>
            <a:noFill/>
          </a:ln>
          <a:effectLst/>
        </c:spPr>
        <c:txPr>
          <a:bodyPr rot="-60000000" vert="horz"/>
          <a:lstStyle/>
          <a:p>
            <a:pPr>
              <a:defRPr/>
            </a:pPr>
            <a:endParaRPr lang="el-GR"/>
          </a:p>
        </c:txPr>
        <c:crossAx val="937764623"/>
        <c:crosses val="autoZero"/>
        <c:crossBetween val="between"/>
      </c:valAx>
      <c:spPr>
        <a:noFill/>
        <a:ln w="3175">
          <a:noFill/>
        </a:ln>
        <a:effectLst/>
      </c:spPr>
    </c:plotArea>
    <c:legend>
      <c:legendPos val="b"/>
      <c:layout>
        <c:manualLayout>
          <c:xMode val="edge"/>
          <c:yMode val="edge"/>
          <c:x val="0.23083784041878999"/>
          <c:y val="0.86272250319855059"/>
          <c:w val="0.54714443219404629"/>
          <c:h val="9.3345693934308901E-2"/>
        </c:manualLayout>
      </c:layout>
      <c:overlay val="0"/>
      <c:spPr>
        <a:noFill/>
        <a:ln>
          <a:noFill/>
        </a:ln>
        <a:effectLst/>
      </c:spPr>
      <c:txPr>
        <a:bodyPr rot="0" vert="horz"/>
        <a:lstStyle/>
        <a:p>
          <a:pPr>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ysClr val="window" lastClr="FFFFFF">
          <a:lumMod val="85000"/>
        </a:sys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696003958711342E-2"/>
          <c:y val="4.3968281686563374E-2"/>
          <c:w val="0.90957428322190725"/>
          <c:h val="0.76588535052070095"/>
        </c:manualLayout>
      </c:layout>
      <c:barChart>
        <c:barDir val="col"/>
        <c:grouping val="stacked"/>
        <c:varyColors val="0"/>
        <c:ser>
          <c:idx val="0"/>
          <c:order val="0"/>
          <c:tx>
            <c:strRef>
              <c:f>Φύλλο1!$B$1</c:f>
              <c:strCache>
                <c:ptCount val="1"/>
                <c:pt idx="0">
                  <c:v>Έντοκα</c:v>
                </c:pt>
              </c:strCache>
            </c:strRef>
          </c:tx>
          <c:spPr>
            <a:solidFill>
              <a:schemeClr val="accent1">
                <a:lumMod val="75000"/>
              </a:schemeClr>
            </a:solidFill>
            <a:ln w="12700">
              <a:noFill/>
              <a:prstDash val="solid"/>
            </a:ln>
          </c:spPr>
          <c:invertIfNegative val="0"/>
          <c:cat>
            <c:numRef>
              <c:f>Φύλλο1!$A$2:$A$47</c:f>
              <c:numCache>
                <c:formatCode>General</c:formatCode>
                <c:ptCount val="46"/>
                <c:pt idx="0">
                  <c:v>26</c:v>
                </c:pt>
                <c:pt idx="1">
                  <c:v>27</c:v>
                </c:pt>
                <c:pt idx="2">
                  <c:v>28</c:v>
                </c:pt>
                <c:pt idx="3">
                  <c:v>29</c:v>
                </c:pt>
                <c:pt idx="4">
                  <c:v>30</c:v>
                </c:pt>
                <c:pt idx="5">
                  <c:v>31</c:v>
                </c:pt>
                <c:pt idx="6">
                  <c:v>32</c:v>
                </c:pt>
                <c:pt idx="7">
                  <c:v>33</c:v>
                </c:pt>
                <c:pt idx="8">
                  <c:v>34</c:v>
                </c:pt>
                <c:pt idx="9">
                  <c:v>35</c:v>
                </c:pt>
                <c:pt idx="10">
                  <c:v>36</c:v>
                </c:pt>
                <c:pt idx="11">
                  <c:v>37</c:v>
                </c:pt>
                <c:pt idx="12">
                  <c:v>38</c:v>
                </c:pt>
                <c:pt idx="13">
                  <c:v>39</c:v>
                </c:pt>
                <c:pt idx="14">
                  <c:v>40</c:v>
                </c:pt>
                <c:pt idx="15">
                  <c:v>41</c:v>
                </c:pt>
                <c:pt idx="16">
                  <c:v>42</c:v>
                </c:pt>
                <c:pt idx="17">
                  <c:v>43</c:v>
                </c:pt>
                <c:pt idx="18">
                  <c:v>44</c:v>
                </c:pt>
                <c:pt idx="19">
                  <c:v>45</c:v>
                </c:pt>
                <c:pt idx="20">
                  <c:v>46</c:v>
                </c:pt>
                <c:pt idx="21">
                  <c:v>47</c:v>
                </c:pt>
                <c:pt idx="22">
                  <c:v>48</c:v>
                </c:pt>
                <c:pt idx="23">
                  <c:v>49</c:v>
                </c:pt>
                <c:pt idx="24">
                  <c:v>50</c:v>
                </c:pt>
                <c:pt idx="25">
                  <c:v>51</c:v>
                </c:pt>
                <c:pt idx="26">
                  <c:v>52</c:v>
                </c:pt>
                <c:pt idx="27">
                  <c:v>53</c:v>
                </c:pt>
                <c:pt idx="28">
                  <c:v>54</c:v>
                </c:pt>
                <c:pt idx="29">
                  <c:v>55</c:v>
                </c:pt>
                <c:pt idx="30">
                  <c:v>56</c:v>
                </c:pt>
                <c:pt idx="31">
                  <c:v>57</c:v>
                </c:pt>
                <c:pt idx="32">
                  <c:v>58</c:v>
                </c:pt>
                <c:pt idx="33">
                  <c:v>59</c:v>
                </c:pt>
                <c:pt idx="34">
                  <c:v>60</c:v>
                </c:pt>
                <c:pt idx="35">
                  <c:v>61</c:v>
                </c:pt>
                <c:pt idx="36">
                  <c:v>62</c:v>
                </c:pt>
                <c:pt idx="37">
                  <c:v>63</c:v>
                </c:pt>
                <c:pt idx="38">
                  <c:v>64</c:v>
                </c:pt>
                <c:pt idx="39">
                  <c:v>65</c:v>
                </c:pt>
                <c:pt idx="40">
                  <c:v>66</c:v>
                </c:pt>
                <c:pt idx="41">
                  <c:v>67</c:v>
                </c:pt>
                <c:pt idx="42">
                  <c:v>68</c:v>
                </c:pt>
                <c:pt idx="43">
                  <c:v>69</c:v>
                </c:pt>
                <c:pt idx="44">
                  <c:v>70</c:v>
                </c:pt>
                <c:pt idx="45">
                  <c:v>71</c:v>
                </c:pt>
              </c:numCache>
            </c:numRef>
          </c:cat>
          <c:val>
            <c:numRef>
              <c:f>Φύλλο1!$B$2:$B$47</c:f>
              <c:numCache>
                <c:formatCode>#,##0.0</c:formatCode>
                <c:ptCount val="46"/>
                <c:pt idx="0">
                  <c:v>4904.7</c:v>
                </c:pt>
                <c:pt idx="1">
                  <c:v>2359.4</c:v>
                </c:pt>
              </c:numCache>
            </c:numRef>
          </c:val>
          <c:extLst>
            <c:ext xmlns:c16="http://schemas.microsoft.com/office/drawing/2014/chart" uri="{C3380CC4-5D6E-409C-BE32-E72D297353CC}">
              <c16:uniqueId val="{00000000-EEA4-4031-8BB0-5D817F21AAF4}"/>
            </c:ext>
          </c:extLst>
        </c:ser>
        <c:ser>
          <c:idx val="1"/>
          <c:order val="1"/>
          <c:tx>
            <c:strRef>
              <c:f>Φύλλο1!$C$1</c:f>
              <c:strCache>
                <c:ptCount val="1"/>
                <c:pt idx="0">
                  <c:v>Ομόλογα</c:v>
                </c:pt>
              </c:strCache>
            </c:strRef>
          </c:tx>
          <c:spPr>
            <a:solidFill>
              <a:schemeClr val="accent1">
                <a:lumMod val="60000"/>
                <a:lumOff val="40000"/>
              </a:schemeClr>
            </a:solidFill>
          </c:spPr>
          <c:invertIfNegative val="0"/>
          <c:cat>
            <c:numRef>
              <c:f>Φύλλο1!$A$2:$A$47</c:f>
              <c:numCache>
                <c:formatCode>General</c:formatCode>
                <c:ptCount val="46"/>
                <c:pt idx="0">
                  <c:v>26</c:v>
                </c:pt>
                <c:pt idx="1">
                  <c:v>27</c:v>
                </c:pt>
                <c:pt idx="2">
                  <c:v>28</c:v>
                </c:pt>
                <c:pt idx="3">
                  <c:v>29</c:v>
                </c:pt>
                <c:pt idx="4">
                  <c:v>30</c:v>
                </c:pt>
                <c:pt idx="5">
                  <c:v>31</c:v>
                </c:pt>
                <c:pt idx="6">
                  <c:v>32</c:v>
                </c:pt>
                <c:pt idx="7">
                  <c:v>33</c:v>
                </c:pt>
                <c:pt idx="8">
                  <c:v>34</c:v>
                </c:pt>
                <c:pt idx="9">
                  <c:v>35</c:v>
                </c:pt>
                <c:pt idx="10">
                  <c:v>36</c:v>
                </c:pt>
                <c:pt idx="11">
                  <c:v>37</c:v>
                </c:pt>
                <c:pt idx="12">
                  <c:v>38</c:v>
                </c:pt>
                <c:pt idx="13">
                  <c:v>39</c:v>
                </c:pt>
                <c:pt idx="14">
                  <c:v>40</c:v>
                </c:pt>
                <c:pt idx="15">
                  <c:v>41</c:v>
                </c:pt>
                <c:pt idx="16">
                  <c:v>42</c:v>
                </c:pt>
                <c:pt idx="17">
                  <c:v>43</c:v>
                </c:pt>
                <c:pt idx="18">
                  <c:v>44</c:v>
                </c:pt>
                <c:pt idx="19">
                  <c:v>45</c:v>
                </c:pt>
                <c:pt idx="20">
                  <c:v>46</c:v>
                </c:pt>
                <c:pt idx="21">
                  <c:v>47</c:v>
                </c:pt>
                <c:pt idx="22">
                  <c:v>48</c:v>
                </c:pt>
                <c:pt idx="23">
                  <c:v>49</c:v>
                </c:pt>
                <c:pt idx="24">
                  <c:v>50</c:v>
                </c:pt>
                <c:pt idx="25">
                  <c:v>51</c:v>
                </c:pt>
                <c:pt idx="26">
                  <c:v>52</c:v>
                </c:pt>
                <c:pt idx="27">
                  <c:v>53</c:v>
                </c:pt>
                <c:pt idx="28">
                  <c:v>54</c:v>
                </c:pt>
                <c:pt idx="29">
                  <c:v>55</c:v>
                </c:pt>
                <c:pt idx="30">
                  <c:v>56</c:v>
                </c:pt>
                <c:pt idx="31">
                  <c:v>57</c:v>
                </c:pt>
                <c:pt idx="32">
                  <c:v>58</c:v>
                </c:pt>
                <c:pt idx="33">
                  <c:v>59</c:v>
                </c:pt>
                <c:pt idx="34">
                  <c:v>60</c:v>
                </c:pt>
                <c:pt idx="35">
                  <c:v>61</c:v>
                </c:pt>
                <c:pt idx="36">
                  <c:v>62</c:v>
                </c:pt>
                <c:pt idx="37">
                  <c:v>63</c:v>
                </c:pt>
                <c:pt idx="38">
                  <c:v>64</c:v>
                </c:pt>
                <c:pt idx="39">
                  <c:v>65</c:v>
                </c:pt>
                <c:pt idx="40">
                  <c:v>66</c:v>
                </c:pt>
                <c:pt idx="41">
                  <c:v>67</c:v>
                </c:pt>
                <c:pt idx="42">
                  <c:v>68</c:v>
                </c:pt>
                <c:pt idx="43">
                  <c:v>69</c:v>
                </c:pt>
                <c:pt idx="44">
                  <c:v>70</c:v>
                </c:pt>
                <c:pt idx="45">
                  <c:v>71</c:v>
                </c:pt>
              </c:numCache>
            </c:numRef>
          </c:cat>
          <c:val>
            <c:numRef>
              <c:f>Φύλλο1!$C$2:$C$47</c:f>
              <c:numCache>
                <c:formatCode>#,##0.0</c:formatCode>
                <c:ptCount val="46"/>
                <c:pt idx="0">
                  <c:v>34.845999999999997</c:v>
                </c:pt>
                <c:pt idx="1">
                  <c:v>6173.6944089999997</c:v>
                </c:pt>
                <c:pt idx="2">
                  <c:v>9816.5922410000003</c:v>
                </c:pt>
                <c:pt idx="3">
                  <c:v>4770.4496349999999</c:v>
                </c:pt>
                <c:pt idx="4">
                  <c:v>5676.4014029999998</c:v>
                </c:pt>
                <c:pt idx="5">
                  <c:v>6046.1804979999997</c:v>
                </c:pt>
                <c:pt idx="6">
                  <c:v>3746.203982</c:v>
                </c:pt>
                <c:pt idx="7">
                  <c:v>12013.425831</c:v>
                </c:pt>
                <c:pt idx="8">
                  <c:v>5306.3887500000001</c:v>
                </c:pt>
                <c:pt idx="9">
                  <c:v>9243.8306250000005</c:v>
                </c:pt>
                <c:pt idx="10">
                  <c:v>7594.1972779999996</c:v>
                </c:pt>
                <c:pt idx="11">
                  <c:v>5804.5361130000001</c:v>
                </c:pt>
                <c:pt idx="12">
                  <c:v>5546.259395</c:v>
                </c:pt>
                <c:pt idx="13">
                  <c:v>45.596288000000001</c:v>
                </c:pt>
                <c:pt idx="14">
                  <c:v>50.228608999999999</c:v>
                </c:pt>
                <c:pt idx="15">
                  <c:v>50.845264999999998</c:v>
                </c:pt>
                <c:pt idx="16">
                  <c:v>5553.663869</c:v>
                </c:pt>
                <c:pt idx="17">
                  <c:v>0</c:v>
                </c:pt>
                <c:pt idx="18">
                  <c:v>0</c:v>
                </c:pt>
                <c:pt idx="19">
                  <c:v>0</c:v>
                </c:pt>
                <c:pt idx="20">
                  <c:v>0</c:v>
                </c:pt>
                <c:pt idx="21">
                  <c:v>0</c:v>
                </c:pt>
                <c:pt idx="22">
                  <c:v>0</c:v>
                </c:pt>
                <c:pt idx="23">
                  <c:v>0</c:v>
                </c:pt>
                <c:pt idx="24">
                  <c:v>5364</c:v>
                </c:pt>
                <c:pt idx="25">
                  <c:v>0</c:v>
                </c:pt>
                <c:pt idx="26">
                  <c:v>3500</c:v>
                </c:pt>
                <c:pt idx="27">
                  <c:v>0</c:v>
                </c:pt>
                <c:pt idx="28">
                  <c:v>4000</c:v>
                </c:pt>
                <c:pt idx="29">
                  <c:v>0</c:v>
                </c:pt>
                <c:pt idx="30">
                  <c:v>0</c:v>
                </c:pt>
                <c:pt idx="31">
                  <c:v>1507.13</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numCache>
            </c:numRef>
          </c:val>
          <c:extLst>
            <c:ext xmlns:c16="http://schemas.microsoft.com/office/drawing/2014/chart" uri="{C3380CC4-5D6E-409C-BE32-E72D297353CC}">
              <c16:uniqueId val="{00000001-EEA4-4031-8BB0-5D817F21AAF4}"/>
            </c:ext>
          </c:extLst>
        </c:ser>
        <c:ser>
          <c:idx val="2"/>
          <c:order val="2"/>
          <c:tx>
            <c:strRef>
              <c:f>Φύλλο1!$D$1</c:f>
              <c:strCache>
                <c:ptCount val="1"/>
                <c:pt idx="0">
                  <c:v>Δάνεια</c:v>
                </c:pt>
              </c:strCache>
            </c:strRef>
          </c:tx>
          <c:spPr>
            <a:solidFill>
              <a:schemeClr val="tx2">
                <a:lumMod val="60000"/>
                <a:lumOff val="40000"/>
              </a:schemeClr>
            </a:solidFill>
          </c:spPr>
          <c:invertIfNegative val="0"/>
          <c:cat>
            <c:numRef>
              <c:f>Φύλλο1!$A$2:$A$47</c:f>
              <c:numCache>
                <c:formatCode>General</c:formatCode>
                <c:ptCount val="46"/>
                <c:pt idx="0">
                  <c:v>26</c:v>
                </c:pt>
                <c:pt idx="1">
                  <c:v>27</c:v>
                </c:pt>
                <c:pt idx="2">
                  <c:v>28</c:v>
                </c:pt>
                <c:pt idx="3">
                  <c:v>29</c:v>
                </c:pt>
                <c:pt idx="4">
                  <c:v>30</c:v>
                </c:pt>
                <c:pt idx="5">
                  <c:v>31</c:v>
                </c:pt>
                <c:pt idx="6">
                  <c:v>32</c:v>
                </c:pt>
                <c:pt idx="7">
                  <c:v>33</c:v>
                </c:pt>
                <c:pt idx="8">
                  <c:v>34</c:v>
                </c:pt>
                <c:pt idx="9">
                  <c:v>35</c:v>
                </c:pt>
                <c:pt idx="10">
                  <c:v>36</c:v>
                </c:pt>
                <c:pt idx="11">
                  <c:v>37</c:v>
                </c:pt>
                <c:pt idx="12">
                  <c:v>38</c:v>
                </c:pt>
                <c:pt idx="13">
                  <c:v>39</c:v>
                </c:pt>
                <c:pt idx="14">
                  <c:v>40</c:v>
                </c:pt>
                <c:pt idx="15">
                  <c:v>41</c:v>
                </c:pt>
                <c:pt idx="16">
                  <c:v>42</c:v>
                </c:pt>
                <c:pt idx="17">
                  <c:v>43</c:v>
                </c:pt>
                <c:pt idx="18">
                  <c:v>44</c:v>
                </c:pt>
                <c:pt idx="19">
                  <c:v>45</c:v>
                </c:pt>
                <c:pt idx="20">
                  <c:v>46</c:v>
                </c:pt>
                <c:pt idx="21">
                  <c:v>47</c:v>
                </c:pt>
                <c:pt idx="22">
                  <c:v>48</c:v>
                </c:pt>
                <c:pt idx="23">
                  <c:v>49</c:v>
                </c:pt>
                <c:pt idx="24">
                  <c:v>50</c:v>
                </c:pt>
                <c:pt idx="25">
                  <c:v>51</c:v>
                </c:pt>
                <c:pt idx="26">
                  <c:v>52</c:v>
                </c:pt>
                <c:pt idx="27">
                  <c:v>53</c:v>
                </c:pt>
                <c:pt idx="28">
                  <c:v>54</c:v>
                </c:pt>
                <c:pt idx="29">
                  <c:v>55</c:v>
                </c:pt>
                <c:pt idx="30">
                  <c:v>56</c:v>
                </c:pt>
                <c:pt idx="31">
                  <c:v>57</c:v>
                </c:pt>
                <c:pt idx="32">
                  <c:v>58</c:v>
                </c:pt>
                <c:pt idx="33">
                  <c:v>59</c:v>
                </c:pt>
                <c:pt idx="34">
                  <c:v>60</c:v>
                </c:pt>
                <c:pt idx="35">
                  <c:v>61</c:v>
                </c:pt>
                <c:pt idx="36">
                  <c:v>62</c:v>
                </c:pt>
                <c:pt idx="37">
                  <c:v>63</c:v>
                </c:pt>
                <c:pt idx="38">
                  <c:v>64</c:v>
                </c:pt>
                <c:pt idx="39">
                  <c:v>65</c:v>
                </c:pt>
                <c:pt idx="40">
                  <c:v>66</c:v>
                </c:pt>
                <c:pt idx="41">
                  <c:v>67</c:v>
                </c:pt>
                <c:pt idx="42">
                  <c:v>68</c:v>
                </c:pt>
                <c:pt idx="43">
                  <c:v>69</c:v>
                </c:pt>
                <c:pt idx="44">
                  <c:v>70</c:v>
                </c:pt>
                <c:pt idx="45">
                  <c:v>71</c:v>
                </c:pt>
              </c:numCache>
            </c:numRef>
          </c:cat>
          <c:val>
            <c:numRef>
              <c:f>Φύλλο1!$D$2:$D$47</c:f>
              <c:numCache>
                <c:formatCode>#,##0.0</c:formatCode>
                <c:ptCount val="46"/>
                <c:pt idx="0">
                  <c:v>103.88160924911986</c:v>
                </c:pt>
                <c:pt idx="1">
                  <c:v>3190.2229394491601</c:v>
                </c:pt>
                <c:pt idx="2">
                  <c:v>3298.2737588618443</c:v>
                </c:pt>
                <c:pt idx="3">
                  <c:v>4985.6737588618544</c:v>
                </c:pt>
                <c:pt idx="4">
                  <c:v>5233.5737588618213</c:v>
                </c:pt>
                <c:pt idx="5">
                  <c:v>5023.6737588618444</c:v>
                </c:pt>
                <c:pt idx="6">
                  <c:v>5301.5027618618433</c:v>
                </c:pt>
                <c:pt idx="7">
                  <c:v>2607.9774190618446</c:v>
                </c:pt>
                <c:pt idx="8">
                  <c:v>2854.05832796</c:v>
                </c:pt>
                <c:pt idx="9">
                  <c:v>4802.5473165800004</c:v>
                </c:pt>
                <c:pt idx="10">
                  <c:v>6213.2975188500004</c:v>
                </c:pt>
                <c:pt idx="11">
                  <c:v>6972.5644701499996</c:v>
                </c:pt>
                <c:pt idx="12">
                  <c:v>5552.62951815</c:v>
                </c:pt>
                <c:pt idx="13">
                  <c:v>5570.0295181499996</c:v>
                </c:pt>
                <c:pt idx="14">
                  <c:v>3340.2795181500001</c:v>
                </c:pt>
                <c:pt idx="15">
                  <c:v>3383.1595181500002</c:v>
                </c:pt>
                <c:pt idx="16">
                  <c:v>3372.7395181500001</c:v>
                </c:pt>
                <c:pt idx="17">
                  <c:v>4213.0755115000002</c:v>
                </c:pt>
                <c:pt idx="18">
                  <c:v>4284.3945365</c:v>
                </c:pt>
                <c:pt idx="19">
                  <c:v>4357.2264324999996</c:v>
                </c:pt>
                <c:pt idx="20">
                  <c:v>5331.6174934999999</c:v>
                </c:pt>
                <c:pt idx="21">
                  <c:v>4507.3135814999996</c:v>
                </c:pt>
                <c:pt idx="22">
                  <c:v>4584.9631454999999</c:v>
                </c:pt>
                <c:pt idx="23">
                  <c:v>4664.3157995000001</c:v>
                </c:pt>
                <c:pt idx="24">
                  <c:v>5748.9026334999999</c:v>
                </c:pt>
                <c:pt idx="25">
                  <c:v>6804.7840454999996</c:v>
                </c:pt>
                <c:pt idx="26">
                  <c:v>6838.9427235000003</c:v>
                </c:pt>
                <c:pt idx="27">
                  <c:v>6856.2823763000006</c:v>
                </c:pt>
                <c:pt idx="28">
                  <c:v>6886.4304611000007</c:v>
                </c:pt>
                <c:pt idx="29">
                  <c:v>6797.9077077499996</c:v>
                </c:pt>
                <c:pt idx="30">
                  <c:v>6837.4433373000002</c:v>
                </c:pt>
                <c:pt idx="31">
                  <c:v>6953.6638684999998</c:v>
                </c:pt>
                <c:pt idx="32">
                  <c:v>7088.0885145000002</c:v>
                </c:pt>
                <c:pt idx="33">
                  <c:v>7218.0997694999996</c:v>
                </c:pt>
                <c:pt idx="34">
                  <c:v>7363.7397295000001</c:v>
                </c:pt>
                <c:pt idx="35">
                  <c:v>4074.8905015</c:v>
                </c:pt>
                <c:pt idx="36">
                  <c:v>4197.0359445000004</c:v>
                </c:pt>
                <c:pt idx="37">
                  <c:v>4322.8457534999998</c:v>
                </c:pt>
                <c:pt idx="38">
                  <c:v>4452.4298525000004</c:v>
                </c:pt>
                <c:pt idx="39">
                  <c:v>4585.9014745000004</c:v>
                </c:pt>
                <c:pt idx="40">
                  <c:v>4723.3772485</c:v>
                </c:pt>
                <c:pt idx="41">
                  <c:v>4864.9772945000004</c:v>
                </c:pt>
                <c:pt idx="42">
                  <c:v>5010.8253414999999</c:v>
                </c:pt>
                <c:pt idx="43">
                  <c:v>5161.0488285000001</c:v>
                </c:pt>
                <c:pt idx="44">
                  <c:v>5315.7790265000003</c:v>
                </c:pt>
                <c:pt idx="45">
                  <c:v>3.37572545</c:v>
                </c:pt>
              </c:numCache>
            </c:numRef>
          </c:val>
          <c:extLst>
            <c:ext xmlns:c16="http://schemas.microsoft.com/office/drawing/2014/chart" uri="{C3380CC4-5D6E-409C-BE32-E72D297353CC}">
              <c16:uniqueId val="{00000002-EEA4-4031-8BB0-5D817F21AAF4}"/>
            </c:ext>
          </c:extLst>
        </c:ser>
        <c:dLbls>
          <c:showLegendKey val="0"/>
          <c:showVal val="0"/>
          <c:showCatName val="0"/>
          <c:showSerName val="0"/>
          <c:showPercent val="0"/>
          <c:showBubbleSize val="0"/>
        </c:dLbls>
        <c:gapWidth val="20"/>
        <c:overlap val="100"/>
        <c:axId val="750546847"/>
        <c:axId val="1"/>
      </c:barChart>
      <c:catAx>
        <c:axId val="750546847"/>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650" b="0" i="0" u="none" strike="noStrike" baseline="0">
                <a:solidFill>
                  <a:srgbClr val="000000"/>
                </a:solidFill>
                <a:latin typeface="Arial" panose="020B0604020202020204" pitchFamily="34" charset="0"/>
                <a:ea typeface="Times New Roman"/>
                <a:cs typeface="Arial" panose="020B0604020202020204" pitchFamily="34" charset="0"/>
              </a:defRPr>
            </a:pPr>
            <a:endParaRPr lang="el-GR"/>
          </a:p>
        </c:txPr>
        <c:crossAx val="1"/>
        <c:crosses val="autoZero"/>
        <c:auto val="1"/>
        <c:lblAlgn val="ctr"/>
        <c:lblOffset val="100"/>
        <c:tickLblSkip val="1"/>
        <c:tickMarkSkip val="1"/>
        <c:noMultiLvlLbl val="0"/>
      </c:catAx>
      <c:valAx>
        <c:axId val="1"/>
        <c:scaling>
          <c:orientation val="minMax"/>
          <c:max val="18000"/>
          <c:min val="0"/>
        </c:scaling>
        <c:delete val="0"/>
        <c:axPos val="l"/>
        <c:majorGridlines>
          <c:spPr>
            <a:ln w="3175">
              <a:solidFill>
                <a:schemeClr val="bg1">
                  <a:lumMod val="85000"/>
                </a:schemeClr>
              </a:solidFill>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Arial" panose="020B0604020202020204" pitchFamily="34" charset="0"/>
                <a:ea typeface="Times New Roman"/>
                <a:cs typeface="Arial" panose="020B0604020202020204" pitchFamily="34" charset="0"/>
              </a:defRPr>
            </a:pPr>
            <a:endParaRPr lang="el-GR"/>
          </a:p>
        </c:txPr>
        <c:crossAx val="750546847"/>
        <c:crosses val="autoZero"/>
        <c:crossBetween val="between"/>
        <c:majorUnit val="2000"/>
      </c:valAx>
      <c:spPr>
        <a:solidFill>
          <a:srgbClr val="FFFFFF"/>
        </a:solidFill>
        <a:ln w="25400">
          <a:noFill/>
        </a:ln>
      </c:spPr>
    </c:plotArea>
    <c:legend>
      <c:legendPos val="b"/>
      <c:layout>
        <c:manualLayout>
          <c:xMode val="edge"/>
          <c:yMode val="edge"/>
          <c:x val="0.26702393457708634"/>
          <c:y val="0.9090932181864364"/>
          <c:w val="0.40401722386686234"/>
          <c:h val="5.8822141614320644E-2"/>
        </c:manualLayout>
      </c:layout>
      <c:overlay val="0"/>
      <c:spPr>
        <a:solidFill>
          <a:srgbClr val="FFFFFF"/>
        </a:solidFill>
        <a:ln w="25400">
          <a:noFill/>
        </a:ln>
      </c:spPr>
      <c:txPr>
        <a:bodyPr/>
        <a:lstStyle/>
        <a:p>
          <a:pPr>
            <a:defRPr sz="700" b="0" i="0" u="none" strike="noStrike" baseline="0">
              <a:solidFill>
                <a:srgbClr val="000000"/>
              </a:solidFill>
              <a:latin typeface="Arial" panose="020B0604020202020204" pitchFamily="34" charset="0"/>
              <a:ea typeface="Times New Roman"/>
              <a:cs typeface="Arial" panose="020B0604020202020204" pitchFamily="34" charset="0"/>
            </a:defRPr>
          </a:pPr>
          <a:endParaRPr lang="el-GR"/>
        </a:p>
      </c:txPr>
    </c:legend>
    <c:plotVisOnly val="1"/>
    <c:dispBlanksAs val="gap"/>
    <c:showDLblsOverMax val="0"/>
  </c:chart>
  <c:spPr>
    <a:solidFill>
      <a:srgbClr val="FFFFFF"/>
    </a:solidFill>
    <a:ln w="3175">
      <a:solidFill>
        <a:schemeClr val="bg1">
          <a:lumMod val="85000"/>
        </a:schemeClr>
      </a:solidFill>
    </a:ln>
  </c:spPr>
  <c:txPr>
    <a:bodyPr/>
    <a:lstStyle/>
    <a:p>
      <a:pPr>
        <a:defRPr sz="1725" b="0" i="0" u="none" strike="noStrike" baseline="0">
          <a:solidFill>
            <a:srgbClr val="000000"/>
          </a:solidFill>
          <a:latin typeface="Times New Roman"/>
          <a:ea typeface="Times New Roman"/>
          <a:cs typeface="Times New Roman"/>
        </a:defRPr>
      </a:pPr>
      <a:endParaRPr lang="el-G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0">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0.37748</cdr:x>
      <cdr:y>0.1174</cdr:y>
    </cdr:from>
    <cdr:to>
      <cdr:x>0.70109</cdr:x>
      <cdr:y>0.25828</cdr:y>
    </cdr:to>
    <cdr:sp macro="" textlink="">
      <cdr:nvSpPr>
        <cdr:cNvPr id="2" name="TextBox 1"/>
        <cdr:cNvSpPr txBox="1"/>
      </cdr:nvSpPr>
      <cdr:spPr>
        <a:xfrm xmlns:a="http://schemas.openxmlformats.org/drawingml/2006/main">
          <a:off x="3952270" y="762000"/>
          <a:ext cx="3388179"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l-GR" sz="1100"/>
        </a:p>
      </cdr:txBody>
    </cdr:sp>
  </cdr:relSizeAnchor>
  <cdr:relSizeAnchor xmlns:cdr="http://schemas.openxmlformats.org/drawingml/2006/chartDrawing">
    <cdr:from>
      <cdr:x>0.40418</cdr:x>
      <cdr:y>0.05295</cdr:y>
    </cdr:from>
    <cdr:to>
      <cdr:x>1</cdr:x>
      <cdr:y>0.26719</cdr:y>
    </cdr:to>
    <cdr:sp macro="" textlink="">
      <cdr:nvSpPr>
        <cdr:cNvPr id="3" name="TextBox 2"/>
        <cdr:cNvSpPr txBox="1"/>
      </cdr:nvSpPr>
      <cdr:spPr>
        <a:xfrm xmlns:a="http://schemas.openxmlformats.org/drawingml/2006/main">
          <a:off x="4032217" y="227432"/>
          <a:ext cx="5944074" cy="92016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endParaRPr lang="el-GR" sz="2000" b="1"/>
        </a:p>
      </cdr:txBody>
    </cdr:sp>
  </cdr:relSizeAnchor>
</c:userShapes>
</file>

<file path=word/drawings/drawing2.xml><?xml version="1.0" encoding="utf-8"?>
<c:userShapes xmlns:c="http://schemas.openxmlformats.org/drawingml/2006/chart">
  <cdr:relSizeAnchor xmlns:cdr="http://schemas.openxmlformats.org/drawingml/2006/chartDrawing">
    <cdr:from>
      <cdr:x>0.84635</cdr:x>
      <cdr:y>0.04279</cdr:y>
    </cdr:from>
    <cdr:to>
      <cdr:x>0.97336</cdr:x>
      <cdr:y>0.82272</cdr:y>
    </cdr:to>
    <cdr:sp macro="" textlink="">
      <cdr:nvSpPr>
        <cdr:cNvPr id="2" name="Ορθογώνιο 1"/>
        <cdr:cNvSpPr/>
      </cdr:nvSpPr>
      <cdr:spPr>
        <a:xfrm xmlns:a="http://schemas.openxmlformats.org/drawingml/2006/main">
          <a:off x="4874508" y="99667"/>
          <a:ext cx="731520" cy="1816597"/>
        </a:xfrm>
        <a:prstGeom xmlns:a="http://schemas.openxmlformats.org/drawingml/2006/main" prst="rect">
          <a:avLst/>
        </a:prstGeom>
        <a:solidFill xmlns:a="http://schemas.openxmlformats.org/drawingml/2006/main">
          <a:srgbClr val="D5DCE4">
            <a:alpha val="36863"/>
          </a:srgbClr>
        </a:solidFill>
        <a:ln xmlns:a="http://schemas.openxmlformats.org/drawingml/2006/main" w="6350" cap="flat" cmpd="sng" algn="ctr">
          <a:solidFill>
            <a:schemeClr val="bg1">
              <a:lumMod val="85000"/>
            </a:schemeClr>
          </a:solidFill>
          <a:prstDash val="solid"/>
          <a:miter lim="800000"/>
        </a:ln>
        <a:effectLst xmlns:a="http://schemas.openxmlformats.org/drawingml/2006/main"/>
      </cdr:spPr>
      <cdr:txBody>
        <a:bodyPr xmlns:a="http://schemas.openxmlformats.org/drawingml/2006/main" rtlCol="0" anchor="t"/>
        <a:lstStyle xmlns:a="http://schemas.openxmlformats.org/drawingml/2006/main"/>
        <a:p xmlns:a="http://schemas.openxmlformats.org/drawingml/2006/main">
          <a:endParaRPr lang="el-GR"/>
        </a:p>
      </cdr:txBody>
    </cdr:sp>
  </cdr:relSizeAnchor>
</c:userShapes>
</file>

<file path=word/theme/theme1.xml><?xml version="1.0" encoding="utf-8"?>
<a:theme xmlns:a="http://schemas.openxmlformats.org/drawingml/2006/main" name="Θέμα του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CBC5D-952B-490D-A23F-7E43A68E540C}">
  <ds:schemaRefs>
    <ds:schemaRef ds:uri="http://schemas.openxmlformats.org/officeDocument/2006/bibliography"/>
  </ds:schemaRefs>
</ds:datastoreItem>
</file>

<file path=customXml/itemProps2.xml><?xml version="1.0" encoding="utf-8"?>
<ds:datastoreItem xmlns:ds="http://schemas.openxmlformats.org/officeDocument/2006/customXml" ds:itemID="{BC5126CC-E3C7-4AD0-BD4B-2A7A1BC3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PROSX2006</Template>
  <TotalTime>0</TotalTime>
  <Pages>3</Pages>
  <Words>26930</Words>
  <Characters>145425</Characters>
  <Application>Microsoft Office Word</Application>
  <DocSecurity>0</DocSecurity>
  <Lines>1211</Lines>
  <Paragraphs>344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ΠΡΟΣΧΕΔΙΟ ΚΡΑΤΙΚΟΥ ΠΡΟΫΠΟΛΟΓΙΣΜΟΥ 2027</vt:lpstr>
      <vt:lpstr>ΟΙΚΟΝΟΜΙΚΕΣ ΕΞΕΛΙΞΕΙΣ</vt:lpstr>
    </vt:vector>
  </TitlesOfParts>
  <Company/>
  <LinksUpToDate>false</LinksUpToDate>
  <CharactersWithSpaces>172011</CharactersWithSpaces>
  <SharedDoc>false</SharedDoc>
  <HLinks>
    <vt:vector size="330" baseType="variant">
      <vt:variant>
        <vt:i4>1508337</vt:i4>
      </vt:variant>
      <vt:variant>
        <vt:i4>420</vt:i4>
      </vt:variant>
      <vt:variant>
        <vt:i4>0</vt:i4>
      </vt:variant>
      <vt:variant>
        <vt:i4>5</vt:i4>
      </vt:variant>
      <vt:variant>
        <vt:lpwstr/>
      </vt:variant>
      <vt:variant>
        <vt:lpwstr>_Δημοσιονομικές_παρεμβάσεις_2024</vt:lpwstr>
      </vt:variant>
      <vt:variant>
        <vt:i4>1310773</vt:i4>
      </vt:variant>
      <vt:variant>
        <vt:i4>335</vt:i4>
      </vt:variant>
      <vt:variant>
        <vt:i4>0</vt:i4>
      </vt:variant>
      <vt:variant>
        <vt:i4>5</vt:i4>
      </vt:variant>
      <vt:variant>
        <vt:lpwstr/>
      </vt:variant>
      <vt:variant>
        <vt:lpwstr>_Toc178751922</vt:lpwstr>
      </vt:variant>
      <vt:variant>
        <vt:i4>1310773</vt:i4>
      </vt:variant>
      <vt:variant>
        <vt:i4>329</vt:i4>
      </vt:variant>
      <vt:variant>
        <vt:i4>0</vt:i4>
      </vt:variant>
      <vt:variant>
        <vt:i4>5</vt:i4>
      </vt:variant>
      <vt:variant>
        <vt:lpwstr/>
      </vt:variant>
      <vt:variant>
        <vt:lpwstr>_Toc178751921</vt:lpwstr>
      </vt:variant>
      <vt:variant>
        <vt:i4>1507381</vt:i4>
      </vt:variant>
      <vt:variant>
        <vt:i4>320</vt:i4>
      </vt:variant>
      <vt:variant>
        <vt:i4>0</vt:i4>
      </vt:variant>
      <vt:variant>
        <vt:i4>5</vt:i4>
      </vt:variant>
      <vt:variant>
        <vt:lpwstr/>
      </vt:variant>
      <vt:variant>
        <vt:lpwstr>_Toc178751916</vt:lpwstr>
      </vt:variant>
      <vt:variant>
        <vt:i4>1507381</vt:i4>
      </vt:variant>
      <vt:variant>
        <vt:i4>314</vt:i4>
      </vt:variant>
      <vt:variant>
        <vt:i4>0</vt:i4>
      </vt:variant>
      <vt:variant>
        <vt:i4>5</vt:i4>
      </vt:variant>
      <vt:variant>
        <vt:lpwstr/>
      </vt:variant>
      <vt:variant>
        <vt:lpwstr>_Toc178751915</vt:lpwstr>
      </vt:variant>
      <vt:variant>
        <vt:i4>1507381</vt:i4>
      </vt:variant>
      <vt:variant>
        <vt:i4>308</vt:i4>
      </vt:variant>
      <vt:variant>
        <vt:i4>0</vt:i4>
      </vt:variant>
      <vt:variant>
        <vt:i4>5</vt:i4>
      </vt:variant>
      <vt:variant>
        <vt:lpwstr/>
      </vt:variant>
      <vt:variant>
        <vt:lpwstr>_Toc178751914</vt:lpwstr>
      </vt:variant>
      <vt:variant>
        <vt:i4>1507381</vt:i4>
      </vt:variant>
      <vt:variant>
        <vt:i4>302</vt:i4>
      </vt:variant>
      <vt:variant>
        <vt:i4>0</vt:i4>
      </vt:variant>
      <vt:variant>
        <vt:i4>5</vt:i4>
      </vt:variant>
      <vt:variant>
        <vt:lpwstr/>
      </vt:variant>
      <vt:variant>
        <vt:lpwstr>_Toc178751913</vt:lpwstr>
      </vt:variant>
      <vt:variant>
        <vt:i4>1441845</vt:i4>
      </vt:variant>
      <vt:variant>
        <vt:i4>293</vt:i4>
      </vt:variant>
      <vt:variant>
        <vt:i4>0</vt:i4>
      </vt:variant>
      <vt:variant>
        <vt:i4>5</vt:i4>
      </vt:variant>
      <vt:variant>
        <vt:lpwstr/>
      </vt:variant>
      <vt:variant>
        <vt:lpwstr>_Toc178751908</vt:lpwstr>
      </vt:variant>
      <vt:variant>
        <vt:i4>1441845</vt:i4>
      </vt:variant>
      <vt:variant>
        <vt:i4>287</vt:i4>
      </vt:variant>
      <vt:variant>
        <vt:i4>0</vt:i4>
      </vt:variant>
      <vt:variant>
        <vt:i4>5</vt:i4>
      </vt:variant>
      <vt:variant>
        <vt:lpwstr/>
      </vt:variant>
      <vt:variant>
        <vt:lpwstr>_Toc178751907</vt:lpwstr>
      </vt:variant>
      <vt:variant>
        <vt:i4>1441845</vt:i4>
      </vt:variant>
      <vt:variant>
        <vt:i4>278</vt:i4>
      </vt:variant>
      <vt:variant>
        <vt:i4>0</vt:i4>
      </vt:variant>
      <vt:variant>
        <vt:i4>5</vt:i4>
      </vt:variant>
      <vt:variant>
        <vt:lpwstr/>
      </vt:variant>
      <vt:variant>
        <vt:lpwstr>_Toc178751900</vt:lpwstr>
      </vt:variant>
      <vt:variant>
        <vt:i4>1703987</vt:i4>
      </vt:variant>
      <vt:variant>
        <vt:i4>269</vt:i4>
      </vt:variant>
      <vt:variant>
        <vt:i4>0</vt:i4>
      </vt:variant>
      <vt:variant>
        <vt:i4>5</vt:i4>
      </vt:variant>
      <vt:variant>
        <vt:lpwstr/>
      </vt:variant>
      <vt:variant>
        <vt:lpwstr>_Toc179122996</vt:lpwstr>
      </vt:variant>
      <vt:variant>
        <vt:i4>1703987</vt:i4>
      </vt:variant>
      <vt:variant>
        <vt:i4>263</vt:i4>
      </vt:variant>
      <vt:variant>
        <vt:i4>0</vt:i4>
      </vt:variant>
      <vt:variant>
        <vt:i4>5</vt:i4>
      </vt:variant>
      <vt:variant>
        <vt:lpwstr/>
      </vt:variant>
      <vt:variant>
        <vt:lpwstr>_Toc179122995</vt:lpwstr>
      </vt:variant>
      <vt:variant>
        <vt:i4>1703987</vt:i4>
      </vt:variant>
      <vt:variant>
        <vt:i4>257</vt:i4>
      </vt:variant>
      <vt:variant>
        <vt:i4>0</vt:i4>
      </vt:variant>
      <vt:variant>
        <vt:i4>5</vt:i4>
      </vt:variant>
      <vt:variant>
        <vt:lpwstr/>
      </vt:variant>
      <vt:variant>
        <vt:lpwstr>_Toc179122994</vt:lpwstr>
      </vt:variant>
      <vt:variant>
        <vt:i4>1703987</vt:i4>
      </vt:variant>
      <vt:variant>
        <vt:i4>251</vt:i4>
      </vt:variant>
      <vt:variant>
        <vt:i4>0</vt:i4>
      </vt:variant>
      <vt:variant>
        <vt:i4>5</vt:i4>
      </vt:variant>
      <vt:variant>
        <vt:lpwstr/>
      </vt:variant>
      <vt:variant>
        <vt:lpwstr>_Toc179122993</vt:lpwstr>
      </vt:variant>
      <vt:variant>
        <vt:i4>1703987</vt:i4>
      </vt:variant>
      <vt:variant>
        <vt:i4>245</vt:i4>
      </vt:variant>
      <vt:variant>
        <vt:i4>0</vt:i4>
      </vt:variant>
      <vt:variant>
        <vt:i4>5</vt:i4>
      </vt:variant>
      <vt:variant>
        <vt:lpwstr/>
      </vt:variant>
      <vt:variant>
        <vt:lpwstr>_Toc179122992</vt:lpwstr>
      </vt:variant>
      <vt:variant>
        <vt:i4>1703987</vt:i4>
      </vt:variant>
      <vt:variant>
        <vt:i4>239</vt:i4>
      </vt:variant>
      <vt:variant>
        <vt:i4>0</vt:i4>
      </vt:variant>
      <vt:variant>
        <vt:i4>5</vt:i4>
      </vt:variant>
      <vt:variant>
        <vt:lpwstr/>
      </vt:variant>
      <vt:variant>
        <vt:lpwstr>_Toc179122991</vt:lpwstr>
      </vt:variant>
      <vt:variant>
        <vt:i4>1703987</vt:i4>
      </vt:variant>
      <vt:variant>
        <vt:i4>233</vt:i4>
      </vt:variant>
      <vt:variant>
        <vt:i4>0</vt:i4>
      </vt:variant>
      <vt:variant>
        <vt:i4>5</vt:i4>
      </vt:variant>
      <vt:variant>
        <vt:lpwstr/>
      </vt:variant>
      <vt:variant>
        <vt:lpwstr>_Toc179122990</vt:lpwstr>
      </vt:variant>
      <vt:variant>
        <vt:i4>1769523</vt:i4>
      </vt:variant>
      <vt:variant>
        <vt:i4>227</vt:i4>
      </vt:variant>
      <vt:variant>
        <vt:i4>0</vt:i4>
      </vt:variant>
      <vt:variant>
        <vt:i4>5</vt:i4>
      </vt:variant>
      <vt:variant>
        <vt:lpwstr/>
      </vt:variant>
      <vt:variant>
        <vt:lpwstr>_Toc179122989</vt:lpwstr>
      </vt:variant>
      <vt:variant>
        <vt:i4>1245246</vt:i4>
      </vt:variant>
      <vt:variant>
        <vt:i4>218</vt:i4>
      </vt:variant>
      <vt:variant>
        <vt:i4>0</vt:i4>
      </vt:variant>
      <vt:variant>
        <vt:i4>5</vt:i4>
      </vt:variant>
      <vt:variant>
        <vt:lpwstr/>
      </vt:variant>
      <vt:variant>
        <vt:lpwstr>_Toc178751255</vt:lpwstr>
      </vt:variant>
      <vt:variant>
        <vt:i4>1245246</vt:i4>
      </vt:variant>
      <vt:variant>
        <vt:i4>212</vt:i4>
      </vt:variant>
      <vt:variant>
        <vt:i4>0</vt:i4>
      </vt:variant>
      <vt:variant>
        <vt:i4>5</vt:i4>
      </vt:variant>
      <vt:variant>
        <vt:lpwstr/>
      </vt:variant>
      <vt:variant>
        <vt:lpwstr>_Toc178751254</vt:lpwstr>
      </vt:variant>
      <vt:variant>
        <vt:i4>1245246</vt:i4>
      </vt:variant>
      <vt:variant>
        <vt:i4>206</vt:i4>
      </vt:variant>
      <vt:variant>
        <vt:i4>0</vt:i4>
      </vt:variant>
      <vt:variant>
        <vt:i4>5</vt:i4>
      </vt:variant>
      <vt:variant>
        <vt:lpwstr/>
      </vt:variant>
      <vt:variant>
        <vt:lpwstr>_Toc178751253</vt:lpwstr>
      </vt:variant>
      <vt:variant>
        <vt:i4>1245246</vt:i4>
      </vt:variant>
      <vt:variant>
        <vt:i4>200</vt:i4>
      </vt:variant>
      <vt:variant>
        <vt:i4>0</vt:i4>
      </vt:variant>
      <vt:variant>
        <vt:i4>5</vt:i4>
      </vt:variant>
      <vt:variant>
        <vt:lpwstr/>
      </vt:variant>
      <vt:variant>
        <vt:lpwstr>_Toc178751250</vt:lpwstr>
      </vt:variant>
      <vt:variant>
        <vt:i4>1179710</vt:i4>
      </vt:variant>
      <vt:variant>
        <vt:i4>194</vt:i4>
      </vt:variant>
      <vt:variant>
        <vt:i4>0</vt:i4>
      </vt:variant>
      <vt:variant>
        <vt:i4>5</vt:i4>
      </vt:variant>
      <vt:variant>
        <vt:lpwstr/>
      </vt:variant>
      <vt:variant>
        <vt:lpwstr>_Toc178751249</vt:lpwstr>
      </vt:variant>
      <vt:variant>
        <vt:i4>1179710</vt:i4>
      </vt:variant>
      <vt:variant>
        <vt:i4>188</vt:i4>
      </vt:variant>
      <vt:variant>
        <vt:i4>0</vt:i4>
      </vt:variant>
      <vt:variant>
        <vt:i4>5</vt:i4>
      </vt:variant>
      <vt:variant>
        <vt:lpwstr/>
      </vt:variant>
      <vt:variant>
        <vt:lpwstr>_Toc178751248</vt:lpwstr>
      </vt:variant>
      <vt:variant>
        <vt:i4>1179710</vt:i4>
      </vt:variant>
      <vt:variant>
        <vt:i4>182</vt:i4>
      </vt:variant>
      <vt:variant>
        <vt:i4>0</vt:i4>
      </vt:variant>
      <vt:variant>
        <vt:i4>5</vt:i4>
      </vt:variant>
      <vt:variant>
        <vt:lpwstr/>
      </vt:variant>
      <vt:variant>
        <vt:lpwstr>_Toc178751247</vt:lpwstr>
      </vt:variant>
      <vt:variant>
        <vt:i4>1376318</vt:i4>
      </vt:variant>
      <vt:variant>
        <vt:i4>176</vt:i4>
      </vt:variant>
      <vt:variant>
        <vt:i4>0</vt:i4>
      </vt:variant>
      <vt:variant>
        <vt:i4>5</vt:i4>
      </vt:variant>
      <vt:variant>
        <vt:lpwstr/>
      </vt:variant>
      <vt:variant>
        <vt:lpwstr>_Toc178751236</vt:lpwstr>
      </vt:variant>
      <vt:variant>
        <vt:i4>1376318</vt:i4>
      </vt:variant>
      <vt:variant>
        <vt:i4>170</vt:i4>
      </vt:variant>
      <vt:variant>
        <vt:i4>0</vt:i4>
      </vt:variant>
      <vt:variant>
        <vt:i4>5</vt:i4>
      </vt:variant>
      <vt:variant>
        <vt:lpwstr/>
      </vt:variant>
      <vt:variant>
        <vt:lpwstr>_Toc178751234</vt:lpwstr>
      </vt:variant>
      <vt:variant>
        <vt:i4>1376318</vt:i4>
      </vt:variant>
      <vt:variant>
        <vt:i4>164</vt:i4>
      </vt:variant>
      <vt:variant>
        <vt:i4>0</vt:i4>
      </vt:variant>
      <vt:variant>
        <vt:i4>5</vt:i4>
      </vt:variant>
      <vt:variant>
        <vt:lpwstr/>
      </vt:variant>
      <vt:variant>
        <vt:lpwstr>_Toc178751233</vt:lpwstr>
      </vt:variant>
      <vt:variant>
        <vt:i4>1376318</vt:i4>
      </vt:variant>
      <vt:variant>
        <vt:i4>158</vt:i4>
      </vt:variant>
      <vt:variant>
        <vt:i4>0</vt:i4>
      </vt:variant>
      <vt:variant>
        <vt:i4>5</vt:i4>
      </vt:variant>
      <vt:variant>
        <vt:lpwstr/>
      </vt:variant>
      <vt:variant>
        <vt:lpwstr>_Toc178751232</vt:lpwstr>
      </vt:variant>
      <vt:variant>
        <vt:i4>1376318</vt:i4>
      </vt:variant>
      <vt:variant>
        <vt:i4>152</vt:i4>
      </vt:variant>
      <vt:variant>
        <vt:i4>0</vt:i4>
      </vt:variant>
      <vt:variant>
        <vt:i4>5</vt:i4>
      </vt:variant>
      <vt:variant>
        <vt:lpwstr/>
      </vt:variant>
      <vt:variant>
        <vt:lpwstr>_Toc178751231</vt:lpwstr>
      </vt:variant>
      <vt:variant>
        <vt:i4>1376318</vt:i4>
      </vt:variant>
      <vt:variant>
        <vt:i4>146</vt:i4>
      </vt:variant>
      <vt:variant>
        <vt:i4>0</vt:i4>
      </vt:variant>
      <vt:variant>
        <vt:i4>5</vt:i4>
      </vt:variant>
      <vt:variant>
        <vt:lpwstr/>
      </vt:variant>
      <vt:variant>
        <vt:lpwstr>_Toc178751230</vt:lpwstr>
      </vt:variant>
      <vt:variant>
        <vt:i4>1310782</vt:i4>
      </vt:variant>
      <vt:variant>
        <vt:i4>140</vt:i4>
      </vt:variant>
      <vt:variant>
        <vt:i4>0</vt:i4>
      </vt:variant>
      <vt:variant>
        <vt:i4>5</vt:i4>
      </vt:variant>
      <vt:variant>
        <vt:lpwstr/>
      </vt:variant>
      <vt:variant>
        <vt:lpwstr>_Toc178751229</vt:lpwstr>
      </vt:variant>
      <vt:variant>
        <vt:i4>1310782</vt:i4>
      </vt:variant>
      <vt:variant>
        <vt:i4>134</vt:i4>
      </vt:variant>
      <vt:variant>
        <vt:i4>0</vt:i4>
      </vt:variant>
      <vt:variant>
        <vt:i4>5</vt:i4>
      </vt:variant>
      <vt:variant>
        <vt:lpwstr/>
      </vt:variant>
      <vt:variant>
        <vt:lpwstr>_Toc178751227</vt:lpwstr>
      </vt:variant>
      <vt:variant>
        <vt:i4>1310782</vt:i4>
      </vt:variant>
      <vt:variant>
        <vt:i4>128</vt:i4>
      </vt:variant>
      <vt:variant>
        <vt:i4>0</vt:i4>
      </vt:variant>
      <vt:variant>
        <vt:i4>5</vt:i4>
      </vt:variant>
      <vt:variant>
        <vt:lpwstr/>
      </vt:variant>
      <vt:variant>
        <vt:lpwstr>_Toc178751226</vt:lpwstr>
      </vt:variant>
      <vt:variant>
        <vt:i4>1310782</vt:i4>
      </vt:variant>
      <vt:variant>
        <vt:i4>122</vt:i4>
      </vt:variant>
      <vt:variant>
        <vt:i4>0</vt:i4>
      </vt:variant>
      <vt:variant>
        <vt:i4>5</vt:i4>
      </vt:variant>
      <vt:variant>
        <vt:lpwstr/>
      </vt:variant>
      <vt:variant>
        <vt:lpwstr>_Toc178751225</vt:lpwstr>
      </vt:variant>
      <vt:variant>
        <vt:i4>1310782</vt:i4>
      </vt:variant>
      <vt:variant>
        <vt:i4>116</vt:i4>
      </vt:variant>
      <vt:variant>
        <vt:i4>0</vt:i4>
      </vt:variant>
      <vt:variant>
        <vt:i4>5</vt:i4>
      </vt:variant>
      <vt:variant>
        <vt:lpwstr/>
      </vt:variant>
      <vt:variant>
        <vt:lpwstr>_Toc178751224</vt:lpwstr>
      </vt:variant>
      <vt:variant>
        <vt:i4>1310782</vt:i4>
      </vt:variant>
      <vt:variant>
        <vt:i4>110</vt:i4>
      </vt:variant>
      <vt:variant>
        <vt:i4>0</vt:i4>
      </vt:variant>
      <vt:variant>
        <vt:i4>5</vt:i4>
      </vt:variant>
      <vt:variant>
        <vt:lpwstr/>
      </vt:variant>
      <vt:variant>
        <vt:lpwstr>_Toc178751223</vt:lpwstr>
      </vt:variant>
      <vt:variant>
        <vt:i4>1310782</vt:i4>
      </vt:variant>
      <vt:variant>
        <vt:i4>104</vt:i4>
      </vt:variant>
      <vt:variant>
        <vt:i4>0</vt:i4>
      </vt:variant>
      <vt:variant>
        <vt:i4>5</vt:i4>
      </vt:variant>
      <vt:variant>
        <vt:lpwstr/>
      </vt:variant>
      <vt:variant>
        <vt:lpwstr>_Toc178751222</vt:lpwstr>
      </vt:variant>
      <vt:variant>
        <vt:i4>1310782</vt:i4>
      </vt:variant>
      <vt:variant>
        <vt:i4>98</vt:i4>
      </vt:variant>
      <vt:variant>
        <vt:i4>0</vt:i4>
      </vt:variant>
      <vt:variant>
        <vt:i4>5</vt:i4>
      </vt:variant>
      <vt:variant>
        <vt:lpwstr/>
      </vt:variant>
      <vt:variant>
        <vt:lpwstr>_Toc178751221</vt:lpwstr>
      </vt:variant>
      <vt:variant>
        <vt:i4>1310782</vt:i4>
      </vt:variant>
      <vt:variant>
        <vt:i4>92</vt:i4>
      </vt:variant>
      <vt:variant>
        <vt:i4>0</vt:i4>
      </vt:variant>
      <vt:variant>
        <vt:i4>5</vt:i4>
      </vt:variant>
      <vt:variant>
        <vt:lpwstr/>
      </vt:variant>
      <vt:variant>
        <vt:lpwstr>_Toc178751220</vt:lpwstr>
      </vt:variant>
      <vt:variant>
        <vt:i4>1507390</vt:i4>
      </vt:variant>
      <vt:variant>
        <vt:i4>86</vt:i4>
      </vt:variant>
      <vt:variant>
        <vt:i4>0</vt:i4>
      </vt:variant>
      <vt:variant>
        <vt:i4>5</vt:i4>
      </vt:variant>
      <vt:variant>
        <vt:lpwstr/>
      </vt:variant>
      <vt:variant>
        <vt:lpwstr>_Toc178751219</vt:lpwstr>
      </vt:variant>
      <vt:variant>
        <vt:i4>1441854</vt:i4>
      </vt:variant>
      <vt:variant>
        <vt:i4>80</vt:i4>
      </vt:variant>
      <vt:variant>
        <vt:i4>0</vt:i4>
      </vt:variant>
      <vt:variant>
        <vt:i4>5</vt:i4>
      </vt:variant>
      <vt:variant>
        <vt:lpwstr/>
      </vt:variant>
      <vt:variant>
        <vt:lpwstr>_Toc178751209</vt:lpwstr>
      </vt:variant>
      <vt:variant>
        <vt:i4>1441854</vt:i4>
      </vt:variant>
      <vt:variant>
        <vt:i4>74</vt:i4>
      </vt:variant>
      <vt:variant>
        <vt:i4>0</vt:i4>
      </vt:variant>
      <vt:variant>
        <vt:i4>5</vt:i4>
      </vt:variant>
      <vt:variant>
        <vt:lpwstr/>
      </vt:variant>
      <vt:variant>
        <vt:lpwstr>_Toc178751208</vt:lpwstr>
      </vt:variant>
      <vt:variant>
        <vt:i4>1441854</vt:i4>
      </vt:variant>
      <vt:variant>
        <vt:i4>68</vt:i4>
      </vt:variant>
      <vt:variant>
        <vt:i4>0</vt:i4>
      </vt:variant>
      <vt:variant>
        <vt:i4>5</vt:i4>
      </vt:variant>
      <vt:variant>
        <vt:lpwstr/>
      </vt:variant>
      <vt:variant>
        <vt:lpwstr>_Toc178751207</vt:lpwstr>
      </vt:variant>
      <vt:variant>
        <vt:i4>1441854</vt:i4>
      </vt:variant>
      <vt:variant>
        <vt:i4>62</vt:i4>
      </vt:variant>
      <vt:variant>
        <vt:i4>0</vt:i4>
      </vt:variant>
      <vt:variant>
        <vt:i4>5</vt:i4>
      </vt:variant>
      <vt:variant>
        <vt:lpwstr/>
      </vt:variant>
      <vt:variant>
        <vt:lpwstr>_Toc178751206</vt:lpwstr>
      </vt:variant>
      <vt:variant>
        <vt:i4>1441854</vt:i4>
      </vt:variant>
      <vt:variant>
        <vt:i4>56</vt:i4>
      </vt:variant>
      <vt:variant>
        <vt:i4>0</vt:i4>
      </vt:variant>
      <vt:variant>
        <vt:i4>5</vt:i4>
      </vt:variant>
      <vt:variant>
        <vt:lpwstr/>
      </vt:variant>
      <vt:variant>
        <vt:lpwstr>_Toc178751205</vt:lpwstr>
      </vt:variant>
      <vt:variant>
        <vt:i4>1441854</vt:i4>
      </vt:variant>
      <vt:variant>
        <vt:i4>50</vt:i4>
      </vt:variant>
      <vt:variant>
        <vt:i4>0</vt:i4>
      </vt:variant>
      <vt:variant>
        <vt:i4>5</vt:i4>
      </vt:variant>
      <vt:variant>
        <vt:lpwstr/>
      </vt:variant>
      <vt:variant>
        <vt:lpwstr>_Toc178751204</vt:lpwstr>
      </vt:variant>
      <vt:variant>
        <vt:i4>1441854</vt:i4>
      </vt:variant>
      <vt:variant>
        <vt:i4>44</vt:i4>
      </vt:variant>
      <vt:variant>
        <vt:i4>0</vt:i4>
      </vt:variant>
      <vt:variant>
        <vt:i4>5</vt:i4>
      </vt:variant>
      <vt:variant>
        <vt:lpwstr/>
      </vt:variant>
      <vt:variant>
        <vt:lpwstr>_Toc178751200</vt:lpwstr>
      </vt:variant>
      <vt:variant>
        <vt:i4>2031677</vt:i4>
      </vt:variant>
      <vt:variant>
        <vt:i4>38</vt:i4>
      </vt:variant>
      <vt:variant>
        <vt:i4>0</vt:i4>
      </vt:variant>
      <vt:variant>
        <vt:i4>5</vt:i4>
      </vt:variant>
      <vt:variant>
        <vt:lpwstr/>
      </vt:variant>
      <vt:variant>
        <vt:lpwstr>_Toc178751198</vt:lpwstr>
      </vt:variant>
      <vt:variant>
        <vt:i4>2031677</vt:i4>
      </vt:variant>
      <vt:variant>
        <vt:i4>32</vt:i4>
      </vt:variant>
      <vt:variant>
        <vt:i4>0</vt:i4>
      </vt:variant>
      <vt:variant>
        <vt:i4>5</vt:i4>
      </vt:variant>
      <vt:variant>
        <vt:lpwstr/>
      </vt:variant>
      <vt:variant>
        <vt:lpwstr>_Toc178751197</vt:lpwstr>
      </vt:variant>
      <vt:variant>
        <vt:i4>2031677</vt:i4>
      </vt:variant>
      <vt:variant>
        <vt:i4>26</vt:i4>
      </vt:variant>
      <vt:variant>
        <vt:i4>0</vt:i4>
      </vt:variant>
      <vt:variant>
        <vt:i4>5</vt:i4>
      </vt:variant>
      <vt:variant>
        <vt:lpwstr/>
      </vt:variant>
      <vt:variant>
        <vt:lpwstr>_Toc178751196</vt:lpwstr>
      </vt:variant>
      <vt:variant>
        <vt:i4>2031677</vt:i4>
      </vt:variant>
      <vt:variant>
        <vt:i4>20</vt:i4>
      </vt:variant>
      <vt:variant>
        <vt:i4>0</vt:i4>
      </vt:variant>
      <vt:variant>
        <vt:i4>5</vt:i4>
      </vt:variant>
      <vt:variant>
        <vt:lpwstr/>
      </vt:variant>
      <vt:variant>
        <vt:lpwstr>_Toc178751195</vt:lpwstr>
      </vt:variant>
      <vt:variant>
        <vt:i4>2031677</vt:i4>
      </vt:variant>
      <vt:variant>
        <vt:i4>14</vt:i4>
      </vt:variant>
      <vt:variant>
        <vt:i4>0</vt:i4>
      </vt:variant>
      <vt:variant>
        <vt:i4>5</vt:i4>
      </vt:variant>
      <vt:variant>
        <vt:lpwstr/>
      </vt:variant>
      <vt:variant>
        <vt:lpwstr>_Toc178751194</vt:lpwstr>
      </vt:variant>
      <vt:variant>
        <vt:i4>2031677</vt:i4>
      </vt:variant>
      <vt:variant>
        <vt:i4>8</vt:i4>
      </vt:variant>
      <vt:variant>
        <vt:i4>0</vt:i4>
      </vt:variant>
      <vt:variant>
        <vt:i4>5</vt:i4>
      </vt:variant>
      <vt:variant>
        <vt:lpwstr/>
      </vt:variant>
      <vt:variant>
        <vt:lpwstr>_Toc178751193</vt:lpwstr>
      </vt:variant>
      <vt:variant>
        <vt:i4>2031677</vt:i4>
      </vt:variant>
      <vt:variant>
        <vt:i4>2</vt:i4>
      </vt:variant>
      <vt:variant>
        <vt:i4>0</vt:i4>
      </vt:variant>
      <vt:variant>
        <vt:i4>5</vt:i4>
      </vt:variant>
      <vt:variant>
        <vt:lpwstr/>
      </vt:variant>
      <vt:variant>
        <vt:lpwstr>_Toc178751192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ΠΡΟΣΧΕΔΙΟ ΚΡΑΤΙΚΟΥ ΠΡΟΫΠΟΛΟΓΙΣΜΟΥ 2027</dc:title>
  <dc:subject/>
  <dc:creator>PANTELIS</dc:creator>
  <cp:keywords/>
  <cp:lastModifiedBy>PANTELIS</cp:lastModifiedBy>
  <cp:revision>2</cp:revision>
  <cp:lastPrinted>2026-10-04T12:51:00Z</cp:lastPrinted>
  <dcterms:created xsi:type="dcterms:W3CDTF">2026-10-05T09:18:00Z</dcterms:created>
  <dcterms:modified xsi:type="dcterms:W3CDTF">2026-10-05T09:18:00Z</dcterms:modified>
</cp:coreProperties>
</file>